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7"/>
          <w:szCs w:val="17"/>
          <w:b w:val="1"/>
          <w:bCs w:val="1"/>
          <w:color w:val="auto"/>
        </w:rPr>
        <w:t>UNITED STATES</w:t>
      </w:r>
    </w:p>
    <w:p>
      <w:pPr>
        <w:spacing w:after="0" w:line="28"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SECURITIES AND EXCHANGE COMMISSION</w:t>
      </w:r>
    </w:p>
    <w:p>
      <w:pPr>
        <w:spacing w:after="0" w:line="20"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Washington, D.C. 20549</w:t>
      </w:r>
    </w:p>
    <w:p>
      <w:pPr>
        <w:spacing w:after="0" w:line="252"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SCHEDULE 14A</w:t>
      </w:r>
    </w:p>
    <w:p>
      <w:pPr>
        <w:spacing w:after="0" w:line="261"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Proxy Statement Pursuant to Section 14(a) of the</w:t>
      </w:r>
    </w:p>
    <w:p>
      <w:pPr>
        <w:spacing w:after="0" w:line="28"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Securities Exchange Act of 1934 (Amendment No. )</w:t>
      </w:r>
    </w:p>
    <w:p>
      <w:pPr>
        <w:spacing w:after="0" w:line="203" w:lineRule="exact"/>
        <w:rPr>
          <w:sz w:val="24"/>
          <w:szCs w:val="24"/>
          <w:color w:val="auto"/>
        </w:rPr>
      </w:pPr>
    </w:p>
    <w:p>
      <w:pPr>
        <w:ind w:left="320" w:hanging="315"/>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Filed by the Registrant</w:t>
      </w:r>
    </w:p>
    <w:p>
      <w:pPr>
        <w:spacing w:after="0" w:line="44" w:lineRule="exact"/>
        <w:rPr>
          <w:sz w:val="24"/>
          <w:szCs w:val="24"/>
          <w:color w:val="auto"/>
        </w:rPr>
      </w:pPr>
    </w:p>
    <w:p>
      <w:pPr>
        <w:ind w:left="320" w:hanging="315"/>
        <w:spacing w:after="0"/>
        <w:tabs>
          <w:tab w:leader="none" w:pos="32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Filed by a Party other than the Registrant</w:t>
      </w:r>
    </w:p>
    <w:p>
      <w:pPr>
        <w:spacing w:after="0" w:line="245"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14" w:lineRule="exact"/>
        <w:rPr>
          <w:sz w:val="24"/>
          <w:szCs w:val="24"/>
          <w:color w:val="auto"/>
        </w:rPr>
      </w:pPr>
    </w:p>
    <w:p>
      <w:pPr>
        <w:ind w:left="660" w:hanging="655"/>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4"/>
          <w:szCs w:val="14"/>
          <w:color w:val="auto"/>
        </w:rPr>
        <w:t>Preliminary Proxy Statement</w:t>
      </w:r>
    </w:p>
    <w:p>
      <w:pPr>
        <w:spacing w:after="0" w:line="56" w:lineRule="exact"/>
        <w:rPr>
          <w:rFonts w:ascii="MS PGothic" w:cs="MS PGothic" w:eastAsia="MS PGothic" w:hAnsi="MS PGothic"/>
          <w:sz w:val="18"/>
          <w:szCs w:val="18"/>
          <w:color w:val="auto"/>
        </w:rPr>
      </w:pPr>
    </w:p>
    <w:p>
      <w:pPr>
        <w:ind w:left="660" w:hanging="655"/>
        <w:spacing w:after="0"/>
        <w:tabs>
          <w:tab w:leader="none" w:pos="660" w:val="left"/>
        </w:tabs>
        <w:numPr>
          <w:ilvl w:val="0"/>
          <w:numId w:val="3"/>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4" w:lineRule="exact"/>
        <w:rPr>
          <w:sz w:val="24"/>
          <w:szCs w:val="24"/>
          <w:color w:val="auto"/>
        </w:rPr>
      </w:pPr>
    </w:p>
    <w:p>
      <w:pPr>
        <w:ind w:left="660" w:hanging="655"/>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4"/>
          <w:szCs w:val="14"/>
          <w:color w:val="auto"/>
        </w:rPr>
        <w:t>Definitive Proxy Statement</w:t>
      </w:r>
    </w:p>
    <w:p>
      <w:pPr>
        <w:spacing w:after="0" w:line="44" w:lineRule="exact"/>
        <w:rPr>
          <w:sz w:val="24"/>
          <w:szCs w:val="24"/>
          <w:color w:val="auto"/>
        </w:rPr>
      </w:pPr>
    </w:p>
    <w:p>
      <w:pPr>
        <w:ind w:left="660" w:hanging="655"/>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4"/>
          <w:szCs w:val="14"/>
          <w:color w:val="auto"/>
        </w:rPr>
        <w:t>Definitive Additional Materials</w:t>
      </w:r>
    </w:p>
    <w:p>
      <w:pPr>
        <w:spacing w:after="0" w:line="56" w:lineRule="exact"/>
        <w:rPr>
          <w:rFonts w:ascii="MS PGothic" w:cs="MS PGothic" w:eastAsia="MS PGothic" w:hAnsi="MS PGothic"/>
          <w:sz w:val="18"/>
          <w:szCs w:val="18"/>
          <w:color w:val="auto"/>
        </w:rPr>
      </w:pPr>
    </w:p>
    <w:p>
      <w:pPr>
        <w:ind w:left="660" w:hanging="655"/>
        <w:spacing w:after="0" w:line="223" w:lineRule="auto"/>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4"/>
          <w:szCs w:val="14"/>
          <w:color w:val="auto"/>
        </w:rPr>
        <w:t>Soliciting Material Pursuant to Section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2841625</wp:posOffset>
            </wp:positionH>
            <wp:positionV relativeFrom="paragraph">
              <wp:posOffset>144145</wp:posOffset>
            </wp:positionV>
            <wp:extent cx="1433195" cy="3327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3195" cy="3327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3860"/>
        <w:spacing w:after="0"/>
        <w:rPr>
          <w:sz w:val="20"/>
          <w:szCs w:val="20"/>
          <w:color w:val="auto"/>
        </w:rPr>
      </w:pPr>
      <w:r>
        <w:rPr>
          <w:rFonts w:ascii="Arial" w:cs="Arial" w:eastAsia="Arial" w:hAnsi="Arial"/>
          <w:sz w:val="25"/>
          <w:szCs w:val="25"/>
          <w:b w:val="1"/>
          <w:bCs w:val="1"/>
          <w:color w:val="auto"/>
        </w:rPr>
        <w:t>Lockheed Martin Corporation</w:t>
      </w:r>
    </w:p>
    <w:p>
      <w:pPr>
        <w:spacing w:after="0" w:line="299" w:lineRule="exact"/>
        <w:rPr>
          <w:sz w:val="24"/>
          <w:szCs w:val="24"/>
          <w:color w:val="auto"/>
        </w:rPr>
      </w:pPr>
    </w:p>
    <w:p>
      <w:pPr>
        <w:ind w:left="4100"/>
        <w:spacing w:after="0"/>
        <w:rPr>
          <w:sz w:val="20"/>
          <w:szCs w:val="20"/>
          <w:color w:val="auto"/>
        </w:rPr>
      </w:pPr>
      <w:r>
        <w:rPr>
          <w:rFonts w:ascii="Arial" w:cs="Arial" w:eastAsia="Arial" w:hAnsi="Arial"/>
          <w:sz w:val="14"/>
          <w:szCs w:val="14"/>
          <w:color w:val="auto"/>
        </w:rPr>
        <w:t>(Name of Registrant as Specified In Its Charter)</w:t>
      </w:r>
    </w:p>
    <w:p>
      <w:pPr>
        <w:spacing w:after="0" w:line="256" w:lineRule="exact"/>
        <w:rPr>
          <w:sz w:val="24"/>
          <w:szCs w:val="24"/>
          <w:color w:val="auto"/>
        </w:rPr>
      </w:pPr>
    </w:p>
    <w:p>
      <w:pPr>
        <w:jc w:val="right"/>
        <w:ind w:right="2199"/>
        <w:spacing w:after="0"/>
        <w:rPr>
          <w:sz w:val="20"/>
          <w:szCs w:val="20"/>
          <w:color w:val="auto"/>
        </w:rPr>
      </w:pPr>
      <w:r>
        <w:rPr>
          <w:rFonts w:ascii="Arial" w:cs="Arial" w:eastAsia="Arial" w:hAnsi="Arial"/>
          <w:sz w:val="14"/>
          <w:szCs w:val="14"/>
          <w:color w:val="auto"/>
        </w:rPr>
        <w:t>(Name of Person(s) Filing Proxy Statement, if Other Than the Registrant)</w:t>
      </w:r>
    </w:p>
    <w:p>
      <w:pPr>
        <w:spacing w:after="0" w:line="161"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all boxes that apply):</w:t>
      </w:r>
    </w:p>
    <w:p>
      <w:pPr>
        <w:spacing w:after="0" w:line="14" w:lineRule="exact"/>
        <w:rPr>
          <w:sz w:val="24"/>
          <w:szCs w:val="24"/>
          <w:color w:val="auto"/>
        </w:rPr>
      </w:pPr>
    </w:p>
    <w:p>
      <w:pPr>
        <w:ind w:left="660" w:hanging="655"/>
        <w:spacing w:after="0"/>
        <w:tabs>
          <w:tab w:leader="none" w:pos="660" w:val="left"/>
        </w:tabs>
        <w:numPr>
          <w:ilvl w:val="0"/>
          <w:numId w:val="6"/>
        </w:numPr>
        <w:rPr>
          <w:rFonts w:ascii="MS PGothic" w:cs="MS PGothic" w:eastAsia="MS PGothic" w:hAnsi="MS PGothic"/>
          <w:sz w:val="18"/>
          <w:szCs w:val="18"/>
          <w:color w:val="auto"/>
        </w:rPr>
      </w:pPr>
      <w:r>
        <w:rPr>
          <w:rFonts w:ascii="Arial" w:cs="Arial" w:eastAsia="Arial" w:hAnsi="Arial"/>
          <w:sz w:val="14"/>
          <w:szCs w:val="14"/>
          <w:color w:val="auto"/>
        </w:rPr>
        <w:t>No fee required.</w:t>
      </w:r>
    </w:p>
    <w:p>
      <w:pPr>
        <w:spacing w:after="0" w:line="44" w:lineRule="exact"/>
        <w:rPr>
          <w:sz w:val="24"/>
          <w:szCs w:val="24"/>
          <w:color w:val="auto"/>
        </w:rPr>
      </w:pPr>
    </w:p>
    <w:p>
      <w:pPr>
        <w:ind w:left="660" w:hanging="655"/>
        <w:spacing w:after="0"/>
        <w:tabs>
          <w:tab w:leader="none" w:pos="660" w:val="left"/>
        </w:tabs>
        <w:numPr>
          <w:ilvl w:val="0"/>
          <w:numId w:val="7"/>
        </w:numPr>
        <w:rPr>
          <w:rFonts w:ascii="MS PGothic" w:cs="MS PGothic" w:eastAsia="MS PGothic" w:hAnsi="MS PGothic"/>
          <w:sz w:val="18"/>
          <w:szCs w:val="18"/>
          <w:color w:val="auto"/>
        </w:rPr>
      </w:pPr>
      <w:r>
        <w:rPr>
          <w:rFonts w:ascii="Arial" w:cs="Arial" w:eastAsia="Arial" w:hAnsi="Arial"/>
          <w:sz w:val="14"/>
          <w:szCs w:val="14"/>
          <w:color w:val="auto"/>
        </w:rPr>
        <w:t>Fee paid previously with preliminary materials</w:t>
      </w:r>
    </w:p>
    <w:p>
      <w:pPr>
        <w:spacing w:after="0" w:line="56" w:lineRule="exact"/>
        <w:rPr>
          <w:rFonts w:ascii="MS PGothic" w:cs="MS PGothic" w:eastAsia="MS PGothic" w:hAnsi="MS PGothic"/>
          <w:sz w:val="18"/>
          <w:szCs w:val="18"/>
          <w:color w:val="auto"/>
        </w:rPr>
      </w:pPr>
    </w:p>
    <w:p>
      <w:pPr>
        <w:ind w:left="660" w:hanging="655"/>
        <w:spacing w:after="0" w:line="223" w:lineRule="auto"/>
        <w:tabs>
          <w:tab w:leader="none" w:pos="660" w:val="left"/>
        </w:tabs>
        <w:numPr>
          <w:ilvl w:val="0"/>
          <w:numId w:val="7"/>
        </w:numPr>
        <w:rPr>
          <w:rFonts w:ascii="MS PGothic" w:cs="MS PGothic" w:eastAsia="MS PGothic" w:hAnsi="MS PGothic"/>
          <w:sz w:val="18"/>
          <w:szCs w:val="18"/>
          <w:color w:val="auto"/>
        </w:rPr>
      </w:pPr>
      <w:r>
        <w:rPr>
          <w:rFonts w:ascii="Arial" w:cs="Arial" w:eastAsia="Arial" w:hAnsi="Arial"/>
          <w:sz w:val="14"/>
          <w:szCs w:val="14"/>
          <w:color w:val="auto"/>
        </w:rPr>
        <w:t>Fee computed on table in exhibit required by Item 25(b) per Exchange Act Rules 14a-6(i)(1) and 0-11</w:t>
      </w:r>
    </w:p>
    <w:p>
      <w:pPr>
        <w:sectPr>
          <w:pgSz w:w="11900" w:h="16838" w:orient="portrait"/>
          <w:cols w:equalWidth="0" w:num="1">
            <w:col w:w="10119"/>
          </w:cols>
          <w:pgMar w:left="340" w:top="1309" w:right="1440" w:bottom="1440" w:gutter="0" w:footer="0" w:header="0"/>
        </w:sectPr>
      </w:pPr>
    </w:p>
    <w:bookmarkStart w:id="1" w:name="page2"/>
    <w:bookmarkEnd w:id="1"/>
    <w:p>
      <w:pPr>
        <w:spacing w:after="0" w:line="223" w:lineRule="auto"/>
        <w:tabs>
          <w:tab w:leader="none" w:pos="66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617220</wp:posOffset>
            </wp:positionH>
            <wp:positionV relativeFrom="page">
              <wp:posOffset>379095</wp:posOffset>
            </wp:positionV>
            <wp:extent cx="6757670" cy="8805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6757670" cy="8805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23" w:lineRule="auto"/>
        <w:tabs>
          <w:tab w:leader="none" w:pos="660" w:val="left"/>
        </w:tabs>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left="20" w:right="8480"/>
        <w:spacing w:after="0" w:line="262" w:lineRule="auto"/>
        <w:rPr>
          <w:sz w:val="20"/>
          <w:szCs w:val="20"/>
          <w:color w:val="auto"/>
        </w:rPr>
      </w:pPr>
      <w:r>
        <w:rPr>
          <w:rFonts w:ascii="Arial" w:cs="Arial" w:eastAsia="Arial" w:hAnsi="Arial"/>
          <w:sz w:val="42"/>
          <w:szCs w:val="42"/>
          <w:color w:val="003478"/>
        </w:rPr>
        <w:drawing>
          <wp:anchor simplePos="0" relativeHeight="251657728" behindDoc="1" locked="0" layoutInCell="0" allowOverlap="1">
            <wp:simplePos x="0" y="0"/>
            <wp:positionH relativeFrom="page">
              <wp:posOffset>2818765</wp:posOffset>
            </wp:positionH>
            <wp:positionV relativeFrom="page">
              <wp:posOffset>856615</wp:posOffset>
            </wp:positionV>
            <wp:extent cx="4095750" cy="1365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4095750" cy="1365250"/>
                    </a:xfrm>
                    <a:prstGeom prst="rect">
                      <a:avLst/>
                    </a:prstGeom>
                    <a:noFill/>
                  </pic:spPr>
                </pic:pic>
              </a:graphicData>
            </a:graphic>
          </wp:anchor>
        </w:drawing>
        <w:t>Message from the Board of Directors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color w:val="auto"/>
        </w:rPr>
        <w:t>March 11, 2022</w:t>
      </w:r>
    </w:p>
    <w:p>
      <w:pPr>
        <w:spacing w:after="0" w:line="76" w:lineRule="exact"/>
        <w:rPr>
          <w:sz w:val="20"/>
          <w:szCs w:val="20"/>
          <w:color w:val="auto"/>
        </w:rPr>
      </w:pPr>
    </w:p>
    <w:p>
      <w:pPr>
        <w:spacing w:after="0"/>
        <w:rPr>
          <w:sz w:val="20"/>
          <w:szCs w:val="20"/>
          <w:color w:val="auto"/>
        </w:rPr>
      </w:pPr>
      <w:r>
        <w:rPr>
          <w:rFonts w:ascii="Arial" w:cs="Arial" w:eastAsia="Arial" w:hAnsi="Arial"/>
          <w:sz w:val="20"/>
          <w:szCs w:val="20"/>
          <w:color w:val="003478"/>
        </w:rPr>
        <w:t>Dear Fellow Stockholders:</w:t>
      </w:r>
    </w:p>
    <w:p>
      <w:pPr>
        <w:spacing w:after="0" w:line="6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are pleased to invite you to attend Lockheed Martin’s 2022 Annual Meeting of Stockholders on Thursday, April 21, 2022. At the meeting, you will have the chance to vote on the matters set forth in the accompanying Notice of 2022 Annual Meeting of Stockholders. There will also be time for your questions and comments.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003478"/>
        </w:rPr>
        <w:t>Transforming our Business and Accelerating the Delivery of Enhanced Capabilities to Customers</w:t>
      </w:r>
    </w:p>
    <w:p>
      <w:pPr>
        <w:spacing w:after="0" w:line="93" w:lineRule="exact"/>
        <w:rPr>
          <w:sz w:val="20"/>
          <w:szCs w:val="20"/>
          <w:color w:val="auto"/>
        </w:rPr>
      </w:pPr>
    </w:p>
    <w:p>
      <w:pPr>
        <w:ind w:right="100"/>
        <w:spacing w:after="0" w:line="249" w:lineRule="auto"/>
        <w:rPr>
          <w:sz w:val="20"/>
          <w:szCs w:val="20"/>
          <w:color w:val="auto"/>
        </w:rPr>
      </w:pPr>
      <w:r>
        <w:rPr>
          <w:rFonts w:ascii="Arial" w:cs="Arial" w:eastAsia="Arial" w:hAnsi="Arial"/>
          <w:sz w:val="17"/>
          <w:szCs w:val="17"/>
          <w:color w:val="auto"/>
        </w:rPr>
        <w:t>The world has transformed over the past two years as it adapted to COVID-19 and Lockheed Martin has been no exception. As a board, we are deeply proud of how our employees have overcome, persevered, and innovated throughout the pandemic to continue to deliver on our customer commitments. As a company, we have made it a strategic priority to embrace new business processes, deploy new digital tools, and apply a OneLM mindset. By doing so, we can act with greater speed, agility, and insights to better serve our customers in meeting their cost, quality and capability requirements. We are also investing to accelerate the delivery of key technologies to enable Joint All-Domain Operations. Lockheed Martin’s more than 100-year legacy developing cutting-edge technologies has made our name synonymous with innovation. Our transformation efforts and our investments are positioning our company to uphold that legacy.</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003478"/>
        </w:rPr>
        <w:t>Environmental, Social and Governance Priorities</w:t>
      </w:r>
    </w:p>
    <w:p>
      <w:pPr>
        <w:spacing w:after="0" w:line="107"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Our stockholders and other stakeholders are increasingly focused on environmental, social, and governance (ESG) matters. The board recognizes the importance of building a sustainable corporation so we are actively engaged in overseeing the company’s sustainability efforts. The feedback we get from our investors on the importance of these issues during our year-round engagement is integral to the Board’s decision-making process and helps to inform our policies practices and disclosures. This year, we took steps to enhance our ESG practices and disclosures in several areas:</w:t>
      </w:r>
    </w:p>
    <w:p>
      <w:pPr>
        <w:spacing w:after="0" w:line="59" w:lineRule="exact"/>
        <w:rPr>
          <w:sz w:val="20"/>
          <w:szCs w:val="20"/>
          <w:color w:val="auto"/>
        </w:rPr>
      </w:pPr>
    </w:p>
    <w:p>
      <w:pPr>
        <w:jc w:val="both"/>
        <w:ind w:left="340" w:right="340" w:hanging="171"/>
        <w:spacing w:after="0" w:line="247" w:lineRule="auto"/>
        <w:tabs>
          <w:tab w:leader="none" w:pos="305" w:val="left"/>
        </w:tabs>
        <w:numPr>
          <w:ilvl w:val="0"/>
          <w:numId w:val="8"/>
        </w:numPr>
        <w:rPr>
          <w:rFonts w:ascii="Arial" w:cs="Arial" w:eastAsia="Arial" w:hAnsi="Arial"/>
          <w:sz w:val="17"/>
          <w:szCs w:val="17"/>
          <w:color w:val="003478"/>
        </w:rPr>
      </w:pPr>
      <w:r>
        <w:rPr>
          <w:rFonts w:ascii="Arial" w:cs="Arial" w:eastAsia="Arial" w:hAnsi="Arial"/>
          <w:sz w:val="17"/>
          <w:szCs w:val="17"/>
          <w:color w:val="auto"/>
        </w:rPr>
        <w:t>We enhanced transparency of our diversity and inclusion progress by publishing our EEO-1 report data, and disclosing our goals to increase representation of women and people of color in our workforce and increase the hiring of veterans and people with disabilities, as disclosed in detail in our Sustainability Management Plan.</w:t>
      </w:r>
    </w:p>
    <w:p>
      <w:pPr>
        <w:spacing w:after="0" w:line="1" w:lineRule="exact"/>
        <w:rPr>
          <w:rFonts w:ascii="Arial" w:cs="Arial" w:eastAsia="Arial" w:hAnsi="Arial"/>
          <w:sz w:val="17"/>
          <w:szCs w:val="17"/>
          <w:color w:val="003478"/>
        </w:rPr>
      </w:pPr>
    </w:p>
    <w:p>
      <w:pPr>
        <w:ind w:left="340" w:right="540" w:hanging="171"/>
        <w:spacing w:after="0" w:line="247" w:lineRule="auto"/>
        <w:tabs>
          <w:tab w:leader="none" w:pos="305" w:val="left"/>
        </w:tabs>
        <w:numPr>
          <w:ilvl w:val="0"/>
          <w:numId w:val="8"/>
        </w:numPr>
        <w:rPr>
          <w:rFonts w:ascii="Arial" w:cs="Arial" w:eastAsia="Arial" w:hAnsi="Arial"/>
          <w:sz w:val="17"/>
          <w:szCs w:val="17"/>
          <w:color w:val="003478"/>
        </w:rPr>
      </w:pPr>
      <w:r>
        <w:rPr>
          <w:rFonts w:ascii="Arial" w:cs="Arial" w:eastAsia="Arial" w:hAnsi="Arial"/>
          <w:sz w:val="17"/>
          <w:szCs w:val="17"/>
          <w:color w:val="auto"/>
        </w:rPr>
        <w:t>We published our first Human Rights Report to further enhance the availability and transparency of information related to our human rights policies, procedures, initiatives and approach.</w:t>
      </w:r>
    </w:p>
    <w:p>
      <w:pPr>
        <w:ind w:left="340" w:right="140" w:hanging="171"/>
        <w:spacing w:after="0" w:line="247" w:lineRule="auto"/>
        <w:tabs>
          <w:tab w:leader="none" w:pos="305" w:val="left"/>
        </w:tabs>
        <w:numPr>
          <w:ilvl w:val="0"/>
          <w:numId w:val="8"/>
        </w:numPr>
        <w:rPr>
          <w:rFonts w:ascii="Arial" w:cs="Arial" w:eastAsia="Arial" w:hAnsi="Arial"/>
          <w:sz w:val="17"/>
          <w:szCs w:val="17"/>
          <w:color w:val="003478"/>
        </w:rPr>
      </w:pPr>
      <w:r>
        <w:rPr>
          <w:rFonts w:ascii="Arial" w:cs="Arial" w:eastAsia="Arial" w:hAnsi="Arial"/>
          <w:sz w:val="17"/>
          <w:szCs w:val="17"/>
          <w:color w:val="auto"/>
        </w:rPr>
        <w:t>We published our fourth-generation Go Green goals, including an ambitious new goal to significantly reduce emissions by 2030, as we consider additional capital investments and initiatives to accelerate our decarbonization progress.</w:t>
      </w:r>
    </w:p>
    <w:p>
      <w:pPr>
        <w:ind w:left="340" w:right="60" w:hanging="171"/>
        <w:spacing w:after="0" w:line="225" w:lineRule="auto"/>
        <w:tabs>
          <w:tab w:leader="none" w:pos="305" w:val="left"/>
        </w:tabs>
        <w:numPr>
          <w:ilvl w:val="0"/>
          <w:numId w:val="8"/>
        </w:numPr>
        <w:rPr>
          <w:rFonts w:ascii="Arial" w:cs="Arial" w:eastAsia="Arial" w:hAnsi="Arial"/>
          <w:sz w:val="17"/>
          <w:szCs w:val="17"/>
          <w:color w:val="003478"/>
        </w:rPr>
      </w:pPr>
      <w:r>
        <w:rPr>
          <w:rFonts w:ascii="Arial" w:cs="Arial" w:eastAsia="Arial" w:hAnsi="Arial"/>
          <w:sz w:val="17"/>
          <w:szCs w:val="17"/>
          <w:color w:val="auto"/>
        </w:rPr>
        <w:t>We continued to provide stakeholders with ESG data by publishing our 10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annual Sustainability Report in accordance with the Global Reporting Initiative (GRI) framework and making available a Sustainability Accounting Standards Board (SASB) report and a Climate-Related Risk and Opportunity Assessment based on the Task Force on Climate-Related Financial Disclosures (TCFD).</w:t>
      </w:r>
    </w:p>
    <w:p>
      <w:pPr>
        <w:ind w:left="340" w:hanging="171"/>
        <w:spacing w:after="0" w:line="247" w:lineRule="auto"/>
        <w:tabs>
          <w:tab w:leader="none" w:pos="305" w:val="left"/>
        </w:tabs>
        <w:numPr>
          <w:ilvl w:val="0"/>
          <w:numId w:val="8"/>
        </w:numPr>
        <w:rPr>
          <w:rFonts w:ascii="Arial" w:cs="Arial" w:eastAsia="Arial" w:hAnsi="Arial"/>
          <w:sz w:val="17"/>
          <w:szCs w:val="17"/>
          <w:color w:val="003478"/>
        </w:rPr>
      </w:pPr>
      <w:r>
        <w:rPr>
          <w:rFonts w:ascii="Arial" w:cs="Arial" w:eastAsia="Arial" w:hAnsi="Arial"/>
          <w:sz w:val="17"/>
          <w:szCs w:val="17"/>
          <w:color w:val="auto"/>
        </w:rPr>
        <w:t>We have continued to focus on board diversity and on ensuring our Board composition and skills are aligned with our strategy, with the addition of Patricia Yarrington and John Donovan to the Board during 2021, building on other recent refreshments.</w:t>
      </w:r>
    </w:p>
    <w:p>
      <w:pPr>
        <w:ind w:left="300" w:hanging="131"/>
        <w:spacing w:after="0"/>
        <w:tabs>
          <w:tab w:leader="none" w:pos="300" w:val="left"/>
        </w:tabs>
        <w:numPr>
          <w:ilvl w:val="0"/>
          <w:numId w:val="8"/>
        </w:numPr>
        <w:rPr>
          <w:rFonts w:ascii="Arial" w:cs="Arial" w:eastAsia="Arial" w:hAnsi="Arial"/>
          <w:sz w:val="17"/>
          <w:szCs w:val="17"/>
          <w:color w:val="003478"/>
        </w:rPr>
      </w:pPr>
      <w:r>
        <w:rPr>
          <w:rFonts w:ascii="Arial" w:cs="Arial" w:eastAsia="Arial" w:hAnsi="Arial"/>
          <w:sz w:val="17"/>
          <w:szCs w:val="17"/>
          <w:color w:val="auto"/>
        </w:rPr>
        <w:t>We have added a new section in the proxy statement to provide additional transparency about the company’s political and public policy activities.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003478"/>
        </w:rPr>
        <w:t>Shared Purpose</w:t>
      </w:r>
    </w:p>
    <w:p>
      <w:pPr>
        <w:spacing w:after="0" w:line="107"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 xml:space="preserve">The challenges we have faced over the past year have underscored the importance of working with shared purpose. The foundation of our continued success will always be a commitment to our core values to – </w:t>
      </w:r>
      <w:r>
        <w:rPr>
          <w:rFonts w:ascii="Arial" w:cs="Arial" w:eastAsia="Arial" w:hAnsi="Arial"/>
          <w:sz w:val="17"/>
          <w:szCs w:val="17"/>
          <w:i w:val="1"/>
          <w:iCs w:val="1"/>
          <w:color w:val="auto"/>
        </w:rPr>
        <w:t>Do What’s Right, Respect Others, and Perform with Excellence</w:t>
      </w:r>
      <w:r>
        <w:rPr>
          <w:rFonts w:ascii="Arial" w:cs="Arial" w:eastAsia="Arial" w:hAnsi="Arial"/>
          <w:sz w:val="17"/>
          <w:szCs w:val="17"/>
          <w:color w:val="auto"/>
        </w:rPr>
        <w:t>. These core values advance our mission to help our customers keep people safe.</w:t>
      </w:r>
    </w:p>
    <w:p>
      <w:pPr>
        <w:spacing w:after="0" w:line="56" w:lineRule="exact"/>
        <w:rPr>
          <w:sz w:val="20"/>
          <w:szCs w:val="20"/>
          <w:color w:val="auto"/>
        </w:rPr>
      </w:pPr>
    </w:p>
    <w:p>
      <w:pPr>
        <w:ind w:right="660"/>
        <w:spacing w:after="0" w:line="257" w:lineRule="auto"/>
        <w:rPr>
          <w:sz w:val="20"/>
          <w:szCs w:val="20"/>
          <w:color w:val="auto"/>
        </w:rPr>
      </w:pPr>
      <w:r>
        <w:rPr>
          <w:rFonts w:ascii="Arial" w:cs="Arial" w:eastAsia="Arial" w:hAnsi="Arial"/>
          <w:sz w:val="17"/>
          <w:szCs w:val="17"/>
          <w:color w:val="auto"/>
        </w:rPr>
        <w:t>We are grateful to serve on your behalf and thank you for your investments in Lockheed Martin. Your vote is important. We encourage you to promptly cast your vote in accordance with the Board’s recommendations.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auto"/>
        </w:rPr>
        <w:t>Sincerely, The Lockheed Martin Board of Directors</w:t>
      </w:r>
    </w:p>
    <w:p>
      <w:pPr>
        <w:spacing w:after="0" w:line="84" w:lineRule="exact"/>
        <w:rPr>
          <w:sz w:val="20"/>
          <w:szCs w:val="20"/>
          <w:color w:val="auto"/>
        </w:rPr>
      </w:pPr>
    </w:p>
    <w:p>
      <w:pPr>
        <w:ind w:left="260" w:right="80" w:hanging="253"/>
        <w:spacing w:after="0" w:line="277" w:lineRule="auto"/>
        <w:tabs>
          <w:tab w:leader="none" w:pos="217"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From left to right: David B. Burritt, James O. Ellis, Jr., Vicki A. Hollub, Thomas J. Falk, Ilene S. Gordon, Daniel F. Akerson, James D. Taiclet, Debra L. Reed-Klages, Bruce A. Carlson, Patricia E. Yarrington, Jeh C. Johnson, John M. Donovan and Joseph F. Dunford, Jr.</w:t>
      </w:r>
    </w:p>
    <w:p>
      <w:pPr>
        <w:sectPr>
          <w:pgSz w:w="11900" w:h="16838" w:orient="portrait"/>
          <w:cols w:equalWidth="0" w:num="1">
            <w:col w:w="11220"/>
          </w:cols>
          <w:pgMar w:left="320" w:top="1388" w:right="359" w:bottom="1440" w:gutter="0" w:footer="0" w:header="0"/>
        </w:sectPr>
      </w:pPr>
    </w:p>
    <w:bookmarkStart w:id="4" w:name="page5"/>
    <w:bookmarkEnd w:id="4"/>
    <w:p>
      <w:pPr>
        <w:spacing w:after="0"/>
        <w:rPr>
          <w:sz w:val="20"/>
          <w:szCs w:val="20"/>
          <w:color w:val="auto"/>
        </w:rPr>
      </w:pPr>
      <w:r>
        <w:rPr>
          <w:rFonts w:ascii="Arial" w:cs="Arial" w:eastAsia="Arial" w:hAnsi="Arial"/>
          <w:sz w:val="43"/>
          <w:szCs w:val="43"/>
          <w:color w:val="003478"/>
        </w:rPr>
        <w:t>Notice of 2022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7132955" cy="742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742315"/>
                    </a:xfrm>
                    <a:prstGeom prst="rect">
                      <a:avLst/>
                    </a:prstGeom>
                    <a:noFill/>
                  </pic:spPr>
                </pic:pic>
              </a:graphicData>
            </a:graphic>
          </wp:anchor>
        </w:drawing>
      </w:r>
    </w:p>
    <w:p>
      <w:pPr>
        <w:spacing w:after="0" w:line="174" w:lineRule="exact"/>
        <w:rPr>
          <w:sz w:val="20"/>
          <w:szCs w:val="20"/>
          <w:color w:val="auto"/>
        </w:rPr>
      </w:pPr>
    </w:p>
    <w:p>
      <w:pPr>
        <w:ind w:left="20"/>
        <w:spacing w:after="0"/>
        <w:rPr>
          <w:sz w:val="20"/>
          <w:szCs w:val="20"/>
          <w:color w:val="auto"/>
        </w:rPr>
      </w:pPr>
      <w:r>
        <w:rPr>
          <w:rFonts w:ascii="Arial" w:cs="Arial" w:eastAsia="Arial" w:hAnsi="Arial"/>
          <w:sz w:val="25"/>
          <w:szCs w:val="25"/>
          <w:color w:val="002E6D"/>
        </w:rPr>
        <w:t>Lockheed Martin Virtual Annual Meeting</w:t>
      </w:r>
    </w:p>
    <w:p>
      <w:pPr>
        <w:spacing w:after="0" w:line="40"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21"/>
          <w:szCs w:val="21"/>
          <w:color w:val="002E6D"/>
        </w:rPr>
        <w:t>When:</w:t>
      </w:r>
      <w:r>
        <w:rPr>
          <w:sz w:val="20"/>
          <w:szCs w:val="20"/>
          <w:color w:val="auto"/>
        </w:rPr>
        <w:tab/>
      </w:r>
      <w:r>
        <w:rPr>
          <w:rFonts w:ascii="Arial" w:cs="Arial" w:eastAsia="Arial" w:hAnsi="Arial"/>
          <w:sz w:val="21"/>
          <w:szCs w:val="21"/>
          <w:color w:val="002E6D"/>
        </w:rPr>
        <w:t>Live Webcast Access:</w:t>
      </w:r>
    </w:p>
    <w:p>
      <w:pPr>
        <w:spacing w:after="0" w:line="1" w:lineRule="exact"/>
        <w:rPr>
          <w:sz w:val="20"/>
          <w:szCs w:val="20"/>
          <w:color w:val="auto"/>
        </w:rPr>
      </w:pPr>
    </w:p>
    <w:p>
      <w:pPr>
        <w:ind w:left="20"/>
        <w:spacing w:after="0"/>
        <w:tabs>
          <w:tab w:leader="none" w:pos="5600" w:val="left"/>
        </w:tabs>
        <w:rPr>
          <w:sz w:val="20"/>
          <w:szCs w:val="20"/>
          <w:color w:val="auto"/>
        </w:rPr>
      </w:pPr>
      <w:r>
        <w:rPr>
          <w:rFonts w:ascii="Arial" w:cs="Arial" w:eastAsia="Arial" w:hAnsi="Arial"/>
          <w:sz w:val="17"/>
          <w:szCs w:val="17"/>
          <w:color w:val="auto"/>
        </w:rPr>
        <w:t>Thursday, April 21, 2022, 9:00 a.m. EDT</w:t>
      </w:r>
      <w:r>
        <w:rPr>
          <w:sz w:val="20"/>
          <w:szCs w:val="20"/>
          <w:color w:val="auto"/>
        </w:rPr>
        <w:tab/>
      </w:r>
      <w:r>
        <w:rPr>
          <w:rFonts w:ascii="Arial" w:cs="Arial" w:eastAsia="Arial" w:hAnsi="Arial"/>
          <w:sz w:val="16"/>
          <w:szCs w:val="16"/>
          <w:color w:val="auto"/>
        </w:rPr>
        <w:t xml:space="preserve">Online audio webcast at: </w:t>
      </w:r>
      <w:r>
        <w:rPr>
          <w:rFonts w:ascii="Arial" w:cs="Arial" w:eastAsia="Arial" w:hAnsi="Arial"/>
          <w:sz w:val="16"/>
          <w:szCs w:val="16"/>
          <w:b w:val="1"/>
          <w:bCs w:val="1"/>
          <w:i w:val="1"/>
          <w:iCs w:val="1"/>
          <w:color w:val="auto"/>
        </w:rPr>
        <w:t>www.meetnow.global/LMT2022</w:t>
      </w:r>
    </w:p>
    <w:p>
      <w:pPr>
        <w:spacing w:after="0" w:line="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(You may begin to log in at 8:30 a.m. 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32955" cy="6140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61404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21"/>
          <w:szCs w:val="21"/>
          <w:color w:val="002E6D"/>
        </w:rPr>
        <w:t>Who Can Vote:</w:t>
      </w:r>
    </w:p>
    <w:p>
      <w:pPr>
        <w:spacing w:after="0" w:line="1" w:lineRule="exact"/>
        <w:rPr>
          <w:sz w:val="20"/>
          <w:szCs w:val="20"/>
          <w:color w:val="auto"/>
        </w:rPr>
      </w:pPr>
    </w:p>
    <w:p>
      <w:pPr>
        <w:ind w:left="20" w:right="100"/>
        <w:spacing w:after="0" w:line="252" w:lineRule="auto"/>
        <w:rPr>
          <w:sz w:val="20"/>
          <w:szCs w:val="20"/>
          <w:color w:val="auto"/>
        </w:rPr>
      </w:pPr>
      <w:r>
        <w:rPr>
          <w:rFonts w:ascii="Arial" w:cs="Arial" w:eastAsia="Arial" w:hAnsi="Arial"/>
          <w:sz w:val="17"/>
          <w:szCs w:val="17"/>
          <w:color w:val="auto"/>
        </w:rPr>
        <w:t>Stockholders of record at the close of business on February 25, 2022 are entitled to vote. Whether or not you plan to attend the Annual Meeting, we encourage you to vote and submit your proxy in advance of the meeting by one of the methods described below. See pages 80-84 for additional information regarding accessing the Annual Meeting and how to vote your shares.</w:t>
      </w:r>
    </w:p>
    <w:p>
      <w:pPr>
        <w:spacing w:after="0" w:line="217" w:lineRule="exact"/>
        <w:rPr>
          <w:sz w:val="20"/>
          <w:szCs w:val="20"/>
          <w:color w:val="auto"/>
        </w:rPr>
      </w:pPr>
    </w:p>
    <w:p>
      <w:pPr>
        <w:ind w:right="20"/>
        <w:spacing w:after="0" w:line="250" w:lineRule="auto"/>
        <w:rPr>
          <w:sz w:val="20"/>
          <w:szCs w:val="20"/>
          <w:color w:val="auto"/>
        </w:rPr>
      </w:pPr>
      <w:r>
        <w:rPr>
          <w:rFonts w:ascii="Arial" w:cs="Arial" w:eastAsia="Arial" w:hAnsi="Arial"/>
          <w:sz w:val="17"/>
          <w:szCs w:val="17"/>
          <w:color w:val="auto"/>
        </w:rPr>
        <w:t>The 2022 Annual Meeting will be conducted online only through a live audio webcast via the Internet to facilitate stockholder attendance and to enable stockholders to participate fully and equally, regardless of size of holdings, resources, or physical location. We have enclosed our 2021 Annual Report to Stockholders. The report is not part of the proxy soliciting materials for the 2022 Annual Meeting. The Proxy Materials or a Notice of Internet Availability were first sent to stockholders on or about March 11, 2022.</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We will consider the five proposals below and any other matters that may properly come before the meeting.</w:t>
      </w:r>
    </w:p>
    <w:p>
      <w:pPr>
        <w:spacing w:after="0" w:line="100" w:lineRule="exact"/>
        <w:rPr>
          <w:sz w:val="20"/>
          <w:szCs w:val="20"/>
          <w:color w:val="auto"/>
        </w:rPr>
      </w:pPr>
    </w:p>
    <w:p>
      <w:pPr>
        <w:spacing w:after="0"/>
        <w:rPr>
          <w:sz w:val="20"/>
          <w:szCs w:val="20"/>
          <w:color w:val="auto"/>
        </w:rPr>
      </w:pPr>
      <w:r>
        <w:rPr>
          <w:rFonts w:ascii="Arial" w:cs="Arial" w:eastAsia="Arial" w:hAnsi="Arial"/>
          <w:sz w:val="21"/>
          <w:szCs w:val="21"/>
          <w:color w:val="003478"/>
        </w:rPr>
        <w:t>Voting Matters and Board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72390</wp:posOffset>
            </wp:positionV>
            <wp:extent cx="7132955" cy="67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6794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sectPr>
      </w:pPr>
    </w:p>
    <w:p>
      <w:pPr>
        <w:spacing w:after="0" w:line="358" w:lineRule="exact"/>
        <w:rPr>
          <w:sz w:val="20"/>
          <w:szCs w:val="20"/>
          <w:color w:val="auto"/>
        </w:rPr>
      </w:pPr>
    </w:p>
    <w:p>
      <w:pPr>
        <w:ind w:left="20"/>
        <w:spacing w:after="0"/>
        <w:tabs>
          <w:tab w:leader="none" w:pos="3600" w:val="left"/>
        </w:tabs>
        <w:rPr>
          <w:sz w:val="20"/>
          <w:szCs w:val="20"/>
          <w:color w:val="auto"/>
        </w:rPr>
      </w:pPr>
      <w:r>
        <w:rPr>
          <w:rFonts w:ascii="Arial" w:cs="Arial" w:eastAsia="Arial" w:hAnsi="Arial"/>
          <w:sz w:val="16"/>
          <w:szCs w:val="16"/>
          <w:color w:val="002E6D"/>
        </w:rPr>
        <w:t>Proposal 1</w:t>
      </w:r>
      <w:r>
        <w:rPr>
          <w:sz w:val="20"/>
          <w:szCs w:val="20"/>
          <w:color w:val="auto"/>
        </w:rPr>
        <w:tab/>
      </w:r>
      <w:r>
        <w:rPr>
          <w:rFonts w:ascii="Arial" w:cs="Arial" w:eastAsia="Arial" w:hAnsi="Arial"/>
          <w:sz w:val="16"/>
          <w:szCs w:val="16"/>
          <w:color w:val="002E6D"/>
        </w:rPr>
        <w:t>Proposal 2</w:t>
      </w:r>
    </w:p>
    <w:p>
      <w:pPr>
        <w:spacing w:after="0" w:line="7" w:lineRule="exact"/>
        <w:rPr>
          <w:sz w:val="20"/>
          <w:szCs w:val="20"/>
          <w:color w:val="auto"/>
        </w:rPr>
      </w:pPr>
    </w:p>
    <w:p>
      <w:pPr>
        <w:ind w:left="20"/>
        <w:spacing w:after="0"/>
        <w:tabs>
          <w:tab w:leader="none" w:pos="3600" w:val="left"/>
        </w:tabs>
        <w:rPr>
          <w:sz w:val="20"/>
          <w:szCs w:val="20"/>
          <w:color w:val="auto"/>
        </w:rPr>
      </w:pPr>
      <w:r>
        <w:rPr>
          <w:rFonts w:ascii="Arial" w:cs="Arial" w:eastAsia="Arial" w:hAnsi="Arial"/>
          <w:sz w:val="14"/>
          <w:szCs w:val="14"/>
          <w:color w:val="818EB4"/>
        </w:rPr>
        <w:t>Election of 13 Director Nominees</w:t>
      </w:r>
      <w:r>
        <w:rPr>
          <w:sz w:val="20"/>
          <w:szCs w:val="20"/>
          <w:color w:val="auto"/>
        </w:rPr>
        <w:tab/>
      </w:r>
      <w:r>
        <w:rPr>
          <w:rFonts w:ascii="Arial" w:cs="Arial" w:eastAsia="Arial" w:hAnsi="Arial"/>
          <w:sz w:val="14"/>
          <w:szCs w:val="14"/>
          <w:color w:val="818EB4"/>
        </w:rPr>
        <w:t>Ratification of the Appointment of Ernst &amp; Young LLP as our</w:t>
      </w:r>
    </w:p>
    <w:p>
      <w:pPr>
        <w:ind w:left="3620"/>
        <w:spacing w:after="0"/>
        <w:rPr>
          <w:sz w:val="20"/>
          <w:szCs w:val="20"/>
          <w:color w:val="auto"/>
        </w:rPr>
      </w:pPr>
      <w:r>
        <w:rPr>
          <w:rFonts w:ascii="Arial" w:cs="Arial" w:eastAsia="Arial" w:hAnsi="Arial"/>
          <w:sz w:val="14"/>
          <w:szCs w:val="14"/>
          <w:color w:val="818EB4"/>
        </w:rPr>
        <w:t>Independent Auditors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73660</wp:posOffset>
            </wp:positionV>
            <wp:extent cx="136525" cy="102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525" cy="102235"/>
                    </a:xfrm>
                    <a:prstGeom prst="rect">
                      <a:avLst/>
                    </a:prstGeom>
                    <a:noFill/>
                  </pic:spPr>
                </pic:pic>
              </a:graphicData>
            </a:graphic>
          </wp:anchor>
        </w:drawing>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4"/>
          <w:szCs w:val="14"/>
          <w:color w:val="002E6D"/>
        </w:rPr>
        <w:t xml:space="preserve">See pages 7-15 for further information.          </w:t>
      </w:r>
      <w:r>
        <w:rPr>
          <w:sz w:val="1"/>
          <w:szCs w:val="1"/>
          <w:color w:val="auto"/>
        </w:rPr>
        <w:drawing>
          <wp:inline distT="0" distB="0" distL="0" distR="0">
            <wp:extent cx="136525" cy="1022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6525" cy="102235"/>
                    </a:xfrm>
                    <a:prstGeom prst="rect">
                      <a:avLst/>
                    </a:prstGeom>
                    <a:noFill/>
                    <a:ln>
                      <a:noFill/>
                    </a:ln>
                  </pic:spPr>
                </pic:pic>
              </a:graphicData>
            </a:graphic>
          </wp:inline>
        </w:drawing>
      </w:r>
      <w:r>
        <w:rPr>
          <w:rFonts w:ascii="Arial" w:cs="Arial" w:eastAsia="Arial" w:hAnsi="Arial"/>
          <w:sz w:val="14"/>
          <w:szCs w:val="14"/>
          <w:color w:val="002E6D"/>
        </w:rPr>
        <w:t xml:space="preserve">   See pages 33-34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47351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3519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245745</wp:posOffset>
            </wp:positionV>
            <wp:extent cx="153670" cy="1536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3670" cy="1536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8" w:lineRule="exact"/>
        <w:rPr>
          <w:sz w:val="20"/>
          <w:szCs w:val="20"/>
          <w:color w:val="auto"/>
        </w:rPr>
      </w:pPr>
    </w:p>
    <w:p>
      <w:pPr>
        <w:spacing w:after="0"/>
        <w:rPr>
          <w:sz w:val="20"/>
          <w:szCs w:val="20"/>
          <w:color w:val="auto"/>
        </w:rPr>
      </w:pPr>
      <w:r>
        <w:rPr>
          <w:rFonts w:ascii="Arial" w:cs="Arial" w:eastAsia="Arial" w:hAnsi="Arial"/>
          <w:sz w:val="16"/>
          <w:szCs w:val="16"/>
          <w:color w:val="002E6D"/>
        </w:rPr>
        <w:t>Proposal 3</w:t>
      </w:r>
    </w:p>
    <w:p>
      <w:pPr>
        <w:spacing w:after="0" w:line="34" w:lineRule="exact"/>
        <w:rPr>
          <w:sz w:val="20"/>
          <w:szCs w:val="20"/>
          <w:color w:val="auto"/>
        </w:rPr>
      </w:pPr>
    </w:p>
    <w:p>
      <w:pPr>
        <w:ind w:right="400"/>
        <w:spacing w:after="0" w:line="228" w:lineRule="auto"/>
        <w:rPr>
          <w:sz w:val="20"/>
          <w:szCs w:val="20"/>
          <w:color w:val="auto"/>
        </w:rPr>
      </w:pPr>
      <w:r>
        <w:rPr>
          <w:rFonts w:ascii="Arial" w:cs="Arial" w:eastAsia="Arial" w:hAnsi="Arial"/>
          <w:sz w:val="14"/>
          <w:szCs w:val="14"/>
          <w:color w:val="818EB4"/>
        </w:rPr>
        <w:t>Advisory Vote to Approve the Compensation of our Named Executive Officers (Say-on-Pay)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67310</wp:posOffset>
            </wp:positionV>
            <wp:extent cx="136525" cy="102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6525" cy="102235"/>
                    </a:xfrm>
                    <a:prstGeom prst="rect">
                      <a:avLst/>
                    </a:prstGeom>
                    <a:noFill/>
                  </pic:spPr>
                </pic:pic>
              </a:graphicData>
            </a:graphic>
          </wp:anchor>
        </w:drawing>
      </w:r>
    </w:p>
    <w:p>
      <w:pPr>
        <w:spacing w:after="0" w:line="131" w:lineRule="exact"/>
        <w:rPr>
          <w:sz w:val="20"/>
          <w:szCs w:val="20"/>
          <w:color w:val="auto"/>
        </w:rPr>
      </w:pPr>
    </w:p>
    <w:p>
      <w:pPr>
        <w:ind w:left="400"/>
        <w:spacing w:after="0"/>
        <w:rPr>
          <w:sz w:val="20"/>
          <w:szCs w:val="20"/>
          <w:color w:val="auto"/>
        </w:rPr>
      </w:pPr>
      <w:r>
        <w:rPr>
          <w:rFonts w:ascii="Arial" w:cs="Arial" w:eastAsia="Arial" w:hAnsi="Arial"/>
          <w:sz w:val="14"/>
          <w:szCs w:val="14"/>
          <w:color w:val="002E6D"/>
        </w:rPr>
        <w:t>See page 36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133350</wp:posOffset>
            </wp:positionV>
            <wp:extent cx="23209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209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20" w:space="180"/>
            <w:col w:w="3620"/>
          </w:cols>
          <w:pgMar w:left="320" w:top="1334" w:right="359" w:bottom="1440" w:gutter="0" w:footer="0" w:header="0"/>
          <w:type w:val="continuous"/>
        </w:sectPr>
      </w:pPr>
    </w:p>
    <w:p>
      <w:pPr>
        <w:spacing w:after="0" w:line="159"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002E6D"/>
        </w:rPr>
        <w:t xml:space="preserve">FOR each Director Nominee          </w:t>
      </w:r>
      <w:r>
        <w:rPr>
          <w:sz w:val="1"/>
          <w:szCs w:val="1"/>
          <w:color w:val="auto"/>
        </w:rPr>
        <w:drawing>
          <wp:inline distT="0" distB="0" distL="0" distR="0">
            <wp:extent cx="153670" cy="1536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670" cy="153670"/>
                    </a:xfrm>
                    <a:prstGeom prst="rect">
                      <a:avLst/>
                    </a:prstGeom>
                    <a:noFill/>
                    <a:ln>
                      <a:noFill/>
                    </a:ln>
                  </pic:spPr>
                </pic:pic>
              </a:graphicData>
            </a:graphic>
          </wp:inline>
        </w:drawing>
      </w:r>
      <w:r>
        <w:rPr>
          <w:rFonts w:ascii="Arial" w:cs="Arial" w:eastAsia="Arial" w:hAnsi="Arial"/>
          <w:sz w:val="17"/>
          <w:szCs w:val="17"/>
          <w:b w:val="1"/>
          <w:bCs w:val="1"/>
          <w:color w:val="002E6D"/>
        </w:rPr>
        <w:t xml:space="preserve">  FOR                                  </w:t>
      </w:r>
      <w:r>
        <w:rPr>
          <w:sz w:val="1"/>
          <w:szCs w:val="1"/>
          <w:color w:val="auto"/>
        </w:rPr>
        <w:drawing>
          <wp:inline distT="0" distB="0" distL="0" distR="0">
            <wp:extent cx="153670" cy="15367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670" cy="153670"/>
                    </a:xfrm>
                    <a:prstGeom prst="rect">
                      <a:avLst/>
                    </a:prstGeom>
                    <a:noFill/>
                    <a:ln>
                      <a:noFill/>
                    </a:ln>
                  </pic:spPr>
                </pic:pic>
              </a:graphicData>
            </a:graphic>
          </wp:inline>
        </w:drawing>
      </w:r>
      <w:r>
        <w:rPr>
          <w:rFonts w:ascii="Arial" w:cs="Arial" w:eastAsia="Arial" w:hAnsi="Arial"/>
          <w:sz w:val="17"/>
          <w:szCs w:val="17"/>
          <w:b w:val="1"/>
          <w:bCs w:val="1"/>
          <w:color w:val="002E6D"/>
        </w:rPr>
        <w:t xml:space="preserv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147320</wp:posOffset>
            </wp:positionV>
            <wp:extent cx="4735195" cy="679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35195" cy="6794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Proposal 4</w:t>
      </w:r>
    </w:p>
    <w:p>
      <w:pPr>
        <w:spacing w:after="0" w:line="26" w:lineRule="exact"/>
        <w:rPr>
          <w:sz w:val="20"/>
          <w:szCs w:val="20"/>
          <w:color w:val="auto"/>
        </w:rPr>
      </w:pPr>
    </w:p>
    <w:p>
      <w:pPr>
        <w:ind w:left="20"/>
        <w:spacing w:after="0" w:line="229" w:lineRule="auto"/>
        <w:rPr>
          <w:sz w:val="20"/>
          <w:szCs w:val="20"/>
          <w:color w:val="auto"/>
        </w:rPr>
      </w:pPr>
      <w:r>
        <w:rPr>
          <w:rFonts w:ascii="Arial" w:cs="Arial" w:eastAsia="Arial" w:hAnsi="Arial"/>
          <w:sz w:val="15"/>
          <w:szCs w:val="15"/>
          <w:color w:val="939598"/>
        </w:rPr>
        <w:t>Stockholder Proposal to Reduce Threshold for Calling Special Stockholder Meetings</w:t>
      </w:r>
    </w:p>
    <w:p>
      <w:pPr>
        <w:spacing w:after="0" w:line="28" w:lineRule="exact"/>
        <w:rPr>
          <w:sz w:val="20"/>
          <w:szCs w:val="20"/>
          <w:color w:val="auto"/>
        </w:rPr>
      </w:pPr>
    </w:p>
    <w:p>
      <w:pPr>
        <w:ind w:left="420"/>
        <w:spacing w:after="0"/>
        <w:rPr>
          <w:sz w:val="20"/>
          <w:szCs w:val="20"/>
          <w:color w:val="auto"/>
        </w:rPr>
      </w:pPr>
      <w:r>
        <w:rPr>
          <w:rFonts w:ascii="Arial" w:cs="Arial" w:eastAsia="Arial" w:hAnsi="Arial"/>
          <w:sz w:val="14"/>
          <w:szCs w:val="14"/>
          <w:color w:val="auto"/>
        </w:rPr>
        <w:t>See pages 74-75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219075</wp:posOffset>
            </wp:positionV>
            <wp:extent cx="22098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09800"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-45085</wp:posOffset>
            </wp:positionV>
            <wp:extent cx="136525" cy="102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6525" cy="1022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color w:val="auto"/>
        </w:rPr>
        <w:t>Proposal 5</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939598"/>
        </w:rPr>
        <w:t>Stockholder Proposal to Issue a Human Rights Impact</w:t>
      </w:r>
    </w:p>
    <w:p>
      <w:pPr>
        <w:spacing w:after="0"/>
        <w:rPr>
          <w:sz w:val="20"/>
          <w:szCs w:val="20"/>
          <w:color w:val="auto"/>
        </w:rPr>
      </w:pPr>
      <w:r>
        <w:rPr>
          <w:rFonts w:ascii="Arial" w:cs="Arial" w:eastAsia="Arial" w:hAnsi="Arial"/>
          <w:sz w:val="15"/>
          <w:szCs w:val="15"/>
          <w:color w:val="939598"/>
        </w:rPr>
        <w:t>Assessment Report</w:t>
      </w:r>
    </w:p>
    <w:p>
      <w:pPr>
        <w:spacing w:after="0" w:line="3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See pages 76-78 for further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219075</wp:posOffset>
            </wp:positionV>
            <wp:extent cx="24485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4856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-45085</wp:posOffset>
            </wp:positionV>
            <wp:extent cx="136525" cy="102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6525" cy="1022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40" w:space="480"/>
            <w:col w:w="7600"/>
          </w:cols>
          <w:pgMar w:left="320" w:top="1334" w:right="359" w:bottom="1440" w:gutter="0" w:footer="0" w:header="0"/>
          <w:type w:val="continuous"/>
        </w:sectPr>
      </w:pPr>
    </w:p>
    <w:p>
      <w:pPr>
        <w:spacing w:after="0" w:line="186" w:lineRule="exact"/>
        <w:rPr>
          <w:sz w:val="20"/>
          <w:szCs w:val="20"/>
          <w:color w:val="auto"/>
        </w:rPr>
      </w:pPr>
    </w:p>
    <w:p>
      <w:pPr>
        <w:ind w:left="420"/>
        <w:spacing w:after="0"/>
        <w:tabs>
          <w:tab w:leader="none" w:pos="4000" w:val="left"/>
        </w:tabs>
        <w:rPr>
          <w:sz w:val="20"/>
          <w:szCs w:val="20"/>
          <w:color w:val="auto"/>
        </w:rPr>
      </w:pPr>
      <w:r>
        <w:rPr>
          <w:rFonts w:ascii="Arial" w:cs="Arial" w:eastAsia="Arial" w:hAnsi="Arial"/>
          <w:sz w:val="17"/>
          <w:szCs w:val="17"/>
          <w:b w:val="1"/>
          <w:bCs w:val="1"/>
          <w:color w:val="auto"/>
        </w:rPr>
        <w:t>AGAINST</w:t>
      </w:r>
      <w:r>
        <w:rPr>
          <w:sz w:val="20"/>
          <w:szCs w:val="20"/>
          <w:color w:val="auto"/>
        </w:rPr>
        <w:tab/>
      </w:r>
      <w:r>
        <w:rPr>
          <w:rFonts w:ascii="Arial" w:cs="Arial" w:eastAsia="Arial" w:hAnsi="Arial"/>
          <w:sz w:val="17"/>
          <w:szCs w:val="17"/>
          <w:b w:val="1"/>
          <w:bCs w:val="1"/>
          <w:color w:val="auto"/>
        </w:rPr>
        <w:t>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-46990</wp:posOffset>
            </wp:positionV>
            <wp:extent cx="144780" cy="1447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4780" cy="144780"/>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-46990</wp:posOffset>
            </wp:positionV>
            <wp:extent cx="144780" cy="144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4780" cy="14478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1"/>
          <w:szCs w:val="21"/>
          <w:color w:val="003478"/>
        </w:rPr>
        <w:t>How to Vote in Advance:</w:t>
      </w:r>
    </w:p>
    <w:p>
      <w:pPr>
        <w:spacing w:after="0" w:line="34" w:lineRule="exact"/>
        <w:rPr>
          <w:sz w:val="20"/>
          <w:szCs w:val="20"/>
          <w:color w:val="auto"/>
        </w:rPr>
      </w:pPr>
    </w:p>
    <w:p>
      <w:pPr>
        <w:ind w:left="700"/>
        <w:spacing w:after="0"/>
        <w:rPr>
          <w:sz w:val="20"/>
          <w:szCs w:val="20"/>
          <w:color w:val="auto"/>
        </w:rPr>
      </w:pPr>
      <w:r>
        <w:rPr>
          <w:rFonts w:ascii="Arial" w:cs="Arial" w:eastAsia="Arial" w:hAnsi="Arial"/>
          <w:sz w:val="17"/>
          <w:szCs w:val="17"/>
          <w:color w:val="002E6D"/>
        </w:rPr>
        <w:t xml:space="preserve">Via Internet:                  </w:t>
      </w:r>
      <w:r>
        <w:rPr>
          <w:sz w:val="1"/>
          <w:szCs w:val="1"/>
          <w:color w:val="auto"/>
        </w:rPr>
        <w:drawing>
          <wp:inline distT="0" distB="0" distL="0" distR="0">
            <wp:extent cx="264795" cy="26479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64795" cy="264795"/>
                    </a:xfrm>
                    <a:prstGeom prst="rect">
                      <a:avLst/>
                    </a:prstGeom>
                    <a:noFill/>
                    <a:ln>
                      <a:noFill/>
                    </a:ln>
                  </pic:spPr>
                </pic:pic>
              </a:graphicData>
            </a:graphic>
          </wp:inline>
        </w:drawing>
      </w:r>
      <w:r>
        <w:rPr>
          <w:rFonts w:ascii="Arial" w:cs="Arial" w:eastAsia="Arial" w:hAnsi="Arial"/>
          <w:sz w:val="17"/>
          <w:szCs w:val="17"/>
          <w:color w:val="002E6D"/>
        </w:rPr>
        <w:t xml:space="preserve">  By Telephone:                             </w:t>
      </w:r>
      <w:r>
        <w:rPr>
          <w:sz w:val="1"/>
          <w:szCs w:val="1"/>
          <w:color w:val="auto"/>
        </w:rPr>
        <w:drawing>
          <wp:inline distT="0" distB="0" distL="0" distR="0">
            <wp:extent cx="264795" cy="2476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4795" cy="247650"/>
                    </a:xfrm>
                    <a:prstGeom prst="rect">
                      <a:avLst/>
                    </a:prstGeom>
                    <a:noFill/>
                    <a:ln>
                      <a:noFill/>
                    </a:ln>
                  </pic:spPr>
                </pic:pic>
              </a:graphicData>
            </a:graphic>
          </wp:inline>
        </w:drawing>
      </w:r>
      <w:r>
        <w:rPr>
          <w:rFonts w:ascii="Arial" w:cs="Arial" w:eastAsia="Arial" w:hAnsi="Arial"/>
          <w:sz w:val="17"/>
          <w:szCs w:val="17"/>
          <w:color w:val="002E6D"/>
        </w:rPr>
        <w:t xml:space="preserve">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-278130</wp:posOffset>
            </wp:positionV>
            <wp:extent cx="264795" cy="2387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64795" cy="238760"/>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type w:val="continuous"/>
        </w:sectPr>
      </w:pPr>
    </w:p>
    <w:p>
      <w:pPr>
        <w:spacing w:after="0" w:line="79" w:lineRule="exact"/>
        <w:rPr>
          <w:sz w:val="20"/>
          <w:szCs w:val="20"/>
          <w:color w:val="auto"/>
        </w:rPr>
      </w:pPr>
    </w:p>
    <w:p>
      <w:pPr>
        <w:jc w:val="both"/>
        <w:ind w:left="20"/>
        <w:spacing w:after="0" w:line="252" w:lineRule="auto"/>
        <w:rPr>
          <w:sz w:val="20"/>
          <w:szCs w:val="20"/>
          <w:color w:val="auto"/>
        </w:rPr>
      </w:pPr>
      <w:r>
        <w:rPr>
          <w:rFonts w:ascii="Arial" w:cs="Arial" w:eastAsia="Arial" w:hAnsi="Arial"/>
          <w:sz w:val="17"/>
          <w:szCs w:val="17"/>
          <w:color w:val="auto"/>
        </w:rPr>
        <w:t>At the website listed on the proxy card or voting instruction form you received.</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Call 1-800-652-8683 in the U.S., Canada and Puerto Rico, 1-781-575-2300 for other locations, or the numbers provided on your voting instruction form.</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Mark, date and sign your proxy card or voting instruction form and return it in the accompanying postage prepaid envelope.</w:t>
      </w:r>
    </w:p>
    <w:p>
      <w:pPr>
        <w:spacing w:after="0" w:line="324" w:lineRule="exact"/>
        <w:rPr>
          <w:sz w:val="20"/>
          <w:szCs w:val="20"/>
          <w:color w:val="auto"/>
        </w:rPr>
      </w:pPr>
    </w:p>
    <w:p>
      <w:pPr>
        <w:sectPr>
          <w:pgSz w:w="11900" w:h="16838" w:orient="portrait"/>
          <w:cols w:equalWidth="0" w:num="3">
            <w:col w:w="2580" w:space="620"/>
            <w:col w:w="3800" w:space="460"/>
            <w:col w:w="3760"/>
          </w:cols>
          <w:pgMar w:left="320" w:top="1334" w:right="359" w:bottom="1440" w:gutter="0" w:footer="0" w:header="0"/>
          <w:type w:val="continuous"/>
        </w:sectPr>
      </w:pPr>
    </w:p>
    <w:p>
      <w:pPr>
        <w:ind w:right="140"/>
        <w:spacing w:after="0" w:line="257" w:lineRule="auto"/>
        <w:rPr>
          <w:sz w:val="20"/>
          <w:szCs w:val="20"/>
          <w:color w:val="auto"/>
        </w:rPr>
      </w:pPr>
      <w:r>
        <w:rPr>
          <w:rFonts w:ascii="Arial" w:cs="Arial" w:eastAsia="Arial" w:hAnsi="Arial"/>
          <w:sz w:val="17"/>
          <w:szCs w:val="17"/>
          <w:color w:val="auto"/>
        </w:rPr>
        <w:t>Your vote is extremely important. Please vote at your earliest convenience to ensure the presence of a quorum at the meeting. Promptly voting your shares in accordance with the instructions you receive will save the expense of additional solicitation.</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002E6D"/>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211580" cy="298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11580" cy="298450"/>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003478"/>
        </w:rPr>
        <w:t>Maryanne R. Lavan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General Counsel and Corporate Secretary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March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7132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7"/>
          <w:szCs w:val="17"/>
          <w:color w:val="003478"/>
        </w:rPr>
        <w:t>Important Notice Regarding the Availability of Proxy Materials for the Shareholder Meeting To Be Held on April 21, 2022:</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7"/>
          <w:szCs w:val="17"/>
          <w:color w:val="auto"/>
        </w:rPr>
        <w:t xml:space="preserve">The 2022 Proxy Statement and 2021 Annual Report are available at </w:t>
      </w:r>
      <w:r>
        <w:rPr>
          <w:rFonts w:ascii="Arial" w:cs="Arial" w:eastAsia="Arial" w:hAnsi="Arial"/>
          <w:sz w:val="17"/>
          <w:szCs w:val="17"/>
          <w:i w:val="1"/>
          <w:iCs w:val="1"/>
          <w:color w:val="auto"/>
        </w:rPr>
        <w:t>www.edocumentview.com/LMT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104775</wp:posOffset>
            </wp:positionV>
            <wp:extent cx="7132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133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0"/>
        <w:spacing w:after="0"/>
        <w:tabs>
          <w:tab w:leader="none" w:pos="8600" w:val="left"/>
          <w:tab w:leader="none" w:pos="111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5</w:t>
      </w:r>
    </w:p>
    <w:p>
      <w:pPr>
        <w:sectPr>
          <w:pgSz w:w="11900" w:h="16838" w:orient="portrait"/>
          <w:cols w:equalWidth="0" w:num="1">
            <w:col w:w="11220"/>
          </w:cols>
          <w:pgMar w:left="320" w:top="1334" w:right="359" w:bottom="1440" w:gutter="0" w:footer="0" w:header="0"/>
          <w:type w:val="continuous"/>
        </w:sectPr>
      </w:pPr>
    </w:p>
    <w:bookmarkStart w:id="5" w:name="page6"/>
    <w:bookmarkEnd w:id="5"/>
    <w:p>
      <w:pPr>
        <w:spacing w:after="0"/>
        <w:rPr>
          <w:sz w:val="20"/>
          <w:szCs w:val="20"/>
          <w:color w:val="auto"/>
        </w:rPr>
      </w:pPr>
      <w:r>
        <w:rPr>
          <w:rFonts w:ascii="Arial" w:cs="Arial" w:eastAsia="Arial" w:hAnsi="Arial"/>
          <w:sz w:val="43"/>
          <w:szCs w:val="43"/>
          <w:color w:val="003478"/>
        </w:rPr>
        <w:t>Table of Contents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ind w:left="20"/>
              <w:spacing w:after="0"/>
              <w:rPr>
                <w:rFonts w:ascii="Arial" w:cs="Arial" w:eastAsia="Arial" w:hAnsi="Arial"/>
                <w:sz w:val="14"/>
                <w:szCs w:val="14"/>
                <w:color w:val="003478"/>
              </w:rPr>
            </w:pPr>
            <w:hyperlink w:anchor="page6">
              <w:r>
                <w:rPr>
                  <w:rFonts w:ascii="Arial" w:cs="Arial" w:eastAsia="Arial" w:hAnsi="Arial"/>
                  <w:sz w:val="14"/>
                  <w:szCs w:val="14"/>
                  <w:color w:val="003478"/>
                </w:rPr>
                <w:t>LOCKHEED MARTIN. YOUR MISSION IS</w:t>
              </w:r>
            </w:hyperlink>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220" w:type="dxa"/>
            <w:vAlign w:val="bottom"/>
            <w:tcBorders>
              <w:bottom w:val="single" w:sz="8" w:color="003478"/>
            </w:tcBorders>
          </w:tcPr>
          <w:p>
            <w:pPr>
              <w:ind w:left="20"/>
              <w:spacing w:after="0"/>
              <w:rPr>
                <w:rFonts w:ascii="Arial" w:cs="Arial" w:eastAsia="Arial" w:hAnsi="Arial"/>
                <w:sz w:val="14"/>
                <w:szCs w:val="14"/>
                <w:color w:val="003478"/>
              </w:rPr>
            </w:pPr>
            <w:hyperlink w:anchor="page6">
              <w:r>
                <w:rPr>
                  <w:rFonts w:ascii="Arial" w:cs="Arial" w:eastAsia="Arial" w:hAnsi="Arial"/>
                  <w:sz w:val="14"/>
                  <w:szCs w:val="14"/>
                  <w:color w:val="003478"/>
                </w:rPr>
                <w:t>OURS.</w:t>
              </w:r>
              <w:r>
                <w:rPr>
                  <w:rFonts w:ascii="Arial" w:cs="Arial" w:eastAsia="Arial" w:hAnsi="Arial"/>
                  <w:sz w:val="18"/>
                  <w:szCs w:val="18"/>
                  <w:color w:val="003478"/>
                  <w:vertAlign w:val="superscript"/>
                </w:rPr>
                <w:t>®</w:t>
              </w:r>
            </w:hyperlink>
          </w:p>
        </w:tc>
        <w:tc>
          <w:tcPr>
            <w:tcW w:w="260" w:type="dxa"/>
            <w:vAlign w:val="bottom"/>
            <w:tcBorders>
              <w:bottom w:val="single" w:sz="8" w:color="003478"/>
            </w:tcBorders>
          </w:tcPr>
          <w:p>
            <w:pPr>
              <w:jc w:val="right"/>
              <w:spacing w:after="0"/>
              <w:rPr>
                <w:rFonts w:ascii="Arial" w:cs="Arial" w:eastAsia="Arial" w:hAnsi="Arial"/>
                <w:sz w:val="14"/>
                <w:szCs w:val="14"/>
                <w:color w:val="003478"/>
              </w:rPr>
            </w:pPr>
            <w:hyperlink w:anchor="page6">
              <w:r>
                <w:rPr>
                  <w:rFonts w:ascii="Arial" w:cs="Arial" w:eastAsia="Arial" w:hAnsi="Arial"/>
                  <w:sz w:val="14"/>
                  <w:szCs w:val="14"/>
                  <w:color w:val="003478"/>
                </w:rPr>
                <w:t>1</w:t>
              </w:r>
            </w:hyperlink>
          </w:p>
        </w:tc>
        <w:tc>
          <w:tcPr>
            <w:tcW w:w="0" w:type="dxa"/>
            <w:vAlign w:val="bottom"/>
          </w:tcPr>
          <w:p>
            <w:pPr>
              <w:spacing w:after="0"/>
              <w:rPr>
                <w:sz w:val="1"/>
                <w:szCs w:val="1"/>
                <w:color w:val="auto"/>
              </w:rPr>
            </w:pPr>
          </w:p>
        </w:tc>
      </w:tr>
      <w:tr>
        <w:trPr>
          <w:trHeight w:val="302"/>
        </w:trPr>
        <w:tc>
          <w:tcPr>
            <w:tcW w:w="3220" w:type="dxa"/>
            <w:vAlign w:val="bottom"/>
            <w:tcBorders>
              <w:bottom w:val="single" w:sz="8" w:color="003478"/>
            </w:tcBorders>
          </w:tcPr>
          <w:p>
            <w:pPr>
              <w:ind w:left="20"/>
              <w:spacing w:after="0"/>
              <w:rPr>
                <w:rFonts w:ascii="Arial" w:cs="Arial" w:eastAsia="Arial" w:hAnsi="Arial"/>
                <w:sz w:val="14"/>
                <w:szCs w:val="14"/>
                <w:color w:val="002E6D"/>
              </w:rPr>
            </w:pPr>
            <w:hyperlink w:anchor="page8">
              <w:r>
                <w:rPr>
                  <w:rFonts w:ascii="Arial" w:cs="Arial" w:eastAsia="Arial" w:hAnsi="Arial"/>
                  <w:sz w:val="14"/>
                  <w:szCs w:val="14"/>
                  <w:color w:val="002E6D"/>
                </w:rPr>
                <w:t>PROXY STATEMENT SUMMARY</w:t>
              </w:r>
            </w:hyperlink>
          </w:p>
        </w:tc>
        <w:tc>
          <w:tcPr>
            <w:tcW w:w="260" w:type="dxa"/>
            <w:vAlign w:val="bottom"/>
            <w:tcBorders>
              <w:bottom w:val="single" w:sz="8" w:color="003478"/>
            </w:tcBorders>
          </w:tcPr>
          <w:p>
            <w:pPr>
              <w:jc w:val="right"/>
              <w:spacing w:after="0"/>
              <w:rPr>
                <w:rFonts w:ascii="Arial" w:cs="Arial" w:eastAsia="Arial" w:hAnsi="Arial"/>
                <w:sz w:val="14"/>
                <w:szCs w:val="14"/>
                <w:color w:val="003478"/>
              </w:rPr>
            </w:pPr>
            <w:hyperlink w:anchor="page8">
              <w:r>
                <w:rPr>
                  <w:rFonts w:ascii="Arial" w:cs="Arial" w:eastAsia="Arial" w:hAnsi="Arial"/>
                  <w:sz w:val="14"/>
                  <w:szCs w:val="14"/>
                  <w:color w:val="003478"/>
                </w:rPr>
                <w:t>3</w:t>
              </w:r>
            </w:hyperlink>
          </w:p>
        </w:tc>
        <w:tc>
          <w:tcPr>
            <w:tcW w:w="0" w:type="dxa"/>
            <w:vAlign w:val="bottom"/>
          </w:tcPr>
          <w:p>
            <w:pPr>
              <w:spacing w:after="0"/>
              <w:rPr>
                <w:sz w:val="1"/>
                <w:szCs w:val="1"/>
                <w:color w:val="auto"/>
              </w:rPr>
            </w:pPr>
          </w:p>
        </w:tc>
      </w:tr>
      <w:tr>
        <w:trPr>
          <w:trHeight w:val="361"/>
        </w:trPr>
        <w:tc>
          <w:tcPr>
            <w:tcW w:w="3220" w:type="dxa"/>
            <w:vAlign w:val="bottom"/>
          </w:tcPr>
          <w:p>
            <w:pPr>
              <w:ind w:left="20"/>
              <w:spacing w:after="0"/>
              <w:rPr>
                <w:rFonts w:ascii="Arial" w:cs="Arial" w:eastAsia="Arial" w:hAnsi="Arial"/>
                <w:sz w:val="14"/>
                <w:szCs w:val="14"/>
                <w:color w:val="002E6D"/>
              </w:rPr>
            </w:pPr>
            <w:hyperlink w:anchor="page12">
              <w:r>
                <w:rPr>
                  <w:rFonts w:ascii="Arial" w:cs="Arial" w:eastAsia="Arial" w:hAnsi="Arial"/>
                  <w:sz w:val="14"/>
                  <w:szCs w:val="14"/>
                  <w:color w:val="002E6D"/>
                </w:rPr>
                <w:t>PROPOSAL 1:</w:t>
              </w:r>
            </w:hyperlink>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3220" w:type="dxa"/>
            <w:vAlign w:val="bottom"/>
            <w:tcBorders>
              <w:bottom w:val="single" w:sz="8" w:color="003478"/>
            </w:tcBorders>
          </w:tcPr>
          <w:p>
            <w:pPr>
              <w:ind w:left="20"/>
              <w:spacing w:after="0"/>
              <w:rPr>
                <w:rFonts w:ascii="Arial" w:cs="Arial" w:eastAsia="Arial" w:hAnsi="Arial"/>
                <w:sz w:val="14"/>
                <w:szCs w:val="14"/>
                <w:color w:val="002E6D"/>
              </w:rPr>
            </w:pPr>
            <w:hyperlink w:anchor="page12">
              <w:r>
                <w:rPr>
                  <w:rFonts w:ascii="Arial" w:cs="Arial" w:eastAsia="Arial" w:hAnsi="Arial"/>
                  <w:sz w:val="14"/>
                  <w:szCs w:val="14"/>
                  <w:color w:val="002E6D"/>
                </w:rPr>
                <w:t>ELECTION OF DIRECTORS</w:t>
              </w:r>
            </w:hyperlink>
          </w:p>
        </w:tc>
        <w:tc>
          <w:tcPr>
            <w:tcW w:w="260" w:type="dxa"/>
            <w:vAlign w:val="bottom"/>
            <w:tcBorders>
              <w:bottom w:val="single" w:sz="8" w:color="003478"/>
            </w:tcBorders>
          </w:tcPr>
          <w:p>
            <w:pPr>
              <w:jc w:val="right"/>
              <w:spacing w:after="0"/>
              <w:rPr>
                <w:rFonts w:ascii="Arial" w:cs="Arial" w:eastAsia="Arial" w:hAnsi="Arial"/>
                <w:sz w:val="14"/>
                <w:szCs w:val="14"/>
                <w:color w:val="003478"/>
              </w:rPr>
            </w:pPr>
            <w:hyperlink w:anchor="page12">
              <w:r>
                <w:rPr>
                  <w:rFonts w:ascii="Arial" w:cs="Arial" w:eastAsia="Arial" w:hAnsi="Arial"/>
                  <w:sz w:val="14"/>
                  <w:szCs w:val="14"/>
                  <w:color w:val="003478"/>
                </w:rPr>
                <w:t>7</w:t>
              </w:r>
            </w:hyperlink>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rFonts w:ascii="Arial" w:cs="Arial" w:eastAsia="Arial" w:hAnsi="Arial"/>
                <w:sz w:val="14"/>
                <w:szCs w:val="14"/>
                <w:color w:val="auto"/>
              </w:rPr>
            </w:pPr>
            <w:hyperlink w:anchor="page13">
              <w:r>
                <w:rPr>
                  <w:rFonts w:ascii="Arial" w:cs="Arial" w:eastAsia="Arial" w:hAnsi="Arial"/>
                  <w:sz w:val="14"/>
                  <w:szCs w:val="14"/>
                  <w:color w:val="auto"/>
                </w:rPr>
                <w:t>Board Composition, Qualifications and Diversity</w:t>
              </w:r>
            </w:hyperlink>
          </w:p>
        </w:tc>
        <w:tc>
          <w:tcPr>
            <w:tcW w:w="260" w:type="dxa"/>
            <w:vAlign w:val="bottom"/>
          </w:tcPr>
          <w:p>
            <w:pPr>
              <w:jc w:val="right"/>
              <w:spacing w:after="0"/>
              <w:rPr>
                <w:rFonts w:ascii="Arial" w:cs="Arial" w:eastAsia="Arial" w:hAnsi="Arial"/>
                <w:sz w:val="14"/>
                <w:szCs w:val="14"/>
                <w:color w:val="auto"/>
              </w:rPr>
            </w:pPr>
            <w:hyperlink w:anchor="page13">
              <w:r>
                <w:rPr>
                  <w:rFonts w:ascii="Arial" w:cs="Arial" w:eastAsia="Arial" w:hAnsi="Arial"/>
                  <w:sz w:val="14"/>
                  <w:szCs w:val="14"/>
                  <w:color w:val="auto"/>
                </w:rPr>
                <w:t>7</w:t>
              </w:r>
            </w:hyperlink>
          </w:p>
        </w:tc>
        <w:tc>
          <w:tcPr>
            <w:tcW w:w="0" w:type="dxa"/>
            <w:vAlign w:val="bottom"/>
          </w:tcPr>
          <w:p>
            <w:pPr>
              <w:spacing w:after="0"/>
              <w:rPr>
                <w:sz w:val="1"/>
                <w:szCs w:val="1"/>
                <w:color w:val="auto"/>
              </w:rPr>
            </w:pPr>
          </w:p>
        </w:tc>
      </w:tr>
      <w:tr>
        <w:trPr>
          <w:trHeight w:val="188"/>
        </w:trPr>
        <w:tc>
          <w:tcPr>
            <w:tcW w:w="3220" w:type="dxa"/>
            <w:vAlign w:val="bottom"/>
          </w:tcPr>
          <w:p>
            <w:pPr>
              <w:ind w:left="20"/>
              <w:spacing w:after="0"/>
              <w:rPr>
                <w:rFonts w:ascii="Arial" w:cs="Arial" w:eastAsia="Arial" w:hAnsi="Arial"/>
                <w:sz w:val="14"/>
                <w:szCs w:val="14"/>
                <w:color w:val="auto"/>
              </w:rPr>
            </w:pPr>
            <w:hyperlink w:anchor="page13">
              <w:r>
                <w:rPr>
                  <w:rFonts w:ascii="Arial" w:cs="Arial" w:eastAsia="Arial" w:hAnsi="Arial"/>
                  <w:sz w:val="14"/>
                  <w:szCs w:val="14"/>
                  <w:color w:val="auto"/>
                </w:rPr>
                <w:t>Board Attendance</w:t>
              </w:r>
            </w:hyperlink>
          </w:p>
        </w:tc>
        <w:tc>
          <w:tcPr>
            <w:tcW w:w="260" w:type="dxa"/>
            <w:vAlign w:val="bottom"/>
          </w:tcPr>
          <w:p>
            <w:pPr>
              <w:jc w:val="right"/>
              <w:spacing w:after="0"/>
              <w:rPr>
                <w:rFonts w:ascii="Arial" w:cs="Arial" w:eastAsia="Arial" w:hAnsi="Arial"/>
                <w:sz w:val="14"/>
                <w:szCs w:val="14"/>
                <w:color w:val="auto"/>
              </w:rPr>
            </w:pPr>
            <w:hyperlink w:anchor="page13">
              <w:r>
                <w:rPr>
                  <w:rFonts w:ascii="Arial" w:cs="Arial" w:eastAsia="Arial" w:hAnsi="Arial"/>
                  <w:sz w:val="14"/>
                  <w:szCs w:val="14"/>
                  <w:color w:val="auto"/>
                </w:rPr>
                <w:t>7</w:t>
              </w:r>
            </w:hyperlink>
          </w:p>
        </w:tc>
        <w:tc>
          <w:tcPr>
            <w:tcW w:w="0" w:type="dxa"/>
            <w:vAlign w:val="bottom"/>
          </w:tcPr>
          <w:p>
            <w:pPr>
              <w:spacing w:after="0"/>
              <w:rPr>
                <w:sz w:val="1"/>
                <w:szCs w:val="1"/>
                <w:color w:val="auto"/>
              </w:rPr>
            </w:pPr>
          </w:p>
        </w:tc>
      </w:tr>
      <w:tr>
        <w:trPr>
          <w:trHeight w:val="151"/>
        </w:trPr>
        <w:tc>
          <w:tcPr>
            <w:tcW w:w="3220" w:type="dxa"/>
            <w:vAlign w:val="bottom"/>
          </w:tcPr>
          <w:p>
            <w:pPr>
              <w:ind w:left="20"/>
              <w:spacing w:after="0" w:line="151" w:lineRule="exact"/>
              <w:rPr>
                <w:rFonts w:ascii="Arial" w:cs="Arial" w:eastAsia="Arial" w:hAnsi="Arial"/>
                <w:sz w:val="14"/>
                <w:szCs w:val="14"/>
                <w:color w:val="auto"/>
              </w:rPr>
            </w:pPr>
            <w:hyperlink w:anchor="page13">
              <w:r>
                <w:rPr>
                  <w:rFonts w:ascii="Arial" w:cs="Arial" w:eastAsia="Arial" w:hAnsi="Arial"/>
                  <w:sz w:val="14"/>
                  <w:szCs w:val="14"/>
                  <w:color w:val="auto"/>
                </w:rPr>
                <w:t>Summary of Director Nominees’ Core</w:t>
              </w:r>
            </w:hyperlink>
          </w:p>
        </w:tc>
        <w:tc>
          <w:tcPr>
            <w:tcW w:w="260" w:type="dxa"/>
            <w:vAlign w:val="bottom"/>
            <w:vMerge w:val="restart"/>
          </w:tcPr>
          <w:p>
            <w:pPr>
              <w:jc w:val="right"/>
              <w:spacing w:after="0"/>
              <w:rPr>
                <w:rFonts w:ascii="Arial" w:cs="Arial" w:eastAsia="Arial" w:hAnsi="Arial"/>
                <w:sz w:val="14"/>
                <w:szCs w:val="14"/>
                <w:color w:val="auto"/>
              </w:rPr>
            </w:pPr>
            <w:hyperlink w:anchor="page13">
              <w:r>
                <w:rPr>
                  <w:rFonts w:ascii="Arial" w:cs="Arial" w:eastAsia="Arial" w:hAnsi="Arial"/>
                  <w:sz w:val="14"/>
                  <w:szCs w:val="14"/>
                  <w:color w:val="auto"/>
                </w:rPr>
                <w:t>8</w:t>
              </w:r>
            </w:hyperlink>
          </w:p>
        </w:tc>
        <w:tc>
          <w:tcPr>
            <w:tcW w:w="0" w:type="dxa"/>
            <w:vAlign w:val="bottom"/>
          </w:tcPr>
          <w:p>
            <w:pPr>
              <w:spacing w:after="0"/>
              <w:rPr>
                <w:sz w:val="1"/>
                <w:szCs w:val="1"/>
                <w:color w:val="auto"/>
              </w:rPr>
            </w:pPr>
          </w:p>
        </w:tc>
      </w:tr>
      <w:tr>
        <w:trPr>
          <w:trHeight w:val="172"/>
        </w:trPr>
        <w:tc>
          <w:tcPr>
            <w:tcW w:w="3220" w:type="dxa"/>
            <w:vAlign w:val="bottom"/>
          </w:tcPr>
          <w:p>
            <w:pPr>
              <w:ind w:left="20"/>
              <w:spacing w:after="0"/>
              <w:rPr>
                <w:rFonts w:ascii="Arial" w:cs="Arial" w:eastAsia="Arial" w:hAnsi="Arial"/>
                <w:sz w:val="14"/>
                <w:szCs w:val="14"/>
                <w:color w:val="auto"/>
              </w:rPr>
            </w:pPr>
            <w:hyperlink w:anchor="page13">
              <w:r>
                <w:rPr>
                  <w:rFonts w:ascii="Arial" w:cs="Arial" w:eastAsia="Arial" w:hAnsi="Arial"/>
                  <w:sz w:val="14"/>
                  <w:szCs w:val="14"/>
                  <w:color w:val="auto"/>
                </w:rPr>
                <w:t>Competencies</w:t>
              </w:r>
            </w:hyperlink>
          </w:p>
        </w:tc>
        <w:tc>
          <w:tcPr>
            <w:tcW w:w="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220" w:type="dxa"/>
            <w:vAlign w:val="bottom"/>
          </w:tcPr>
          <w:p>
            <w:pPr>
              <w:ind w:left="20"/>
              <w:spacing w:after="0"/>
              <w:rPr>
                <w:rFonts w:ascii="Arial" w:cs="Arial" w:eastAsia="Arial" w:hAnsi="Arial"/>
                <w:sz w:val="14"/>
                <w:szCs w:val="14"/>
                <w:color w:val="auto"/>
              </w:rPr>
            </w:pPr>
            <w:hyperlink w:anchor="page14">
              <w:r>
                <w:rPr>
                  <w:rFonts w:ascii="Arial" w:cs="Arial" w:eastAsia="Arial" w:hAnsi="Arial"/>
                  <w:sz w:val="14"/>
                  <w:szCs w:val="14"/>
                  <w:color w:val="auto"/>
                </w:rPr>
                <w:t>Director Nominees</w:t>
              </w:r>
            </w:hyperlink>
          </w:p>
        </w:tc>
        <w:tc>
          <w:tcPr>
            <w:tcW w:w="260" w:type="dxa"/>
            <w:vAlign w:val="bottom"/>
          </w:tcPr>
          <w:p>
            <w:pPr>
              <w:jc w:val="right"/>
              <w:spacing w:after="0"/>
              <w:rPr>
                <w:rFonts w:ascii="Arial" w:cs="Arial" w:eastAsia="Arial" w:hAnsi="Arial"/>
                <w:sz w:val="14"/>
                <w:szCs w:val="14"/>
                <w:color w:val="auto"/>
              </w:rPr>
            </w:pPr>
            <w:hyperlink w:anchor="page14">
              <w:r>
                <w:rPr>
                  <w:rFonts w:ascii="Arial" w:cs="Arial" w:eastAsia="Arial" w:hAnsi="Arial"/>
                  <w:sz w:val="14"/>
                  <w:szCs w:val="14"/>
                  <w:color w:val="auto"/>
                </w:rPr>
                <w:t>9</w:t>
              </w:r>
            </w:hyperlink>
          </w:p>
        </w:tc>
        <w:tc>
          <w:tcPr>
            <w:tcW w:w="0" w:type="dxa"/>
            <w:vAlign w:val="bottom"/>
          </w:tcPr>
          <w:p>
            <w:pPr>
              <w:spacing w:after="0"/>
              <w:rPr>
                <w:sz w:val="1"/>
                <w:szCs w:val="1"/>
                <w:color w:val="auto"/>
              </w:rPr>
            </w:pPr>
          </w:p>
        </w:tc>
      </w:tr>
      <w:tr>
        <w:trPr>
          <w:trHeight w:val="215"/>
        </w:trPr>
        <w:tc>
          <w:tcPr>
            <w:tcW w:w="3220" w:type="dxa"/>
            <w:vAlign w:val="bottom"/>
          </w:tcPr>
          <w:p>
            <w:pPr>
              <w:ind w:left="20"/>
              <w:spacing w:after="0"/>
              <w:rPr>
                <w:rFonts w:ascii="Arial" w:cs="Arial" w:eastAsia="Arial" w:hAnsi="Arial"/>
                <w:sz w:val="14"/>
                <w:szCs w:val="14"/>
                <w:color w:val="auto"/>
              </w:rPr>
            </w:pPr>
            <w:hyperlink w:anchor="page21">
              <w:r>
                <w:rPr>
                  <w:rFonts w:ascii="Arial" w:cs="Arial" w:eastAsia="Arial" w:hAnsi="Arial"/>
                  <w:sz w:val="14"/>
                  <w:szCs w:val="14"/>
                  <w:color w:val="auto"/>
                </w:rPr>
                <w:t>Board Effectiveness, Evaluations and</w:t>
              </w:r>
            </w:hyperlink>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3220" w:type="dxa"/>
            <w:vAlign w:val="bottom"/>
          </w:tcPr>
          <w:p>
            <w:pPr>
              <w:ind w:left="20"/>
              <w:spacing w:after="0"/>
              <w:rPr>
                <w:rFonts w:ascii="Arial" w:cs="Arial" w:eastAsia="Arial" w:hAnsi="Arial"/>
                <w:sz w:val="14"/>
                <w:szCs w:val="14"/>
                <w:color w:val="auto"/>
              </w:rPr>
            </w:pPr>
            <w:hyperlink w:anchor="page21">
              <w:r>
                <w:rPr>
                  <w:rFonts w:ascii="Arial" w:cs="Arial" w:eastAsia="Arial" w:hAnsi="Arial"/>
                  <w:sz w:val="14"/>
                  <w:szCs w:val="14"/>
                  <w:color w:val="auto"/>
                </w:rPr>
                <w:t>Refreshment</w:t>
              </w:r>
            </w:hyperlink>
          </w:p>
        </w:tc>
        <w:tc>
          <w:tcPr>
            <w:tcW w:w="260" w:type="dxa"/>
            <w:vAlign w:val="bottom"/>
            <w:vMerge w:val="restart"/>
          </w:tcPr>
          <w:p>
            <w:pPr>
              <w:jc w:val="right"/>
              <w:spacing w:after="0"/>
              <w:rPr>
                <w:rFonts w:ascii="Arial" w:cs="Arial" w:eastAsia="Arial" w:hAnsi="Arial"/>
                <w:sz w:val="14"/>
                <w:szCs w:val="14"/>
                <w:color w:val="auto"/>
              </w:rPr>
            </w:pPr>
            <w:hyperlink w:anchor="page21">
              <w:r>
                <w:rPr>
                  <w:rFonts w:ascii="Arial" w:cs="Arial" w:eastAsia="Arial" w:hAnsi="Arial"/>
                  <w:sz w:val="14"/>
                  <w:szCs w:val="14"/>
                  <w:color w:val="auto"/>
                </w:rPr>
                <w:t>16</w:t>
              </w:r>
            </w:hyperlink>
          </w:p>
        </w:tc>
        <w:tc>
          <w:tcPr>
            <w:tcW w:w="0" w:type="dxa"/>
            <w:vAlign w:val="bottom"/>
          </w:tcPr>
          <w:p>
            <w:pPr>
              <w:spacing w:after="0"/>
              <w:rPr>
                <w:sz w:val="1"/>
                <w:szCs w:val="1"/>
                <w:color w:val="auto"/>
              </w:rPr>
            </w:pPr>
          </w:p>
        </w:tc>
      </w:tr>
      <w:tr>
        <w:trPr>
          <w:trHeight w:val="54"/>
        </w:trPr>
        <w:tc>
          <w:tcPr>
            <w:tcW w:w="322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1"/>
        </w:trPr>
        <w:tc>
          <w:tcPr>
            <w:tcW w:w="3220" w:type="dxa"/>
            <w:vAlign w:val="bottom"/>
            <w:tcBorders>
              <w:bottom w:val="single" w:sz="8" w:color="003478"/>
            </w:tcBorders>
          </w:tcPr>
          <w:p>
            <w:pPr>
              <w:ind w:left="20"/>
              <w:spacing w:after="0"/>
              <w:rPr>
                <w:rFonts w:ascii="Arial" w:cs="Arial" w:eastAsia="Arial" w:hAnsi="Arial"/>
                <w:sz w:val="14"/>
                <w:szCs w:val="14"/>
                <w:color w:val="002E6D"/>
              </w:rPr>
            </w:pPr>
            <w:hyperlink w:anchor="page23">
              <w:r>
                <w:rPr>
                  <w:rFonts w:ascii="Arial" w:cs="Arial" w:eastAsia="Arial" w:hAnsi="Arial"/>
                  <w:sz w:val="14"/>
                  <w:szCs w:val="14"/>
                  <w:color w:val="002E6D"/>
                </w:rPr>
                <w:t>CORPORATE GOVERNANCE</w:t>
              </w:r>
            </w:hyperlink>
          </w:p>
        </w:tc>
        <w:tc>
          <w:tcPr>
            <w:tcW w:w="260" w:type="dxa"/>
            <w:vAlign w:val="bottom"/>
            <w:tcBorders>
              <w:bottom w:val="single" w:sz="8" w:color="003478"/>
            </w:tcBorders>
          </w:tcPr>
          <w:p>
            <w:pPr>
              <w:jc w:val="right"/>
              <w:spacing w:after="0"/>
              <w:rPr>
                <w:rFonts w:ascii="Arial" w:cs="Arial" w:eastAsia="Arial" w:hAnsi="Arial"/>
                <w:sz w:val="14"/>
                <w:szCs w:val="14"/>
                <w:color w:val="003478"/>
              </w:rPr>
            </w:pPr>
            <w:hyperlink w:anchor="page23">
              <w:r>
                <w:rPr>
                  <w:rFonts w:ascii="Arial" w:cs="Arial" w:eastAsia="Arial" w:hAnsi="Arial"/>
                  <w:sz w:val="14"/>
                  <w:szCs w:val="14"/>
                  <w:color w:val="003478"/>
                </w:rPr>
                <w:t>18</w:t>
              </w:r>
            </w:hyperlink>
          </w:p>
        </w:tc>
        <w:tc>
          <w:tcPr>
            <w:tcW w:w="0" w:type="dxa"/>
            <w:vAlign w:val="bottom"/>
          </w:tcPr>
          <w:p>
            <w:pPr>
              <w:spacing w:after="0"/>
              <w:rPr>
                <w:sz w:val="1"/>
                <w:szCs w:val="1"/>
                <w:color w:val="auto"/>
              </w:rPr>
            </w:pPr>
          </w:p>
        </w:tc>
      </w:tr>
      <w:tr>
        <w:trPr>
          <w:trHeight w:val="183"/>
        </w:trPr>
        <w:tc>
          <w:tcPr>
            <w:tcW w:w="3220" w:type="dxa"/>
            <w:vAlign w:val="bottom"/>
          </w:tcPr>
          <w:p>
            <w:pPr>
              <w:ind w:left="20"/>
              <w:spacing w:after="0"/>
              <w:rPr>
                <w:rFonts w:ascii="Arial" w:cs="Arial" w:eastAsia="Arial" w:hAnsi="Arial"/>
                <w:sz w:val="14"/>
                <w:szCs w:val="14"/>
                <w:color w:val="auto"/>
              </w:rPr>
            </w:pPr>
            <w:hyperlink w:anchor="page24">
              <w:r>
                <w:rPr>
                  <w:rFonts w:ascii="Arial" w:cs="Arial" w:eastAsia="Arial" w:hAnsi="Arial"/>
                  <w:sz w:val="14"/>
                  <w:szCs w:val="14"/>
                  <w:color w:val="auto"/>
                </w:rPr>
                <w:t>Board Leadership Structure</w:t>
              </w:r>
            </w:hyperlink>
          </w:p>
        </w:tc>
        <w:tc>
          <w:tcPr>
            <w:tcW w:w="260" w:type="dxa"/>
            <w:vAlign w:val="bottom"/>
          </w:tcPr>
          <w:p>
            <w:pPr>
              <w:jc w:val="right"/>
              <w:spacing w:after="0"/>
              <w:rPr>
                <w:rFonts w:ascii="Arial" w:cs="Arial" w:eastAsia="Arial" w:hAnsi="Arial"/>
                <w:sz w:val="14"/>
                <w:szCs w:val="14"/>
                <w:color w:val="auto"/>
              </w:rPr>
            </w:pPr>
            <w:hyperlink w:anchor="page24">
              <w:r>
                <w:rPr>
                  <w:rFonts w:ascii="Arial" w:cs="Arial" w:eastAsia="Arial" w:hAnsi="Arial"/>
                  <w:sz w:val="14"/>
                  <w:szCs w:val="14"/>
                  <w:color w:val="auto"/>
                </w:rPr>
                <w:t>18</w:t>
              </w:r>
            </w:hyperlink>
          </w:p>
        </w:tc>
        <w:tc>
          <w:tcPr>
            <w:tcW w:w="0" w:type="dxa"/>
            <w:vAlign w:val="bottom"/>
          </w:tcPr>
          <w:p>
            <w:pPr>
              <w:spacing w:after="0"/>
              <w:rPr>
                <w:sz w:val="1"/>
                <w:szCs w:val="1"/>
                <w:color w:val="auto"/>
              </w:rPr>
            </w:pPr>
          </w:p>
        </w:tc>
      </w:tr>
      <w:tr>
        <w:trPr>
          <w:trHeight w:val="188"/>
        </w:trPr>
        <w:tc>
          <w:tcPr>
            <w:tcW w:w="3220" w:type="dxa"/>
            <w:vAlign w:val="bottom"/>
          </w:tcPr>
          <w:p>
            <w:pPr>
              <w:ind w:left="20"/>
              <w:spacing w:after="0"/>
              <w:rPr>
                <w:rFonts w:ascii="Arial" w:cs="Arial" w:eastAsia="Arial" w:hAnsi="Arial"/>
                <w:sz w:val="14"/>
                <w:szCs w:val="14"/>
                <w:color w:val="auto"/>
              </w:rPr>
            </w:pPr>
            <w:hyperlink w:anchor="page24">
              <w:r>
                <w:rPr>
                  <w:rFonts w:ascii="Arial" w:cs="Arial" w:eastAsia="Arial" w:hAnsi="Arial"/>
                  <w:sz w:val="14"/>
                  <w:szCs w:val="14"/>
                  <w:color w:val="auto"/>
                </w:rPr>
                <w:t>Independent Lead Director's Role</w:t>
              </w:r>
            </w:hyperlink>
          </w:p>
        </w:tc>
        <w:tc>
          <w:tcPr>
            <w:tcW w:w="260" w:type="dxa"/>
            <w:vAlign w:val="bottom"/>
          </w:tcPr>
          <w:p>
            <w:pPr>
              <w:jc w:val="right"/>
              <w:spacing w:after="0"/>
              <w:rPr>
                <w:rFonts w:ascii="Arial" w:cs="Arial" w:eastAsia="Arial" w:hAnsi="Arial"/>
                <w:sz w:val="14"/>
                <w:szCs w:val="14"/>
                <w:color w:val="auto"/>
              </w:rPr>
            </w:pPr>
            <w:hyperlink w:anchor="page24">
              <w:r>
                <w:rPr>
                  <w:rFonts w:ascii="Arial" w:cs="Arial" w:eastAsia="Arial" w:hAnsi="Arial"/>
                  <w:sz w:val="14"/>
                  <w:szCs w:val="14"/>
                  <w:color w:val="auto"/>
                </w:rPr>
                <w:t>18</w:t>
              </w:r>
            </w:hyperlink>
          </w:p>
        </w:tc>
        <w:tc>
          <w:tcPr>
            <w:tcW w:w="0" w:type="dxa"/>
            <w:vAlign w:val="bottom"/>
          </w:tcPr>
          <w:p>
            <w:pPr>
              <w:spacing w:after="0"/>
              <w:rPr>
                <w:sz w:val="1"/>
                <w:szCs w:val="1"/>
                <w:color w:val="auto"/>
              </w:rPr>
            </w:pPr>
          </w:p>
        </w:tc>
      </w:tr>
      <w:tr>
        <w:trPr>
          <w:trHeight w:val="188"/>
        </w:trPr>
        <w:tc>
          <w:tcPr>
            <w:tcW w:w="3220" w:type="dxa"/>
            <w:vAlign w:val="bottom"/>
          </w:tcPr>
          <w:p>
            <w:pPr>
              <w:ind w:left="20"/>
              <w:spacing w:after="0"/>
              <w:rPr>
                <w:rFonts w:ascii="Arial" w:cs="Arial" w:eastAsia="Arial" w:hAnsi="Arial"/>
                <w:sz w:val="14"/>
                <w:szCs w:val="14"/>
                <w:color w:val="auto"/>
              </w:rPr>
            </w:pPr>
            <w:hyperlink w:anchor="page24">
              <w:r>
                <w:rPr>
                  <w:rFonts w:ascii="Arial" w:cs="Arial" w:eastAsia="Arial" w:hAnsi="Arial"/>
                  <w:sz w:val="14"/>
                  <w:szCs w:val="14"/>
                  <w:color w:val="auto"/>
                </w:rPr>
                <w:t>Executive Sessions</w:t>
              </w:r>
            </w:hyperlink>
          </w:p>
        </w:tc>
        <w:tc>
          <w:tcPr>
            <w:tcW w:w="260" w:type="dxa"/>
            <w:vAlign w:val="bottom"/>
          </w:tcPr>
          <w:p>
            <w:pPr>
              <w:jc w:val="right"/>
              <w:spacing w:after="0"/>
              <w:rPr>
                <w:rFonts w:ascii="Arial" w:cs="Arial" w:eastAsia="Arial" w:hAnsi="Arial"/>
                <w:sz w:val="14"/>
                <w:szCs w:val="14"/>
                <w:color w:val="auto"/>
              </w:rPr>
            </w:pPr>
            <w:hyperlink w:anchor="page24">
              <w:r>
                <w:rPr>
                  <w:rFonts w:ascii="Arial" w:cs="Arial" w:eastAsia="Arial" w:hAnsi="Arial"/>
                  <w:sz w:val="14"/>
                  <w:szCs w:val="14"/>
                  <w:color w:val="auto"/>
                </w:rPr>
                <w:t>19</w:t>
              </w:r>
            </w:hyperlink>
          </w:p>
        </w:tc>
        <w:tc>
          <w:tcPr>
            <w:tcW w:w="0" w:type="dxa"/>
            <w:vAlign w:val="bottom"/>
          </w:tcPr>
          <w:p>
            <w:pPr>
              <w:spacing w:after="0"/>
              <w:rPr>
                <w:sz w:val="1"/>
                <w:szCs w:val="1"/>
                <w:color w:val="auto"/>
              </w:rPr>
            </w:pPr>
          </w:p>
        </w:tc>
      </w:tr>
      <w:tr>
        <w:trPr>
          <w:trHeight w:val="188"/>
        </w:trPr>
        <w:tc>
          <w:tcPr>
            <w:tcW w:w="3220" w:type="dxa"/>
            <w:vAlign w:val="bottom"/>
          </w:tcPr>
          <w:p>
            <w:pPr>
              <w:ind w:left="20"/>
              <w:spacing w:after="0"/>
              <w:rPr>
                <w:rFonts w:ascii="Arial" w:cs="Arial" w:eastAsia="Arial" w:hAnsi="Arial"/>
                <w:sz w:val="14"/>
                <w:szCs w:val="14"/>
                <w:color w:val="auto"/>
              </w:rPr>
            </w:pPr>
            <w:hyperlink w:anchor="page25">
              <w:r>
                <w:rPr>
                  <w:rFonts w:ascii="Arial" w:cs="Arial" w:eastAsia="Arial" w:hAnsi="Arial"/>
                  <w:sz w:val="14"/>
                  <w:szCs w:val="14"/>
                  <w:color w:val="auto"/>
                </w:rPr>
                <w:t>Committees of the Board of Directors</w:t>
              </w:r>
            </w:hyperlink>
          </w:p>
        </w:tc>
        <w:tc>
          <w:tcPr>
            <w:tcW w:w="260" w:type="dxa"/>
            <w:vAlign w:val="bottom"/>
          </w:tcPr>
          <w:p>
            <w:pPr>
              <w:jc w:val="right"/>
              <w:spacing w:after="0"/>
              <w:rPr>
                <w:rFonts w:ascii="Arial" w:cs="Arial" w:eastAsia="Arial" w:hAnsi="Arial"/>
                <w:sz w:val="14"/>
                <w:szCs w:val="14"/>
                <w:color w:val="auto"/>
              </w:rPr>
            </w:pPr>
            <w:hyperlink w:anchor="page25">
              <w:r>
                <w:rPr>
                  <w:rFonts w:ascii="Arial" w:cs="Arial" w:eastAsia="Arial" w:hAnsi="Arial"/>
                  <w:sz w:val="14"/>
                  <w:szCs w:val="14"/>
                  <w:color w:val="auto"/>
                </w:rPr>
                <w:t>19</w:t>
              </w:r>
            </w:hyperlink>
          </w:p>
        </w:tc>
        <w:tc>
          <w:tcPr>
            <w:tcW w:w="0" w:type="dxa"/>
            <w:vAlign w:val="bottom"/>
          </w:tcPr>
          <w:p>
            <w:pPr>
              <w:spacing w:after="0"/>
              <w:rPr>
                <w:sz w:val="1"/>
                <w:szCs w:val="1"/>
                <w:color w:val="auto"/>
              </w:rPr>
            </w:pPr>
          </w:p>
        </w:tc>
      </w:tr>
      <w:tr>
        <w:trPr>
          <w:trHeight w:val="188"/>
        </w:trPr>
        <w:tc>
          <w:tcPr>
            <w:tcW w:w="3220" w:type="dxa"/>
            <w:vAlign w:val="bottom"/>
          </w:tcPr>
          <w:p>
            <w:pPr>
              <w:ind w:left="20"/>
              <w:spacing w:after="0"/>
              <w:rPr>
                <w:rFonts w:ascii="Arial" w:cs="Arial" w:eastAsia="Arial" w:hAnsi="Arial"/>
                <w:sz w:val="14"/>
                <w:szCs w:val="14"/>
                <w:color w:val="auto"/>
              </w:rPr>
            </w:pPr>
            <w:hyperlink w:anchor="page27">
              <w:r>
                <w:rPr>
                  <w:rFonts w:ascii="Arial" w:cs="Arial" w:eastAsia="Arial" w:hAnsi="Arial"/>
                  <w:sz w:val="14"/>
                  <w:szCs w:val="14"/>
                  <w:color w:val="auto"/>
                </w:rPr>
                <w:t>Board Role and Responsibilities</w:t>
              </w:r>
            </w:hyperlink>
          </w:p>
        </w:tc>
        <w:tc>
          <w:tcPr>
            <w:tcW w:w="260" w:type="dxa"/>
            <w:vAlign w:val="bottom"/>
          </w:tcPr>
          <w:p>
            <w:pPr>
              <w:jc w:val="right"/>
              <w:spacing w:after="0"/>
              <w:rPr>
                <w:rFonts w:ascii="Arial" w:cs="Arial" w:eastAsia="Arial" w:hAnsi="Arial"/>
                <w:sz w:val="14"/>
                <w:szCs w:val="14"/>
                <w:color w:val="auto"/>
              </w:rPr>
            </w:pPr>
            <w:hyperlink w:anchor="page27">
              <w:r>
                <w:rPr>
                  <w:rFonts w:ascii="Arial" w:cs="Arial" w:eastAsia="Arial" w:hAnsi="Arial"/>
                  <w:sz w:val="14"/>
                  <w:szCs w:val="14"/>
                  <w:color w:val="auto"/>
                </w:rPr>
                <w:t>21</w:t>
              </w:r>
            </w:hyperlink>
          </w:p>
        </w:tc>
        <w:tc>
          <w:tcPr>
            <w:tcW w:w="0" w:type="dxa"/>
            <w:vAlign w:val="bottom"/>
          </w:tcPr>
          <w:p>
            <w:pPr>
              <w:spacing w:after="0"/>
              <w:rPr>
                <w:sz w:val="1"/>
                <w:szCs w:val="1"/>
                <w:color w:val="auto"/>
              </w:rPr>
            </w:pPr>
          </w:p>
        </w:tc>
      </w:tr>
      <w:tr>
        <w:trPr>
          <w:trHeight w:val="188"/>
        </w:trPr>
        <w:tc>
          <w:tcPr>
            <w:tcW w:w="3220" w:type="dxa"/>
            <w:vAlign w:val="bottom"/>
          </w:tcPr>
          <w:p>
            <w:pPr>
              <w:ind w:left="20"/>
              <w:spacing w:after="0"/>
              <w:rPr>
                <w:rFonts w:ascii="Arial" w:cs="Arial" w:eastAsia="Arial" w:hAnsi="Arial"/>
                <w:sz w:val="14"/>
                <w:szCs w:val="14"/>
                <w:color w:val="auto"/>
              </w:rPr>
            </w:pPr>
            <w:hyperlink w:anchor="page27">
              <w:r>
                <w:rPr>
                  <w:rFonts w:ascii="Arial" w:cs="Arial" w:eastAsia="Arial" w:hAnsi="Arial"/>
                  <w:sz w:val="14"/>
                  <w:szCs w:val="14"/>
                  <w:color w:val="auto"/>
                </w:rPr>
                <w:t>Board Role in Strategic Planning</w:t>
              </w:r>
            </w:hyperlink>
          </w:p>
        </w:tc>
        <w:tc>
          <w:tcPr>
            <w:tcW w:w="260" w:type="dxa"/>
            <w:vAlign w:val="bottom"/>
          </w:tcPr>
          <w:p>
            <w:pPr>
              <w:jc w:val="right"/>
              <w:spacing w:after="0"/>
              <w:rPr>
                <w:rFonts w:ascii="Arial" w:cs="Arial" w:eastAsia="Arial" w:hAnsi="Arial"/>
                <w:sz w:val="14"/>
                <w:szCs w:val="14"/>
                <w:color w:val="auto"/>
              </w:rPr>
            </w:pPr>
            <w:hyperlink w:anchor="page27">
              <w:r>
                <w:rPr>
                  <w:rFonts w:ascii="Arial" w:cs="Arial" w:eastAsia="Arial" w:hAnsi="Arial"/>
                  <w:sz w:val="14"/>
                  <w:szCs w:val="14"/>
                  <w:color w:val="auto"/>
                </w:rPr>
                <w:t>21</w:t>
              </w:r>
            </w:hyperlink>
          </w:p>
        </w:tc>
        <w:tc>
          <w:tcPr>
            <w:tcW w:w="0" w:type="dxa"/>
            <w:vAlign w:val="bottom"/>
          </w:tcPr>
          <w:p>
            <w:pPr>
              <w:spacing w:after="0"/>
              <w:rPr>
                <w:sz w:val="1"/>
                <w:szCs w:val="1"/>
                <w:color w:val="auto"/>
              </w:rPr>
            </w:pPr>
          </w:p>
        </w:tc>
      </w:tr>
      <w:tr>
        <w:trPr>
          <w:trHeight w:val="188"/>
        </w:trPr>
        <w:tc>
          <w:tcPr>
            <w:tcW w:w="3220" w:type="dxa"/>
            <w:vAlign w:val="bottom"/>
          </w:tcPr>
          <w:p>
            <w:pPr>
              <w:ind w:left="20"/>
              <w:spacing w:after="0"/>
              <w:rPr>
                <w:rFonts w:ascii="Arial" w:cs="Arial" w:eastAsia="Arial" w:hAnsi="Arial"/>
                <w:sz w:val="14"/>
                <w:szCs w:val="14"/>
                <w:color w:val="auto"/>
              </w:rPr>
            </w:pPr>
            <w:hyperlink w:anchor="page27">
              <w:r>
                <w:rPr>
                  <w:rFonts w:ascii="Arial" w:cs="Arial" w:eastAsia="Arial" w:hAnsi="Arial"/>
                  <w:sz w:val="14"/>
                  <w:szCs w:val="14"/>
                  <w:color w:val="auto"/>
                </w:rPr>
                <w:t>Enterprise Risk Management</w:t>
              </w:r>
            </w:hyperlink>
          </w:p>
        </w:tc>
        <w:tc>
          <w:tcPr>
            <w:tcW w:w="260" w:type="dxa"/>
            <w:vAlign w:val="bottom"/>
          </w:tcPr>
          <w:p>
            <w:pPr>
              <w:jc w:val="right"/>
              <w:spacing w:after="0"/>
              <w:rPr>
                <w:rFonts w:ascii="Arial" w:cs="Arial" w:eastAsia="Arial" w:hAnsi="Arial"/>
                <w:sz w:val="14"/>
                <w:szCs w:val="14"/>
                <w:color w:val="auto"/>
              </w:rPr>
            </w:pPr>
            <w:hyperlink w:anchor="page27">
              <w:r>
                <w:rPr>
                  <w:rFonts w:ascii="Arial" w:cs="Arial" w:eastAsia="Arial" w:hAnsi="Arial"/>
                  <w:sz w:val="14"/>
                  <w:szCs w:val="14"/>
                  <w:color w:val="auto"/>
                </w:rPr>
                <w:t>21</w:t>
              </w:r>
            </w:hyperlink>
          </w:p>
        </w:tc>
        <w:tc>
          <w:tcPr>
            <w:tcW w:w="0" w:type="dxa"/>
            <w:vAlign w:val="bottom"/>
          </w:tcPr>
          <w:p>
            <w:pPr>
              <w:spacing w:after="0"/>
              <w:rPr>
                <w:sz w:val="1"/>
                <w:szCs w:val="1"/>
                <w:color w:val="auto"/>
              </w:rPr>
            </w:pPr>
          </w:p>
        </w:tc>
      </w:tr>
      <w:tr>
        <w:trPr>
          <w:trHeight w:val="188"/>
        </w:trPr>
        <w:tc>
          <w:tcPr>
            <w:tcW w:w="3220" w:type="dxa"/>
            <w:vAlign w:val="bottom"/>
          </w:tcPr>
          <w:p>
            <w:pPr>
              <w:ind w:left="20"/>
              <w:spacing w:after="0"/>
              <w:rPr>
                <w:rFonts w:ascii="Arial" w:cs="Arial" w:eastAsia="Arial" w:hAnsi="Arial"/>
                <w:sz w:val="14"/>
                <w:szCs w:val="14"/>
                <w:color w:val="auto"/>
              </w:rPr>
            </w:pPr>
            <w:hyperlink w:anchor="page28">
              <w:r>
                <w:rPr>
                  <w:rFonts w:ascii="Arial" w:cs="Arial" w:eastAsia="Arial" w:hAnsi="Arial"/>
                  <w:sz w:val="14"/>
                  <w:szCs w:val="14"/>
                  <w:color w:val="auto"/>
                </w:rPr>
                <w:t>Cybersecurity</w:t>
              </w:r>
            </w:hyperlink>
          </w:p>
        </w:tc>
        <w:tc>
          <w:tcPr>
            <w:tcW w:w="260" w:type="dxa"/>
            <w:vAlign w:val="bottom"/>
          </w:tcPr>
          <w:p>
            <w:pPr>
              <w:jc w:val="right"/>
              <w:spacing w:after="0"/>
              <w:rPr>
                <w:rFonts w:ascii="Arial" w:cs="Arial" w:eastAsia="Arial" w:hAnsi="Arial"/>
                <w:sz w:val="14"/>
                <w:szCs w:val="14"/>
                <w:color w:val="auto"/>
              </w:rPr>
            </w:pPr>
            <w:hyperlink w:anchor="page28">
              <w:r>
                <w:rPr>
                  <w:rFonts w:ascii="Arial" w:cs="Arial" w:eastAsia="Arial" w:hAnsi="Arial"/>
                  <w:sz w:val="14"/>
                  <w:szCs w:val="14"/>
                  <w:color w:val="auto"/>
                </w:rPr>
                <w:t>22</w:t>
              </w:r>
            </w:hyperlink>
          </w:p>
        </w:tc>
        <w:tc>
          <w:tcPr>
            <w:tcW w:w="0" w:type="dxa"/>
            <w:vAlign w:val="bottom"/>
          </w:tcPr>
          <w:p>
            <w:pPr>
              <w:spacing w:after="0"/>
              <w:rPr>
                <w:sz w:val="1"/>
                <w:szCs w:val="1"/>
                <w:color w:val="auto"/>
              </w:rPr>
            </w:pPr>
          </w:p>
        </w:tc>
      </w:tr>
      <w:tr>
        <w:trPr>
          <w:trHeight w:val="188"/>
        </w:trPr>
        <w:tc>
          <w:tcPr>
            <w:tcW w:w="3220" w:type="dxa"/>
            <w:vAlign w:val="bottom"/>
          </w:tcPr>
          <w:p>
            <w:pPr>
              <w:ind w:left="20"/>
              <w:spacing w:after="0"/>
              <w:rPr>
                <w:rFonts w:ascii="Arial" w:cs="Arial" w:eastAsia="Arial" w:hAnsi="Arial"/>
                <w:sz w:val="14"/>
                <w:szCs w:val="14"/>
                <w:color w:val="auto"/>
              </w:rPr>
            </w:pPr>
            <w:hyperlink w:anchor="page28">
              <w:r>
                <w:rPr>
                  <w:rFonts w:ascii="Arial" w:cs="Arial" w:eastAsia="Arial" w:hAnsi="Arial"/>
                  <w:sz w:val="14"/>
                  <w:szCs w:val="14"/>
                  <w:color w:val="auto"/>
                </w:rPr>
                <w:t>Political and Public Policy Activities</w:t>
              </w:r>
            </w:hyperlink>
          </w:p>
        </w:tc>
        <w:tc>
          <w:tcPr>
            <w:tcW w:w="260" w:type="dxa"/>
            <w:vAlign w:val="bottom"/>
          </w:tcPr>
          <w:p>
            <w:pPr>
              <w:jc w:val="right"/>
              <w:spacing w:after="0"/>
              <w:rPr>
                <w:rFonts w:ascii="Arial" w:cs="Arial" w:eastAsia="Arial" w:hAnsi="Arial"/>
                <w:sz w:val="14"/>
                <w:szCs w:val="14"/>
                <w:color w:val="auto"/>
              </w:rPr>
            </w:pPr>
            <w:hyperlink w:anchor="page28">
              <w:r>
                <w:rPr>
                  <w:rFonts w:ascii="Arial" w:cs="Arial" w:eastAsia="Arial" w:hAnsi="Arial"/>
                  <w:sz w:val="14"/>
                  <w:szCs w:val="14"/>
                  <w:color w:val="auto"/>
                </w:rPr>
                <w:t>23</w:t>
              </w:r>
            </w:hyperlink>
          </w:p>
        </w:tc>
        <w:tc>
          <w:tcPr>
            <w:tcW w:w="0" w:type="dxa"/>
            <w:vAlign w:val="bottom"/>
          </w:tcPr>
          <w:p>
            <w:pPr>
              <w:spacing w:after="0"/>
              <w:rPr>
                <w:sz w:val="1"/>
                <w:szCs w:val="1"/>
                <w:color w:val="auto"/>
              </w:rPr>
            </w:pPr>
          </w:p>
        </w:tc>
      </w:tr>
      <w:tr>
        <w:trPr>
          <w:trHeight w:val="215"/>
        </w:trPr>
        <w:tc>
          <w:tcPr>
            <w:tcW w:w="3220" w:type="dxa"/>
            <w:vAlign w:val="bottom"/>
          </w:tcPr>
          <w:p>
            <w:pPr>
              <w:ind w:left="20"/>
              <w:spacing w:after="0"/>
              <w:rPr>
                <w:rFonts w:ascii="Arial" w:cs="Arial" w:eastAsia="Arial" w:hAnsi="Arial"/>
                <w:sz w:val="14"/>
                <w:szCs w:val="14"/>
                <w:color w:val="auto"/>
              </w:rPr>
            </w:pPr>
            <w:hyperlink w:anchor="page29">
              <w:r>
                <w:rPr>
                  <w:rFonts w:ascii="Arial" w:cs="Arial" w:eastAsia="Arial" w:hAnsi="Arial"/>
                  <w:sz w:val="14"/>
                  <w:szCs w:val="14"/>
                  <w:color w:val="auto"/>
                </w:rPr>
                <w:t>Talent Management and Succession Planning</w:t>
              </w:r>
            </w:hyperlink>
          </w:p>
        </w:tc>
        <w:tc>
          <w:tcPr>
            <w:tcW w:w="260" w:type="dxa"/>
            <w:vAlign w:val="bottom"/>
          </w:tcPr>
          <w:p>
            <w:pPr>
              <w:jc w:val="right"/>
              <w:spacing w:after="0"/>
              <w:rPr>
                <w:rFonts w:ascii="Arial" w:cs="Arial" w:eastAsia="Arial" w:hAnsi="Arial"/>
                <w:sz w:val="14"/>
                <w:szCs w:val="14"/>
                <w:color w:val="auto"/>
              </w:rPr>
            </w:pPr>
            <w:hyperlink w:anchor="page29">
              <w:r>
                <w:rPr>
                  <w:rFonts w:ascii="Arial" w:cs="Arial" w:eastAsia="Arial" w:hAnsi="Arial"/>
                  <w:sz w:val="14"/>
                  <w:szCs w:val="14"/>
                  <w:color w:val="auto"/>
                </w:rPr>
                <w:t>23</w:t>
              </w:r>
            </w:hyperlink>
          </w:p>
        </w:tc>
        <w:tc>
          <w:tcPr>
            <w:tcW w:w="0" w:type="dxa"/>
            <w:vAlign w:val="bottom"/>
          </w:tcPr>
          <w:p>
            <w:pPr>
              <w:spacing w:after="0"/>
              <w:rPr>
                <w:sz w:val="1"/>
                <w:szCs w:val="1"/>
                <w:color w:val="auto"/>
              </w:rPr>
            </w:pPr>
          </w:p>
        </w:tc>
      </w:tr>
      <w:tr>
        <w:trPr>
          <w:trHeight w:val="188"/>
        </w:trPr>
        <w:tc>
          <w:tcPr>
            <w:tcW w:w="3220" w:type="dxa"/>
            <w:vAlign w:val="bottom"/>
          </w:tcPr>
          <w:p>
            <w:pPr>
              <w:ind w:left="20"/>
              <w:spacing w:after="0"/>
              <w:rPr>
                <w:rFonts w:ascii="Arial" w:cs="Arial" w:eastAsia="Arial" w:hAnsi="Arial"/>
                <w:sz w:val="14"/>
                <w:szCs w:val="14"/>
                <w:color w:val="auto"/>
              </w:rPr>
            </w:pPr>
            <w:hyperlink w:anchor="page29">
              <w:r>
                <w:rPr>
                  <w:rFonts w:ascii="Arial" w:cs="Arial" w:eastAsia="Arial" w:hAnsi="Arial"/>
                  <w:sz w:val="14"/>
                  <w:szCs w:val="14"/>
                  <w:color w:val="auto"/>
                </w:rPr>
                <w:t>Board Oversight of People Strategy</w:t>
              </w:r>
            </w:hyperlink>
          </w:p>
        </w:tc>
        <w:tc>
          <w:tcPr>
            <w:tcW w:w="260" w:type="dxa"/>
            <w:vAlign w:val="bottom"/>
          </w:tcPr>
          <w:p>
            <w:pPr>
              <w:jc w:val="right"/>
              <w:spacing w:after="0"/>
              <w:rPr>
                <w:rFonts w:ascii="Arial" w:cs="Arial" w:eastAsia="Arial" w:hAnsi="Arial"/>
                <w:sz w:val="14"/>
                <w:szCs w:val="14"/>
                <w:color w:val="auto"/>
              </w:rPr>
            </w:pPr>
            <w:hyperlink w:anchor="page29">
              <w:r>
                <w:rPr>
                  <w:rFonts w:ascii="Arial" w:cs="Arial" w:eastAsia="Arial" w:hAnsi="Arial"/>
                  <w:sz w:val="14"/>
                  <w:szCs w:val="14"/>
                  <w:color w:val="auto"/>
                </w:rPr>
                <w:t>24</w:t>
              </w:r>
            </w:hyperlink>
          </w:p>
        </w:tc>
        <w:tc>
          <w:tcPr>
            <w:tcW w:w="0" w:type="dxa"/>
            <w:vAlign w:val="bottom"/>
          </w:tcPr>
          <w:p>
            <w:pPr>
              <w:spacing w:after="0"/>
              <w:rPr>
                <w:sz w:val="1"/>
                <w:szCs w:val="1"/>
                <w:color w:val="auto"/>
              </w:rPr>
            </w:pPr>
          </w:p>
        </w:tc>
      </w:tr>
      <w:tr>
        <w:trPr>
          <w:trHeight w:val="188"/>
        </w:trPr>
        <w:tc>
          <w:tcPr>
            <w:tcW w:w="3220" w:type="dxa"/>
            <w:vAlign w:val="bottom"/>
          </w:tcPr>
          <w:p>
            <w:pPr>
              <w:ind w:left="20"/>
              <w:spacing w:after="0"/>
              <w:rPr>
                <w:rFonts w:ascii="Arial" w:cs="Arial" w:eastAsia="Arial" w:hAnsi="Arial"/>
                <w:sz w:val="14"/>
                <w:szCs w:val="14"/>
                <w:color w:val="auto"/>
              </w:rPr>
            </w:pPr>
            <w:hyperlink w:anchor="page29">
              <w:r>
                <w:rPr>
                  <w:rFonts w:ascii="Arial" w:cs="Arial" w:eastAsia="Arial" w:hAnsi="Arial"/>
                  <w:sz w:val="14"/>
                  <w:szCs w:val="14"/>
                  <w:color w:val="auto"/>
                </w:rPr>
                <w:t>Our People Strategy</w:t>
              </w:r>
            </w:hyperlink>
          </w:p>
        </w:tc>
        <w:tc>
          <w:tcPr>
            <w:tcW w:w="260" w:type="dxa"/>
            <w:vAlign w:val="bottom"/>
          </w:tcPr>
          <w:p>
            <w:pPr>
              <w:jc w:val="right"/>
              <w:spacing w:after="0"/>
              <w:rPr>
                <w:rFonts w:ascii="Arial" w:cs="Arial" w:eastAsia="Arial" w:hAnsi="Arial"/>
                <w:sz w:val="14"/>
                <w:szCs w:val="14"/>
                <w:color w:val="auto"/>
              </w:rPr>
            </w:pPr>
            <w:hyperlink w:anchor="page29">
              <w:r>
                <w:rPr>
                  <w:rFonts w:ascii="Arial" w:cs="Arial" w:eastAsia="Arial" w:hAnsi="Arial"/>
                  <w:sz w:val="14"/>
                  <w:szCs w:val="14"/>
                  <w:color w:val="auto"/>
                </w:rPr>
                <w:t>24</w:t>
              </w:r>
            </w:hyperlink>
          </w:p>
        </w:tc>
        <w:tc>
          <w:tcPr>
            <w:tcW w:w="0" w:type="dxa"/>
            <w:vAlign w:val="bottom"/>
          </w:tcPr>
          <w:p>
            <w:pPr>
              <w:spacing w:after="0"/>
              <w:rPr>
                <w:sz w:val="1"/>
                <w:szCs w:val="1"/>
                <w:color w:val="auto"/>
              </w:rPr>
            </w:pPr>
          </w:p>
        </w:tc>
      </w:tr>
      <w:tr>
        <w:trPr>
          <w:trHeight w:val="188"/>
        </w:trPr>
        <w:tc>
          <w:tcPr>
            <w:tcW w:w="3220" w:type="dxa"/>
            <w:vAlign w:val="bottom"/>
          </w:tcPr>
          <w:p>
            <w:pPr>
              <w:ind w:left="20"/>
              <w:spacing w:after="0"/>
              <w:rPr>
                <w:rFonts w:ascii="Arial" w:cs="Arial" w:eastAsia="Arial" w:hAnsi="Arial"/>
                <w:sz w:val="14"/>
                <w:szCs w:val="14"/>
                <w:color w:val="auto"/>
              </w:rPr>
            </w:pPr>
            <w:hyperlink w:anchor="page30">
              <w:r>
                <w:rPr>
                  <w:rFonts w:ascii="Arial" w:cs="Arial" w:eastAsia="Arial" w:hAnsi="Arial"/>
                  <w:sz w:val="14"/>
                  <w:szCs w:val="14"/>
                  <w:color w:val="auto"/>
                </w:rPr>
                <w:t>Workforce Diversity and Inclusion</w:t>
              </w:r>
            </w:hyperlink>
          </w:p>
        </w:tc>
        <w:tc>
          <w:tcPr>
            <w:tcW w:w="260" w:type="dxa"/>
            <w:vAlign w:val="bottom"/>
          </w:tcPr>
          <w:p>
            <w:pPr>
              <w:jc w:val="right"/>
              <w:spacing w:after="0"/>
              <w:rPr>
                <w:rFonts w:ascii="Arial" w:cs="Arial" w:eastAsia="Arial" w:hAnsi="Arial"/>
                <w:sz w:val="14"/>
                <w:szCs w:val="14"/>
                <w:color w:val="auto"/>
              </w:rPr>
            </w:pPr>
            <w:hyperlink w:anchor="page30">
              <w:r>
                <w:rPr>
                  <w:rFonts w:ascii="Arial" w:cs="Arial" w:eastAsia="Arial" w:hAnsi="Arial"/>
                  <w:sz w:val="14"/>
                  <w:szCs w:val="14"/>
                  <w:color w:val="auto"/>
                </w:rPr>
                <w:t>25</w:t>
              </w:r>
            </w:hyperlink>
          </w:p>
        </w:tc>
        <w:tc>
          <w:tcPr>
            <w:tcW w:w="0" w:type="dxa"/>
            <w:vAlign w:val="bottom"/>
          </w:tcPr>
          <w:p>
            <w:pPr>
              <w:spacing w:after="0"/>
              <w:rPr>
                <w:sz w:val="1"/>
                <w:szCs w:val="1"/>
                <w:color w:val="auto"/>
              </w:rPr>
            </w:pPr>
          </w:p>
        </w:tc>
      </w:tr>
      <w:tr>
        <w:trPr>
          <w:trHeight w:val="188"/>
        </w:trPr>
        <w:tc>
          <w:tcPr>
            <w:tcW w:w="3220" w:type="dxa"/>
            <w:vAlign w:val="bottom"/>
          </w:tcPr>
          <w:p>
            <w:pPr>
              <w:ind w:left="20"/>
              <w:spacing w:after="0"/>
              <w:rPr>
                <w:rFonts w:ascii="Arial" w:cs="Arial" w:eastAsia="Arial" w:hAnsi="Arial"/>
                <w:sz w:val="14"/>
                <w:szCs w:val="14"/>
                <w:color w:val="auto"/>
              </w:rPr>
            </w:pPr>
            <w:hyperlink w:anchor="page31">
              <w:r>
                <w:rPr>
                  <w:rFonts w:ascii="Arial" w:cs="Arial" w:eastAsia="Arial" w:hAnsi="Arial"/>
                  <w:sz w:val="14"/>
                  <w:szCs w:val="14"/>
                  <w:color w:val="auto"/>
                </w:rPr>
                <w:t>Our Stockholder Engagement Program</w:t>
              </w:r>
            </w:hyperlink>
          </w:p>
        </w:tc>
        <w:tc>
          <w:tcPr>
            <w:tcW w:w="260" w:type="dxa"/>
            <w:vAlign w:val="bottom"/>
          </w:tcPr>
          <w:p>
            <w:pPr>
              <w:jc w:val="right"/>
              <w:spacing w:after="0"/>
              <w:rPr>
                <w:rFonts w:ascii="Arial" w:cs="Arial" w:eastAsia="Arial" w:hAnsi="Arial"/>
                <w:sz w:val="14"/>
                <w:szCs w:val="14"/>
                <w:color w:val="auto"/>
              </w:rPr>
            </w:pPr>
            <w:hyperlink w:anchor="page31">
              <w:r>
                <w:rPr>
                  <w:rFonts w:ascii="Arial" w:cs="Arial" w:eastAsia="Arial" w:hAnsi="Arial"/>
                  <w:sz w:val="14"/>
                  <w:szCs w:val="14"/>
                  <w:color w:val="auto"/>
                </w:rPr>
                <w:t>26</w:t>
              </w:r>
            </w:hyperlink>
          </w:p>
        </w:tc>
        <w:tc>
          <w:tcPr>
            <w:tcW w:w="0" w:type="dxa"/>
            <w:vAlign w:val="bottom"/>
          </w:tcPr>
          <w:p>
            <w:pPr>
              <w:spacing w:after="0"/>
              <w:rPr>
                <w:sz w:val="1"/>
                <w:szCs w:val="1"/>
                <w:color w:val="auto"/>
              </w:rPr>
            </w:pPr>
          </w:p>
        </w:tc>
      </w:tr>
      <w:tr>
        <w:trPr>
          <w:trHeight w:val="188"/>
        </w:trPr>
        <w:tc>
          <w:tcPr>
            <w:tcW w:w="3220" w:type="dxa"/>
            <w:vAlign w:val="bottom"/>
          </w:tcPr>
          <w:p>
            <w:pPr>
              <w:ind w:left="20"/>
              <w:spacing w:after="0"/>
              <w:rPr>
                <w:rFonts w:ascii="Arial" w:cs="Arial" w:eastAsia="Arial" w:hAnsi="Arial"/>
                <w:sz w:val="14"/>
                <w:szCs w:val="14"/>
                <w:color w:val="auto"/>
              </w:rPr>
            </w:pPr>
            <w:hyperlink w:anchor="page32">
              <w:r>
                <w:rPr>
                  <w:rFonts w:ascii="Arial" w:cs="Arial" w:eastAsia="Arial" w:hAnsi="Arial"/>
                  <w:sz w:val="14"/>
                  <w:szCs w:val="14"/>
                  <w:color w:val="auto"/>
                </w:rPr>
                <w:t>Board Policies and Processes</w:t>
              </w:r>
            </w:hyperlink>
          </w:p>
        </w:tc>
        <w:tc>
          <w:tcPr>
            <w:tcW w:w="260" w:type="dxa"/>
            <w:vAlign w:val="bottom"/>
          </w:tcPr>
          <w:p>
            <w:pPr>
              <w:jc w:val="right"/>
              <w:spacing w:after="0"/>
              <w:rPr>
                <w:rFonts w:ascii="Arial" w:cs="Arial" w:eastAsia="Arial" w:hAnsi="Arial"/>
                <w:sz w:val="14"/>
                <w:szCs w:val="14"/>
                <w:color w:val="auto"/>
              </w:rPr>
            </w:pPr>
            <w:hyperlink w:anchor="page32">
              <w:r>
                <w:rPr>
                  <w:rFonts w:ascii="Arial" w:cs="Arial" w:eastAsia="Arial" w:hAnsi="Arial"/>
                  <w:sz w:val="14"/>
                  <w:szCs w:val="14"/>
                  <w:color w:val="auto"/>
                </w:rPr>
                <w:t>27</w:t>
              </w:r>
            </w:hyperlink>
          </w:p>
        </w:tc>
        <w:tc>
          <w:tcPr>
            <w:tcW w:w="0" w:type="dxa"/>
            <w:vAlign w:val="bottom"/>
          </w:tcPr>
          <w:p>
            <w:pPr>
              <w:spacing w:after="0"/>
              <w:rPr>
                <w:sz w:val="1"/>
                <w:szCs w:val="1"/>
                <w:color w:val="auto"/>
              </w:rPr>
            </w:pPr>
          </w:p>
        </w:tc>
      </w:tr>
      <w:tr>
        <w:trPr>
          <w:trHeight w:val="188"/>
        </w:trPr>
        <w:tc>
          <w:tcPr>
            <w:tcW w:w="3220" w:type="dxa"/>
            <w:vAlign w:val="bottom"/>
          </w:tcPr>
          <w:p>
            <w:pPr>
              <w:ind w:left="20"/>
              <w:spacing w:after="0"/>
              <w:rPr>
                <w:rFonts w:ascii="Arial" w:cs="Arial" w:eastAsia="Arial" w:hAnsi="Arial"/>
                <w:sz w:val="14"/>
                <w:szCs w:val="14"/>
                <w:color w:val="auto"/>
              </w:rPr>
            </w:pPr>
            <w:hyperlink w:anchor="page33">
              <w:r>
                <w:rPr>
                  <w:rFonts w:ascii="Arial" w:cs="Arial" w:eastAsia="Arial" w:hAnsi="Arial"/>
                  <w:sz w:val="14"/>
                  <w:szCs w:val="14"/>
                  <w:color w:val="auto"/>
                </w:rPr>
                <w:t>Corporate Governance Guidelines</w:t>
              </w:r>
            </w:hyperlink>
          </w:p>
        </w:tc>
        <w:tc>
          <w:tcPr>
            <w:tcW w:w="260" w:type="dxa"/>
            <w:vAlign w:val="bottom"/>
          </w:tcPr>
          <w:p>
            <w:pPr>
              <w:jc w:val="right"/>
              <w:spacing w:after="0"/>
              <w:rPr>
                <w:rFonts w:ascii="Arial" w:cs="Arial" w:eastAsia="Arial" w:hAnsi="Arial"/>
                <w:sz w:val="14"/>
                <w:szCs w:val="14"/>
                <w:color w:val="auto"/>
              </w:rPr>
            </w:pPr>
            <w:hyperlink w:anchor="page33">
              <w:r>
                <w:rPr>
                  <w:rFonts w:ascii="Arial" w:cs="Arial" w:eastAsia="Arial" w:hAnsi="Arial"/>
                  <w:sz w:val="14"/>
                  <w:szCs w:val="14"/>
                  <w:color w:val="auto"/>
                </w:rPr>
                <w:t>27</w:t>
              </w:r>
            </w:hyperlink>
          </w:p>
        </w:tc>
        <w:tc>
          <w:tcPr>
            <w:tcW w:w="0" w:type="dxa"/>
            <w:vAlign w:val="bottom"/>
          </w:tcPr>
          <w:p>
            <w:pPr>
              <w:spacing w:after="0"/>
              <w:rPr>
                <w:sz w:val="1"/>
                <w:szCs w:val="1"/>
                <w:color w:val="auto"/>
              </w:rPr>
            </w:pPr>
          </w:p>
        </w:tc>
      </w:tr>
      <w:tr>
        <w:trPr>
          <w:trHeight w:val="188"/>
        </w:trPr>
        <w:tc>
          <w:tcPr>
            <w:tcW w:w="3220" w:type="dxa"/>
            <w:vAlign w:val="bottom"/>
          </w:tcPr>
          <w:p>
            <w:pPr>
              <w:ind w:left="20"/>
              <w:spacing w:after="0"/>
              <w:rPr>
                <w:rFonts w:ascii="Arial" w:cs="Arial" w:eastAsia="Arial" w:hAnsi="Arial"/>
                <w:sz w:val="14"/>
                <w:szCs w:val="14"/>
                <w:color w:val="auto"/>
              </w:rPr>
            </w:pPr>
            <w:hyperlink w:anchor="page33">
              <w:r>
                <w:rPr>
                  <w:rFonts w:ascii="Arial" w:cs="Arial" w:eastAsia="Arial" w:hAnsi="Arial"/>
                  <w:sz w:val="14"/>
                  <w:szCs w:val="14"/>
                  <w:color w:val="auto"/>
                </w:rPr>
                <w:t xml:space="preserve">Director Overboarding Policy </w:t>
              </w:r>
            </w:hyperlink>
            <w:r>
              <w:rPr>
                <w:rFonts w:ascii="Arial" w:cs="Arial" w:eastAsia="Arial" w:hAnsi="Arial"/>
                <w:sz w:val="14"/>
                <w:szCs w:val="14"/>
                <w:color w:val="auto"/>
              </w:rPr>
              <w:t>and Oversight</w:t>
            </w:r>
          </w:p>
        </w:tc>
        <w:tc>
          <w:tcPr>
            <w:tcW w:w="260" w:type="dxa"/>
            <w:vAlign w:val="bottom"/>
          </w:tcPr>
          <w:p>
            <w:pPr>
              <w:jc w:val="right"/>
              <w:spacing w:after="0"/>
              <w:rPr>
                <w:rFonts w:ascii="Arial" w:cs="Arial" w:eastAsia="Arial" w:hAnsi="Arial"/>
                <w:sz w:val="14"/>
                <w:szCs w:val="14"/>
                <w:color w:val="auto"/>
              </w:rPr>
            </w:pPr>
            <w:hyperlink w:anchor="page33">
              <w:r>
                <w:rPr>
                  <w:rFonts w:ascii="Arial" w:cs="Arial" w:eastAsia="Arial" w:hAnsi="Arial"/>
                  <w:sz w:val="14"/>
                  <w:szCs w:val="14"/>
                  <w:color w:val="auto"/>
                </w:rPr>
                <w:t>27</w:t>
              </w:r>
            </w:hyperlink>
          </w:p>
        </w:tc>
        <w:tc>
          <w:tcPr>
            <w:tcW w:w="0" w:type="dxa"/>
            <w:vAlign w:val="bottom"/>
          </w:tcPr>
          <w:p>
            <w:pPr>
              <w:spacing w:after="0"/>
              <w:rPr>
                <w:sz w:val="1"/>
                <w:szCs w:val="1"/>
                <w:color w:val="auto"/>
              </w:rPr>
            </w:pPr>
          </w:p>
        </w:tc>
      </w:tr>
      <w:tr>
        <w:trPr>
          <w:trHeight w:val="188"/>
        </w:trPr>
        <w:tc>
          <w:tcPr>
            <w:tcW w:w="3220" w:type="dxa"/>
            <w:vAlign w:val="bottom"/>
          </w:tcPr>
          <w:p>
            <w:pPr>
              <w:ind w:left="20"/>
              <w:spacing w:after="0"/>
              <w:rPr>
                <w:rFonts w:ascii="Arial" w:cs="Arial" w:eastAsia="Arial" w:hAnsi="Arial"/>
                <w:sz w:val="14"/>
                <w:szCs w:val="14"/>
                <w:color w:val="auto"/>
              </w:rPr>
            </w:pPr>
            <w:hyperlink w:anchor="page33">
              <w:r>
                <w:rPr>
                  <w:rFonts w:ascii="Arial" w:cs="Arial" w:eastAsia="Arial" w:hAnsi="Arial"/>
                  <w:sz w:val="14"/>
                  <w:szCs w:val="14"/>
                  <w:color w:val="auto"/>
                </w:rPr>
                <w:t>Director Independence</w:t>
              </w:r>
            </w:hyperlink>
          </w:p>
        </w:tc>
        <w:tc>
          <w:tcPr>
            <w:tcW w:w="260" w:type="dxa"/>
            <w:vAlign w:val="bottom"/>
          </w:tcPr>
          <w:p>
            <w:pPr>
              <w:jc w:val="right"/>
              <w:spacing w:after="0"/>
              <w:rPr>
                <w:rFonts w:ascii="Arial" w:cs="Arial" w:eastAsia="Arial" w:hAnsi="Arial"/>
                <w:sz w:val="14"/>
                <w:szCs w:val="14"/>
                <w:color w:val="auto"/>
              </w:rPr>
            </w:pPr>
            <w:hyperlink w:anchor="page33">
              <w:r>
                <w:rPr>
                  <w:rFonts w:ascii="Arial" w:cs="Arial" w:eastAsia="Arial" w:hAnsi="Arial"/>
                  <w:sz w:val="14"/>
                  <w:szCs w:val="14"/>
                  <w:color w:val="auto"/>
                </w:rPr>
                <w:t>28</w:t>
              </w:r>
            </w:hyperlink>
          </w:p>
        </w:tc>
        <w:tc>
          <w:tcPr>
            <w:tcW w:w="0" w:type="dxa"/>
            <w:vAlign w:val="bottom"/>
          </w:tcPr>
          <w:p>
            <w:pPr>
              <w:spacing w:after="0"/>
              <w:rPr>
                <w:sz w:val="1"/>
                <w:szCs w:val="1"/>
                <w:color w:val="auto"/>
              </w:rPr>
            </w:pPr>
          </w:p>
        </w:tc>
      </w:tr>
      <w:tr>
        <w:trPr>
          <w:trHeight w:val="188"/>
        </w:trPr>
        <w:tc>
          <w:tcPr>
            <w:tcW w:w="3220" w:type="dxa"/>
            <w:vAlign w:val="bottom"/>
          </w:tcPr>
          <w:p>
            <w:pPr>
              <w:ind w:left="20"/>
              <w:spacing w:after="0"/>
              <w:rPr>
                <w:rFonts w:ascii="Arial" w:cs="Arial" w:eastAsia="Arial" w:hAnsi="Arial"/>
                <w:sz w:val="14"/>
                <w:szCs w:val="14"/>
                <w:color w:val="auto"/>
              </w:rPr>
            </w:pPr>
            <w:hyperlink w:anchor="page34">
              <w:r>
                <w:rPr>
                  <w:rFonts w:ascii="Arial" w:cs="Arial" w:eastAsia="Arial" w:hAnsi="Arial"/>
                  <w:sz w:val="14"/>
                  <w:szCs w:val="14"/>
                  <w:color w:val="auto"/>
                </w:rPr>
                <w:t>Related Person Transaction Policy</w:t>
              </w:r>
            </w:hyperlink>
          </w:p>
        </w:tc>
        <w:tc>
          <w:tcPr>
            <w:tcW w:w="260" w:type="dxa"/>
            <w:vAlign w:val="bottom"/>
          </w:tcPr>
          <w:p>
            <w:pPr>
              <w:jc w:val="right"/>
              <w:spacing w:after="0"/>
              <w:rPr>
                <w:rFonts w:ascii="Arial" w:cs="Arial" w:eastAsia="Arial" w:hAnsi="Arial"/>
                <w:sz w:val="14"/>
                <w:szCs w:val="14"/>
                <w:color w:val="auto"/>
              </w:rPr>
            </w:pPr>
            <w:hyperlink w:anchor="page34">
              <w:r>
                <w:rPr>
                  <w:rFonts w:ascii="Arial" w:cs="Arial" w:eastAsia="Arial" w:hAnsi="Arial"/>
                  <w:sz w:val="14"/>
                  <w:szCs w:val="14"/>
                  <w:color w:val="auto"/>
                </w:rPr>
                <w:t>29</w:t>
              </w:r>
            </w:hyperlink>
          </w:p>
        </w:tc>
        <w:tc>
          <w:tcPr>
            <w:tcW w:w="0" w:type="dxa"/>
            <w:vAlign w:val="bottom"/>
          </w:tcPr>
          <w:p>
            <w:pPr>
              <w:spacing w:after="0"/>
              <w:rPr>
                <w:sz w:val="1"/>
                <w:szCs w:val="1"/>
                <w:color w:val="auto"/>
              </w:rPr>
            </w:pPr>
          </w:p>
        </w:tc>
      </w:tr>
      <w:tr>
        <w:trPr>
          <w:trHeight w:val="191"/>
        </w:trPr>
        <w:tc>
          <w:tcPr>
            <w:tcW w:w="3220" w:type="dxa"/>
            <w:vAlign w:val="bottom"/>
          </w:tcPr>
          <w:p>
            <w:pPr>
              <w:ind w:left="20"/>
              <w:spacing w:after="0"/>
              <w:rPr>
                <w:rFonts w:ascii="Arial" w:cs="Arial" w:eastAsia="Arial" w:hAnsi="Arial"/>
                <w:sz w:val="14"/>
                <w:szCs w:val="14"/>
                <w:color w:val="auto"/>
              </w:rPr>
            </w:pPr>
            <w:hyperlink w:anchor="page35">
              <w:r>
                <w:rPr>
                  <w:rFonts w:ascii="Arial" w:cs="Arial" w:eastAsia="Arial" w:hAnsi="Arial"/>
                  <w:sz w:val="14"/>
                  <w:szCs w:val="14"/>
                  <w:color w:val="auto"/>
                </w:rPr>
                <w:t>Certain Relationships and Related Person</w:t>
              </w:r>
            </w:hyperlink>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220" w:type="dxa"/>
            <w:vAlign w:val="bottom"/>
          </w:tcPr>
          <w:p>
            <w:pPr>
              <w:ind w:left="20"/>
              <w:spacing w:after="0"/>
              <w:rPr>
                <w:rFonts w:ascii="Arial" w:cs="Arial" w:eastAsia="Arial" w:hAnsi="Arial"/>
                <w:sz w:val="14"/>
                <w:szCs w:val="14"/>
                <w:color w:val="auto"/>
              </w:rPr>
            </w:pPr>
            <w:hyperlink w:anchor="page35">
              <w:r>
                <w:rPr>
                  <w:rFonts w:ascii="Arial" w:cs="Arial" w:eastAsia="Arial" w:hAnsi="Arial"/>
                  <w:sz w:val="14"/>
                  <w:szCs w:val="14"/>
                  <w:color w:val="auto"/>
                </w:rPr>
                <w:t>Transactions of Directors, Executive Officers and</w:t>
              </w:r>
            </w:hyperlink>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220" w:type="dxa"/>
            <w:vAlign w:val="bottom"/>
          </w:tcPr>
          <w:p>
            <w:pPr>
              <w:ind w:left="20"/>
              <w:spacing w:after="0"/>
              <w:rPr>
                <w:rFonts w:ascii="Arial" w:cs="Arial" w:eastAsia="Arial" w:hAnsi="Arial"/>
                <w:sz w:val="14"/>
                <w:szCs w:val="14"/>
                <w:color w:val="auto"/>
              </w:rPr>
            </w:pPr>
            <w:hyperlink w:anchor="page35">
              <w:r>
                <w:rPr>
                  <w:rFonts w:ascii="Arial" w:cs="Arial" w:eastAsia="Arial" w:hAnsi="Arial"/>
                  <w:sz w:val="14"/>
                  <w:szCs w:val="14"/>
                  <w:color w:val="auto"/>
                </w:rPr>
                <w:t>5 Percent Stockholders</w:t>
              </w:r>
            </w:hyperlink>
          </w:p>
        </w:tc>
        <w:tc>
          <w:tcPr>
            <w:tcW w:w="260" w:type="dxa"/>
            <w:vAlign w:val="bottom"/>
          </w:tcPr>
          <w:p>
            <w:pPr>
              <w:jc w:val="right"/>
              <w:spacing w:after="0"/>
              <w:rPr>
                <w:rFonts w:ascii="Arial" w:cs="Arial" w:eastAsia="Arial" w:hAnsi="Arial"/>
                <w:sz w:val="14"/>
                <w:szCs w:val="14"/>
                <w:color w:val="auto"/>
              </w:rPr>
            </w:pPr>
            <w:hyperlink w:anchor="page35">
              <w:r>
                <w:rPr>
                  <w:rFonts w:ascii="Arial" w:cs="Arial" w:eastAsia="Arial" w:hAnsi="Arial"/>
                  <w:sz w:val="14"/>
                  <w:szCs w:val="14"/>
                  <w:color w:val="auto"/>
                </w:rPr>
                <w:t>29</w:t>
              </w:r>
            </w:hyperlink>
          </w:p>
        </w:tc>
        <w:tc>
          <w:tcPr>
            <w:tcW w:w="0" w:type="dxa"/>
            <w:vAlign w:val="bottom"/>
          </w:tcPr>
          <w:p>
            <w:pPr>
              <w:spacing w:after="0"/>
              <w:rPr>
                <w:sz w:val="1"/>
                <w:szCs w:val="1"/>
                <w:color w:val="auto"/>
              </w:rPr>
            </w:pPr>
          </w:p>
        </w:tc>
      </w:tr>
      <w:tr>
        <w:trPr>
          <w:trHeight w:val="188"/>
        </w:trPr>
        <w:tc>
          <w:tcPr>
            <w:tcW w:w="3220" w:type="dxa"/>
            <w:vAlign w:val="bottom"/>
          </w:tcPr>
          <w:p>
            <w:pPr>
              <w:ind w:left="20"/>
              <w:spacing w:after="0"/>
              <w:rPr>
                <w:rFonts w:ascii="Arial" w:cs="Arial" w:eastAsia="Arial" w:hAnsi="Arial"/>
                <w:sz w:val="14"/>
                <w:szCs w:val="14"/>
                <w:color w:val="auto"/>
              </w:rPr>
            </w:pPr>
            <w:hyperlink w:anchor="page35">
              <w:r>
                <w:rPr>
                  <w:rFonts w:ascii="Arial" w:cs="Arial" w:eastAsia="Arial" w:hAnsi="Arial"/>
                  <w:sz w:val="14"/>
                  <w:szCs w:val="14"/>
                  <w:color w:val="auto"/>
                </w:rPr>
                <w:t>Accountability to Stockholders</w:t>
              </w:r>
            </w:hyperlink>
          </w:p>
        </w:tc>
        <w:tc>
          <w:tcPr>
            <w:tcW w:w="260" w:type="dxa"/>
            <w:vAlign w:val="bottom"/>
          </w:tcPr>
          <w:p>
            <w:pPr>
              <w:jc w:val="right"/>
              <w:spacing w:after="0"/>
              <w:rPr>
                <w:rFonts w:ascii="Arial" w:cs="Arial" w:eastAsia="Arial" w:hAnsi="Arial"/>
                <w:sz w:val="14"/>
                <w:szCs w:val="14"/>
                <w:color w:val="auto"/>
              </w:rPr>
            </w:pPr>
            <w:hyperlink w:anchor="page35">
              <w:r>
                <w:rPr>
                  <w:rFonts w:ascii="Arial" w:cs="Arial" w:eastAsia="Arial" w:hAnsi="Arial"/>
                  <w:sz w:val="14"/>
                  <w:szCs w:val="14"/>
                  <w:color w:val="auto"/>
                </w:rPr>
                <w:t>30</w:t>
              </w:r>
            </w:hyperlink>
          </w:p>
        </w:tc>
        <w:tc>
          <w:tcPr>
            <w:tcW w:w="0" w:type="dxa"/>
            <w:vAlign w:val="bottom"/>
          </w:tcPr>
          <w:p>
            <w:pPr>
              <w:spacing w:after="0"/>
              <w:rPr>
                <w:sz w:val="1"/>
                <w:szCs w:val="1"/>
                <w:color w:val="auto"/>
              </w:rPr>
            </w:pPr>
          </w:p>
        </w:tc>
      </w:tr>
      <w:tr>
        <w:trPr>
          <w:trHeight w:val="215"/>
        </w:trPr>
        <w:tc>
          <w:tcPr>
            <w:tcW w:w="3220" w:type="dxa"/>
            <w:vAlign w:val="bottom"/>
          </w:tcPr>
          <w:p>
            <w:pPr>
              <w:ind w:left="20"/>
              <w:spacing w:after="0"/>
              <w:rPr>
                <w:rFonts w:ascii="Arial" w:cs="Arial" w:eastAsia="Arial" w:hAnsi="Arial"/>
                <w:sz w:val="14"/>
                <w:szCs w:val="14"/>
                <w:color w:val="auto"/>
              </w:rPr>
            </w:pPr>
            <w:hyperlink w:anchor="page36">
              <w:r>
                <w:rPr>
                  <w:rFonts w:ascii="Arial" w:cs="Arial" w:eastAsia="Arial" w:hAnsi="Arial"/>
                  <w:sz w:val="14"/>
                  <w:szCs w:val="14"/>
                  <w:color w:val="auto"/>
                </w:rPr>
                <w:t>Majority Voting Policy for Director Elections</w:t>
              </w:r>
            </w:hyperlink>
          </w:p>
        </w:tc>
        <w:tc>
          <w:tcPr>
            <w:tcW w:w="260" w:type="dxa"/>
            <w:vAlign w:val="bottom"/>
          </w:tcPr>
          <w:p>
            <w:pPr>
              <w:jc w:val="right"/>
              <w:spacing w:after="0"/>
              <w:rPr>
                <w:rFonts w:ascii="Arial" w:cs="Arial" w:eastAsia="Arial" w:hAnsi="Arial"/>
                <w:sz w:val="14"/>
                <w:szCs w:val="14"/>
                <w:color w:val="auto"/>
              </w:rPr>
            </w:pPr>
            <w:hyperlink w:anchor="page36">
              <w:r>
                <w:rPr>
                  <w:rFonts w:ascii="Arial" w:cs="Arial" w:eastAsia="Arial" w:hAnsi="Arial"/>
                  <w:sz w:val="14"/>
                  <w:szCs w:val="14"/>
                  <w:color w:val="auto"/>
                </w:rPr>
                <w:t>30</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3160" w:type="dxa"/>
            <w:vAlign w:val="bottom"/>
          </w:tcPr>
          <w:p>
            <w:pPr>
              <w:ind w:left="20"/>
              <w:spacing w:after="0"/>
              <w:rPr>
                <w:rFonts w:ascii="Arial" w:cs="Arial" w:eastAsia="Arial" w:hAnsi="Arial"/>
                <w:sz w:val="14"/>
                <w:szCs w:val="14"/>
                <w:color w:val="auto"/>
              </w:rPr>
            </w:pPr>
            <w:hyperlink w:anchor="page36">
              <w:r>
                <w:rPr>
                  <w:rFonts w:ascii="Arial" w:cs="Arial" w:eastAsia="Arial" w:hAnsi="Arial"/>
                  <w:sz w:val="14"/>
                  <w:szCs w:val="14"/>
                  <w:color w:val="auto"/>
                </w:rPr>
                <w:t>Stockholder Right to Amend Bylaws</w:t>
              </w:r>
            </w:hyperlink>
          </w:p>
        </w:tc>
        <w:tc>
          <w:tcPr>
            <w:tcW w:w="320" w:type="dxa"/>
            <w:vAlign w:val="bottom"/>
          </w:tcPr>
          <w:p>
            <w:pPr>
              <w:jc w:val="right"/>
              <w:spacing w:after="0"/>
              <w:rPr>
                <w:rFonts w:ascii="Arial" w:cs="Arial" w:eastAsia="Arial" w:hAnsi="Arial"/>
                <w:sz w:val="14"/>
                <w:szCs w:val="14"/>
                <w:color w:val="auto"/>
              </w:rPr>
            </w:pPr>
            <w:hyperlink w:anchor="page36">
              <w:r>
                <w:rPr>
                  <w:rFonts w:ascii="Arial" w:cs="Arial" w:eastAsia="Arial" w:hAnsi="Arial"/>
                  <w:sz w:val="14"/>
                  <w:szCs w:val="14"/>
                  <w:color w:val="auto"/>
                </w:rPr>
                <w:t>30</w:t>
              </w:r>
            </w:hyperlink>
          </w:p>
        </w:tc>
        <w:tc>
          <w:tcPr>
            <w:tcW w:w="0" w:type="dxa"/>
            <w:vAlign w:val="bottom"/>
          </w:tcPr>
          <w:p>
            <w:pPr>
              <w:spacing w:after="0"/>
              <w:rPr>
                <w:sz w:val="1"/>
                <w:szCs w:val="1"/>
                <w:color w:val="auto"/>
              </w:rPr>
            </w:pPr>
          </w:p>
        </w:tc>
      </w:tr>
      <w:tr>
        <w:trPr>
          <w:trHeight w:val="188"/>
        </w:trPr>
        <w:tc>
          <w:tcPr>
            <w:tcW w:w="3160" w:type="dxa"/>
            <w:vAlign w:val="bottom"/>
          </w:tcPr>
          <w:p>
            <w:pPr>
              <w:ind w:left="20"/>
              <w:spacing w:after="0"/>
              <w:rPr>
                <w:rFonts w:ascii="Arial" w:cs="Arial" w:eastAsia="Arial" w:hAnsi="Arial"/>
                <w:sz w:val="14"/>
                <w:szCs w:val="14"/>
                <w:color w:val="auto"/>
              </w:rPr>
            </w:pPr>
            <w:hyperlink w:anchor="page36">
              <w:r>
                <w:rPr>
                  <w:rFonts w:ascii="Arial" w:cs="Arial" w:eastAsia="Arial" w:hAnsi="Arial"/>
                  <w:sz w:val="14"/>
                  <w:szCs w:val="14"/>
                  <w:color w:val="auto"/>
                </w:rPr>
                <w:t>Proxy Access</w:t>
              </w:r>
            </w:hyperlink>
          </w:p>
        </w:tc>
        <w:tc>
          <w:tcPr>
            <w:tcW w:w="320" w:type="dxa"/>
            <w:vAlign w:val="bottom"/>
          </w:tcPr>
          <w:p>
            <w:pPr>
              <w:jc w:val="right"/>
              <w:spacing w:after="0"/>
              <w:rPr>
                <w:rFonts w:ascii="Arial" w:cs="Arial" w:eastAsia="Arial" w:hAnsi="Arial"/>
                <w:sz w:val="14"/>
                <w:szCs w:val="14"/>
                <w:color w:val="auto"/>
              </w:rPr>
            </w:pPr>
            <w:hyperlink w:anchor="page36">
              <w:r>
                <w:rPr>
                  <w:rFonts w:ascii="Arial" w:cs="Arial" w:eastAsia="Arial" w:hAnsi="Arial"/>
                  <w:sz w:val="14"/>
                  <w:szCs w:val="14"/>
                  <w:color w:val="auto"/>
                </w:rPr>
                <w:t>30</w:t>
              </w:r>
            </w:hyperlink>
          </w:p>
        </w:tc>
        <w:tc>
          <w:tcPr>
            <w:tcW w:w="0" w:type="dxa"/>
            <w:vAlign w:val="bottom"/>
          </w:tcPr>
          <w:p>
            <w:pPr>
              <w:spacing w:after="0"/>
              <w:rPr>
                <w:sz w:val="1"/>
                <w:szCs w:val="1"/>
                <w:color w:val="auto"/>
              </w:rPr>
            </w:pPr>
          </w:p>
        </w:tc>
      </w:tr>
      <w:tr>
        <w:trPr>
          <w:trHeight w:val="188"/>
        </w:trPr>
        <w:tc>
          <w:tcPr>
            <w:tcW w:w="3160" w:type="dxa"/>
            <w:vAlign w:val="bottom"/>
          </w:tcPr>
          <w:p>
            <w:pPr>
              <w:ind w:left="20"/>
              <w:spacing w:after="0"/>
              <w:rPr>
                <w:rFonts w:ascii="Arial" w:cs="Arial" w:eastAsia="Arial" w:hAnsi="Arial"/>
                <w:sz w:val="14"/>
                <w:szCs w:val="14"/>
                <w:color w:val="auto"/>
              </w:rPr>
            </w:pPr>
            <w:hyperlink w:anchor="page36">
              <w:r>
                <w:rPr>
                  <w:rFonts w:ascii="Arial" w:cs="Arial" w:eastAsia="Arial" w:hAnsi="Arial"/>
                  <w:sz w:val="14"/>
                  <w:szCs w:val="14"/>
                  <w:color w:val="auto"/>
                </w:rPr>
                <w:t>Stockholder Right to Call Special Meeting</w:t>
              </w:r>
            </w:hyperlink>
          </w:p>
        </w:tc>
        <w:tc>
          <w:tcPr>
            <w:tcW w:w="320" w:type="dxa"/>
            <w:vAlign w:val="bottom"/>
          </w:tcPr>
          <w:p>
            <w:pPr>
              <w:jc w:val="right"/>
              <w:spacing w:after="0"/>
              <w:rPr>
                <w:rFonts w:ascii="Arial" w:cs="Arial" w:eastAsia="Arial" w:hAnsi="Arial"/>
                <w:sz w:val="14"/>
                <w:szCs w:val="14"/>
                <w:color w:val="auto"/>
              </w:rPr>
            </w:pPr>
            <w:hyperlink w:anchor="page36">
              <w:r>
                <w:rPr>
                  <w:rFonts w:ascii="Arial" w:cs="Arial" w:eastAsia="Arial" w:hAnsi="Arial"/>
                  <w:sz w:val="14"/>
                  <w:szCs w:val="14"/>
                  <w:color w:val="auto"/>
                </w:rPr>
                <w:t>30</w:t>
              </w:r>
            </w:hyperlink>
          </w:p>
        </w:tc>
        <w:tc>
          <w:tcPr>
            <w:tcW w:w="0" w:type="dxa"/>
            <w:vAlign w:val="bottom"/>
          </w:tcPr>
          <w:p>
            <w:pPr>
              <w:spacing w:after="0"/>
              <w:rPr>
                <w:sz w:val="1"/>
                <w:szCs w:val="1"/>
                <w:color w:val="auto"/>
              </w:rPr>
            </w:pPr>
          </w:p>
        </w:tc>
      </w:tr>
      <w:tr>
        <w:trPr>
          <w:trHeight w:val="188"/>
        </w:trPr>
        <w:tc>
          <w:tcPr>
            <w:tcW w:w="3160" w:type="dxa"/>
            <w:vAlign w:val="bottom"/>
          </w:tcPr>
          <w:p>
            <w:pPr>
              <w:ind w:left="20"/>
              <w:spacing w:after="0"/>
              <w:rPr>
                <w:rFonts w:ascii="Arial" w:cs="Arial" w:eastAsia="Arial" w:hAnsi="Arial"/>
                <w:sz w:val="14"/>
                <w:szCs w:val="14"/>
                <w:color w:val="auto"/>
              </w:rPr>
            </w:pPr>
            <w:hyperlink w:anchor="page36">
              <w:r>
                <w:rPr>
                  <w:rFonts w:ascii="Arial" w:cs="Arial" w:eastAsia="Arial" w:hAnsi="Arial"/>
                  <w:sz w:val="14"/>
                  <w:szCs w:val="14"/>
                  <w:color w:val="auto"/>
                </w:rPr>
                <w:t>No Poison Pill</w:t>
              </w:r>
            </w:hyperlink>
          </w:p>
        </w:tc>
        <w:tc>
          <w:tcPr>
            <w:tcW w:w="320" w:type="dxa"/>
            <w:vAlign w:val="bottom"/>
          </w:tcPr>
          <w:p>
            <w:pPr>
              <w:jc w:val="right"/>
              <w:spacing w:after="0"/>
              <w:rPr>
                <w:rFonts w:ascii="Arial" w:cs="Arial" w:eastAsia="Arial" w:hAnsi="Arial"/>
                <w:sz w:val="14"/>
                <w:szCs w:val="14"/>
                <w:color w:val="auto"/>
              </w:rPr>
            </w:pPr>
            <w:hyperlink w:anchor="page36">
              <w:r>
                <w:rPr>
                  <w:rFonts w:ascii="Arial" w:cs="Arial" w:eastAsia="Arial" w:hAnsi="Arial"/>
                  <w:sz w:val="14"/>
                  <w:szCs w:val="14"/>
                  <w:color w:val="auto"/>
                </w:rPr>
                <w:t>30</w:t>
              </w:r>
            </w:hyperlink>
          </w:p>
        </w:tc>
        <w:tc>
          <w:tcPr>
            <w:tcW w:w="0" w:type="dxa"/>
            <w:vAlign w:val="bottom"/>
          </w:tcPr>
          <w:p>
            <w:pPr>
              <w:spacing w:after="0"/>
              <w:rPr>
                <w:sz w:val="1"/>
                <w:szCs w:val="1"/>
                <w:color w:val="auto"/>
              </w:rPr>
            </w:pPr>
          </w:p>
        </w:tc>
      </w:tr>
      <w:tr>
        <w:trPr>
          <w:trHeight w:val="321"/>
        </w:trPr>
        <w:tc>
          <w:tcPr>
            <w:tcW w:w="3160" w:type="dxa"/>
            <w:vAlign w:val="bottom"/>
            <w:tcBorders>
              <w:bottom w:val="single" w:sz="8" w:color="003478"/>
            </w:tcBorders>
          </w:tcPr>
          <w:p>
            <w:pPr>
              <w:ind w:left="20"/>
              <w:spacing w:after="0"/>
              <w:rPr>
                <w:rFonts w:ascii="Arial" w:cs="Arial" w:eastAsia="Arial" w:hAnsi="Arial"/>
                <w:sz w:val="14"/>
                <w:szCs w:val="14"/>
                <w:color w:val="002E6D"/>
              </w:rPr>
            </w:pPr>
            <w:hyperlink w:anchor="page36">
              <w:r>
                <w:rPr>
                  <w:rFonts w:ascii="Arial" w:cs="Arial" w:eastAsia="Arial" w:hAnsi="Arial"/>
                  <w:sz w:val="14"/>
                  <w:szCs w:val="14"/>
                  <w:color w:val="002E6D"/>
                </w:rPr>
                <w:t>ENTERPRISE RISK AND SUSTAINABILITY</w:t>
              </w:r>
            </w:hyperlink>
          </w:p>
        </w:tc>
        <w:tc>
          <w:tcPr>
            <w:tcW w:w="320" w:type="dxa"/>
            <w:vAlign w:val="bottom"/>
            <w:tcBorders>
              <w:bottom w:val="single" w:sz="8" w:color="003478"/>
            </w:tcBorders>
          </w:tcPr>
          <w:p>
            <w:pPr>
              <w:jc w:val="right"/>
              <w:spacing w:after="0"/>
              <w:rPr>
                <w:rFonts w:ascii="Arial" w:cs="Arial" w:eastAsia="Arial" w:hAnsi="Arial"/>
                <w:sz w:val="14"/>
                <w:szCs w:val="14"/>
                <w:color w:val="003478"/>
              </w:rPr>
            </w:pPr>
            <w:hyperlink w:anchor="page36">
              <w:r>
                <w:rPr>
                  <w:rFonts w:ascii="Arial" w:cs="Arial" w:eastAsia="Arial" w:hAnsi="Arial"/>
                  <w:sz w:val="14"/>
                  <w:szCs w:val="14"/>
                  <w:color w:val="003478"/>
                </w:rPr>
                <w:t>31</w:t>
              </w:r>
            </w:hyperlink>
          </w:p>
        </w:tc>
        <w:tc>
          <w:tcPr>
            <w:tcW w:w="0" w:type="dxa"/>
            <w:vAlign w:val="bottom"/>
          </w:tcPr>
          <w:p>
            <w:pPr>
              <w:spacing w:after="0"/>
              <w:rPr>
                <w:sz w:val="1"/>
                <w:szCs w:val="1"/>
                <w:color w:val="auto"/>
              </w:rPr>
            </w:pPr>
          </w:p>
        </w:tc>
      </w:tr>
      <w:tr>
        <w:trPr>
          <w:trHeight w:val="183"/>
        </w:trPr>
        <w:tc>
          <w:tcPr>
            <w:tcW w:w="3160" w:type="dxa"/>
            <w:vAlign w:val="bottom"/>
          </w:tcPr>
          <w:p>
            <w:pPr>
              <w:ind w:left="20"/>
              <w:spacing w:after="0"/>
              <w:rPr>
                <w:rFonts w:ascii="Arial" w:cs="Arial" w:eastAsia="Arial" w:hAnsi="Arial"/>
                <w:sz w:val="14"/>
                <w:szCs w:val="14"/>
                <w:color w:val="auto"/>
              </w:rPr>
            </w:pPr>
            <w:hyperlink w:anchor="page37">
              <w:r>
                <w:rPr>
                  <w:rFonts w:ascii="Arial" w:cs="Arial" w:eastAsia="Arial" w:hAnsi="Arial"/>
                  <w:sz w:val="14"/>
                  <w:szCs w:val="14"/>
                  <w:color w:val="auto"/>
                </w:rPr>
                <w:t>2021 Progress on our Sustainability Priorities</w:t>
              </w:r>
            </w:hyperlink>
          </w:p>
        </w:tc>
        <w:tc>
          <w:tcPr>
            <w:tcW w:w="320" w:type="dxa"/>
            <w:vAlign w:val="bottom"/>
          </w:tcPr>
          <w:p>
            <w:pPr>
              <w:jc w:val="right"/>
              <w:spacing w:after="0"/>
              <w:rPr>
                <w:rFonts w:ascii="Arial" w:cs="Arial" w:eastAsia="Arial" w:hAnsi="Arial"/>
                <w:sz w:val="14"/>
                <w:szCs w:val="14"/>
                <w:color w:val="auto"/>
              </w:rPr>
            </w:pPr>
            <w:hyperlink w:anchor="page37">
              <w:r>
                <w:rPr>
                  <w:rFonts w:ascii="Arial" w:cs="Arial" w:eastAsia="Arial" w:hAnsi="Arial"/>
                  <w:sz w:val="14"/>
                  <w:szCs w:val="14"/>
                  <w:color w:val="auto"/>
                </w:rPr>
                <w:t>31</w:t>
              </w:r>
            </w:hyperlink>
          </w:p>
        </w:tc>
        <w:tc>
          <w:tcPr>
            <w:tcW w:w="0" w:type="dxa"/>
            <w:vAlign w:val="bottom"/>
          </w:tcPr>
          <w:p>
            <w:pPr>
              <w:spacing w:after="0"/>
              <w:rPr>
                <w:sz w:val="1"/>
                <w:szCs w:val="1"/>
                <w:color w:val="auto"/>
              </w:rPr>
            </w:pPr>
          </w:p>
        </w:tc>
      </w:tr>
      <w:tr>
        <w:trPr>
          <w:trHeight w:val="188"/>
        </w:trPr>
        <w:tc>
          <w:tcPr>
            <w:tcW w:w="3160" w:type="dxa"/>
            <w:vAlign w:val="bottom"/>
          </w:tcPr>
          <w:p>
            <w:pPr>
              <w:ind w:left="20"/>
              <w:spacing w:after="0"/>
              <w:rPr>
                <w:rFonts w:ascii="Arial" w:cs="Arial" w:eastAsia="Arial" w:hAnsi="Arial"/>
                <w:sz w:val="14"/>
                <w:szCs w:val="14"/>
                <w:color w:val="auto"/>
              </w:rPr>
            </w:pPr>
            <w:hyperlink w:anchor="page37">
              <w:r>
                <w:rPr>
                  <w:rFonts w:ascii="Arial" w:cs="Arial" w:eastAsia="Arial" w:hAnsi="Arial"/>
                  <w:sz w:val="14"/>
                  <w:szCs w:val="14"/>
                  <w:color w:val="auto"/>
                </w:rPr>
                <w:t>Climate &amp; Environmental Stewardship</w:t>
              </w:r>
            </w:hyperlink>
          </w:p>
        </w:tc>
        <w:tc>
          <w:tcPr>
            <w:tcW w:w="320" w:type="dxa"/>
            <w:vAlign w:val="bottom"/>
          </w:tcPr>
          <w:p>
            <w:pPr>
              <w:jc w:val="right"/>
              <w:spacing w:after="0"/>
              <w:rPr>
                <w:rFonts w:ascii="Arial" w:cs="Arial" w:eastAsia="Arial" w:hAnsi="Arial"/>
                <w:sz w:val="14"/>
                <w:szCs w:val="14"/>
                <w:color w:val="auto"/>
              </w:rPr>
            </w:pPr>
            <w:hyperlink w:anchor="page37">
              <w:r>
                <w:rPr>
                  <w:rFonts w:ascii="Arial" w:cs="Arial" w:eastAsia="Arial" w:hAnsi="Arial"/>
                  <w:sz w:val="14"/>
                  <w:szCs w:val="14"/>
                  <w:color w:val="auto"/>
                </w:rPr>
                <w:t>32</w:t>
              </w:r>
            </w:hyperlink>
          </w:p>
        </w:tc>
        <w:tc>
          <w:tcPr>
            <w:tcW w:w="0" w:type="dxa"/>
            <w:vAlign w:val="bottom"/>
          </w:tcPr>
          <w:p>
            <w:pPr>
              <w:spacing w:after="0"/>
              <w:rPr>
                <w:sz w:val="1"/>
                <w:szCs w:val="1"/>
                <w:color w:val="auto"/>
              </w:rPr>
            </w:pPr>
          </w:p>
        </w:tc>
      </w:tr>
      <w:tr>
        <w:trPr>
          <w:trHeight w:val="188"/>
        </w:trPr>
        <w:tc>
          <w:tcPr>
            <w:tcW w:w="3160" w:type="dxa"/>
            <w:vAlign w:val="bottom"/>
          </w:tcPr>
          <w:p>
            <w:pPr>
              <w:ind w:left="20"/>
              <w:spacing w:after="0"/>
              <w:rPr>
                <w:rFonts w:ascii="Arial" w:cs="Arial" w:eastAsia="Arial" w:hAnsi="Arial"/>
                <w:sz w:val="14"/>
                <w:szCs w:val="14"/>
                <w:color w:val="auto"/>
              </w:rPr>
            </w:pPr>
            <w:hyperlink w:anchor="page38">
              <w:r>
                <w:rPr>
                  <w:rFonts w:ascii="Arial" w:cs="Arial" w:eastAsia="Arial" w:hAnsi="Arial"/>
                  <w:sz w:val="14"/>
                  <w:szCs w:val="14"/>
                  <w:color w:val="auto"/>
                </w:rPr>
                <w:t>Supplier Engagement</w:t>
              </w:r>
            </w:hyperlink>
          </w:p>
        </w:tc>
        <w:tc>
          <w:tcPr>
            <w:tcW w:w="320" w:type="dxa"/>
            <w:vAlign w:val="bottom"/>
          </w:tcPr>
          <w:p>
            <w:pPr>
              <w:jc w:val="right"/>
              <w:spacing w:after="0"/>
              <w:rPr>
                <w:rFonts w:ascii="Arial" w:cs="Arial" w:eastAsia="Arial" w:hAnsi="Arial"/>
                <w:sz w:val="14"/>
                <w:szCs w:val="14"/>
                <w:color w:val="auto"/>
              </w:rPr>
            </w:pPr>
            <w:hyperlink w:anchor="page38">
              <w:r>
                <w:rPr>
                  <w:rFonts w:ascii="Arial" w:cs="Arial" w:eastAsia="Arial" w:hAnsi="Arial"/>
                  <w:sz w:val="14"/>
                  <w:szCs w:val="14"/>
                  <w:color w:val="auto"/>
                </w:rPr>
                <w:t>32</w:t>
              </w:r>
            </w:hyperlink>
          </w:p>
        </w:tc>
        <w:tc>
          <w:tcPr>
            <w:tcW w:w="0" w:type="dxa"/>
            <w:vAlign w:val="bottom"/>
          </w:tcPr>
          <w:p>
            <w:pPr>
              <w:spacing w:after="0"/>
              <w:rPr>
                <w:sz w:val="1"/>
                <w:szCs w:val="1"/>
                <w:color w:val="auto"/>
              </w:rPr>
            </w:pPr>
          </w:p>
        </w:tc>
      </w:tr>
      <w:tr>
        <w:trPr>
          <w:trHeight w:val="299"/>
        </w:trPr>
        <w:tc>
          <w:tcPr>
            <w:tcW w:w="3160" w:type="dxa"/>
            <w:vAlign w:val="bottom"/>
          </w:tcPr>
          <w:p>
            <w:pPr>
              <w:ind w:left="20"/>
              <w:spacing w:after="0"/>
              <w:rPr>
                <w:rFonts w:ascii="Arial" w:cs="Arial" w:eastAsia="Arial" w:hAnsi="Arial"/>
                <w:sz w:val="14"/>
                <w:szCs w:val="14"/>
                <w:color w:val="002E6D"/>
              </w:rPr>
            </w:pPr>
            <w:hyperlink w:anchor="page39">
              <w:r>
                <w:rPr>
                  <w:rFonts w:ascii="Arial" w:cs="Arial" w:eastAsia="Arial" w:hAnsi="Arial"/>
                  <w:sz w:val="14"/>
                  <w:szCs w:val="14"/>
                  <w:color w:val="002E6D"/>
                </w:rPr>
                <w:t>PROPOSAL 2:</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160" w:type="dxa"/>
            <w:vAlign w:val="bottom"/>
          </w:tcPr>
          <w:p>
            <w:pPr>
              <w:ind w:left="20"/>
              <w:spacing w:after="0"/>
              <w:rPr>
                <w:rFonts w:ascii="Arial" w:cs="Arial" w:eastAsia="Arial" w:hAnsi="Arial"/>
                <w:sz w:val="14"/>
                <w:szCs w:val="14"/>
                <w:color w:val="002E6D"/>
              </w:rPr>
            </w:pPr>
            <w:hyperlink w:anchor="page39">
              <w:r>
                <w:rPr>
                  <w:rFonts w:ascii="Arial" w:cs="Arial" w:eastAsia="Arial" w:hAnsi="Arial"/>
                  <w:sz w:val="14"/>
                  <w:szCs w:val="14"/>
                  <w:color w:val="002E6D"/>
                </w:rPr>
                <w:t>RATIFICATION OF APPOINTMENT OF</w:t>
              </w:r>
            </w:hyperlink>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160" w:type="dxa"/>
            <w:vAlign w:val="bottom"/>
            <w:tcBorders>
              <w:bottom w:val="single" w:sz="8" w:color="003478"/>
            </w:tcBorders>
          </w:tcPr>
          <w:p>
            <w:pPr>
              <w:ind w:left="20"/>
              <w:spacing w:after="0"/>
              <w:rPr>
                <w:rFonts w:ascii="Arial" w:cs="Arial" w:eastAsia="Arial" w:hAnsi="Arial"/>
                <w:sz w:val="14"/>
                <w:szCs w:val="14"/>
                <w:color w:val="002E6D"/>
              </w:rPr>
            </w:pPr>
            <w:hyperlink w:anchor="page39">
              <w:r>
                <w:rPr>
                  <w:rFonts w:ascii="Arial" w:cs="Arial" w:eastAsia="Arial" w:hAnsi="Arial"/>
                  <w:sz w:val="14"/>
                  <w:szCs w:val="14"/>
                  <w:color w:val="002E6D"/>
                </w:rPr>
                <w:t>INDEPENDENT AUDITORS</w:t>
              </w:r>
            </w:hyperlink>
          </w:p>
        </w:tc>
        <w:tc>
          <w:tcPr>
            <w:tcW w:w="320" w:type="dxa"/>
            <w:vAlign w:val="bottom"/>
            <w:tcBorders>
              <w:bottom w:val="single" w:sz="8" w:color="003478"/>
            </w:tcBorders>
          </w:tcPr>
          <w:p>
            <w:pPr>
              <w:jc w:val="right"/>
              <w:spacing w:after="0"/>
              <w:rPr>
                <w:rFonts w:ascii="Arial" w:cs="Arial" w:eastAsia="Arial" w:hAnsi="Arial"/>
                <w:sz w:val="14"/>
                <w:szCs w:val="14"/>
                <w:color w:val="003478"/>
              </w:rPr>
            </w:pPr>
            <w:hyperlink w:anchor="page39">
              <w:r>
                <w:rPr>
                  <w:rFonts w:ascii="Arial" w:cs="Arial" w:eastAsia="Arial" w:hAnsi="Arial"/>
                  <w:sz w:val="14"/>
                  <w:szCs w:val="14"/>
                  <w:color w:val="003478"/>
                </w:rPr>
                <w:t>33</w:t>
              </w:r>
            </w:hyperlink>
          </w:p>
        </w:tc>
        <w:tc>
          <w:tcPr>
            <w:tcW w:w="0" w:type="dxa"/>
            <w:vAlign w:val="bottom"/>
          </w:tcPr>
          <w:p>
            <w:pPr>
              <w:spacing w:after="0"/>
              <w:rPr>
                <w:sz w:val="1"/>
                <w:szCs w:val="1"/>
                <w:color w:val="auto"/>
              </w:rPr>
            </w:pPr>
          </w:p>
        </w:tc>
      </w:tr>
      <w:tr>
        <w:trPr>
          <w:trHeight w:val="183"/>
        </w:trPr>
        <w:tc>
          <w:tcPr>
            <w:tcW w:w="3160" w:type="dxa"/>
            <w:vAlign w:val="bottom"/>
          </w:tcPr>
          <w:p>
            <w:pPr>
              <w:ind w:left="20"/>
              <w:spacing w:after="0"/>
              <w:rPr>
                <w:rFonts w:ascii="Arial" w:cs="Arial" w:eastAsia="Arial" w:hAnsi="Arial"/>
                <w:sz w:val="14"/>
                <w:szCs w:val="14"/>
                <w:color w:val="auto"/>
              </w:rPr>
            </w:pPr>
            <w:hyperlink w:anchor="page40">
              <w:r>
                <w:rPr>
                  <w:rFonts w:ascii="Arial" w:cs="Arial" w:eastAsia="Arial" w:hAnsi="Arial"/>
                  <w:sz w:val="14"/>
                  <w:szCs w:val="14"/>
                  <w:color w:val="auto"/>
                </w:rPr>
                <w:t>Audit Committee Report</w:t>
              </w:r>
            </w:hyperlink>
          </w:p>
        </w:tc>
        <w:tc>
          <w:tcPr>
            <w:tcW w:w="320" w:type="dxa"/>
            <w:vAlign w:val="bottom"/>
          </w:tcPr>
          <w:p>
            <w:pPr>
              <w:jc w:val="right"/>
              <w:spacing w:after="0"/>
              <w:rPr>
                <w:rFonts w:ascii="Arial" w:cs="Arial" w:eastAsia="Arial" w:hAnsi="Arial"/>
                <w:sz w:val="14"/>
                <w:szCs w:val="14"/>
                <w:color w:val="auto"/>
              </w:rPr>
            </w:pPr>
            <w:hyperlink w:anchor="page40">
              <w:r>
                <w:rPr>
                  <w:rFonts w:ascii="Arial" w:cs="Arial" w:eastAsia="Arial" w:hAnsi="Arial"/>
                  <w:sz w:val="14"/>
                  <w:szCs w:val="14"/>
                  <w:color w:val="auto"/>
                </w:rPr>
                <w:t>35</w:t>
              </w:r>
            </w:hyperlink>
          </w:p>
        </w:tc>
        <w:tc>
          <w:tcPr>
            <w:tcW w:w="0" w:type="dxa"/>
            <w:vAlign w:val="bottom"/>
          </w:tcPr>
          <w:p>
            <w:pPr>
              <w:spacing w:after="0"/>
              <w:rPr>
                <w:sz w:val="1"/>
                <w:szCs w:val="1"/>
                <w:color w:val="auto"/>
              </w:rPr>
            </w:pPr>
          </w:p>
        </w:tc>
      </w:tr>
      <w:tr>
        <w:trPr>
          <w:trHeight w:val="299"/>
        </w:trPr>
        <w:tc>
          <w:tcPr>
            <w:tcW w:w="3160" w:type="dxa"/>
            <w:vAlign w:val="bottom"/>
          </w:tcPr>
          <w:p>
            <w:pPr>
              <w:ind w:left="20"/>
              <w:spacing w:after="0"/>
              <w:rPr>
                <w:rFonts w:ascii="Arial" w:cs="Arial" w:eastAsia="Arial" w:hAnsi="Arial"/>
                <w:sz w:val="14"/>
                <w:szCs w:val="14"/>
                <w:color w:val="002E6D"/>
              </w:rPr>
            </w:pPr>
            <w:hyperlink w:anchor="page42">
              <w:r>
                <w:rPr>
                  <w:rFonts w:ascii="Arial" w:cs="Arial" w:eastAsia="Arial" w:hAnsi="Arial"/>
                  <w:sz w:val="14"/>
                  <w:szCs w:val="14"/>
                  <w:color w:val="002E6D"/>
                </w:rPr>
                <w:t>PROPOSAL 3:</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160" w:type="dxa"/>
            <w:vAlign w:val="bottom"/>
          </w:tcPr>
          <w:p>
            <w:pPr>
              <w:ind w:left="20"/>
              <w:spacing w:after="0"/>
              <w:rPr>
                <w:rFonts w:ascii="Arial" w:cs="Arial" w:eastAsia="Arial" w:hAnsi="Arial"/>
                <w:sz w:val="14"/>
                <w:szCs w:val="14"/>
                <w:color w:val="002E6D"/>
              </w:rPr>
            </w:pPr>
            <w:hyperlink w:anchor="page42">
              <w:r>
                <w:rPr>
                  <w:rFonts w:ascii="Arial" w:cs="Arial" w:eastAsia="Arial" w:hAnsi="Arial"/>
                  <w:sz w:val="14"/>
                  <w:szCs w:val="14"/>
                  <w:color w:val="002E6D"/>
                </w:rPr>
                <w:t>ADVISORY VOTE TO APPROVE THE</w:t>
              </w:r>
            </w:hyperlink>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60" w:type="dxa"/>
            <w:vAlign w:val="bottom"/>
          </w:tcPr>
          <w:p>
            <w:pPr>
              <w:ind w:left="20"/>
              <w:spacing w:after="0"/>
              <w:rPr>
                <w:rFonts w:ascii="Arial" w:cs="Arial" w:eastAsia="Arial" w:hAnsi="Arial"/>
                <w:sz w:val="14"/>
                <w:szCs w:val="14"/>
                <w:color w:val="002E6D"/>
              </w:rPr>
            </w:pPr>
            <w:hyperlink w:anchor="page42">
              <w:r>
                <w:rPr>
                  <w:rFonts w:ascii="Arial" w:cs="Arial" w:eastAsia="Arial" w:hAnsi="Arial"/>
                  <w:sz w:val="14"/>
                  <w:szCs w:val="14"/>
                  <w:color w:val="002E6D"/>
                </w:rPr>
                <w:t>COMPENSATION OF OUR NEOs (SAY-ON-</w:t>
              </w:r>
            </w:hyperlink>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160" w:type="dxa"/>
            <w:vAlign w:val="bottom"/>
            <w:tcBorders>
              <w:bottom w:val="single" w:sz="8" w:color="003478"/>
            </w:tcBorders>
          </w:tcPr>
          <w:p>
            <w:pPr>
              <w:ind w:left="20"/>
              <w:spacing w:after="0"/>
              <w:rPr>
                <w:rFonts w:ascii="Arial" w:cs="Arial" w:eastAsia="Arial" w:hAnsi="Arial"/>
                <w:sz w:val="14"/>
                <w:szCs w:val="14"/>
                <w:color w:val="002E6D"/>
              </w:rPr>
            </w:pPr>
            <w:hyperlink w:anchor="page42">
              <w:r>
                <w:rPr>
                  <w:rFonts w:ascii="Arial" w:cs="Arial" w:eastAsia="Arial" w:hAnsi="Arial"/>
                  <w:sz w:val="14"/>
                  <w:szCs w:val="14"/>
                  <w:color w:val="002E6D"/>
                </w:rPr>
                <w:t>PAY)</w:t>
              </w:r>
            </w:hyperlink>
          </w:p>
        </w:tc>
        <w:tc>
          <w:tcPr>
            <w:tcW w:w="320" w:type="dxa"/>
            <w:vAlign w:val="bottom"/>
            <w:tcBorders>
              <w:bottom w:val="single" w:sz="8" w:color="003478"/>
            </w:tcBorders>
          </w:tcPr>
          <w:p>
            <w:pPr>
              <w:jc w:val="right"/>
              <w:spacing w:after="0"/>
              <w:rPr>
                <w:rFonts w:ascii="Arial" w:cs="Arial" w:eastAsia="Arial" w:hAnsi="Arial"/>
                <w:sz w:val="14"/>
                <w:szCs w:val="14"/>
                <w:color w:val="003478"/>
              </w:rPr>
            </w:pPr>
            <w:hyperlink w:anchor="page42">
              <w:r>
                <w:rPr>
                  <w:rFonts w:ascii="Arial" w:cs="Arial" w:eastAsia="Arial" w:hAnsi="Arial"/>
                  <w:sz w:val="14"/>
                  <w:szCs w:val="14"/>
                  <w:color w:val="003478"/>
                </w:rPr>
                <w:t>36</w:t>
              </w:r>
            </w:hyperlink>
          </w:p>
        </w:tc>
        <w:tc>
          <w:tcPr>
            <w:tcW w:w="0" w:type="dxa"/>
            <w:vAlign w:val="bottom"/>
          </w:tcPr>
          <w:p>
            <w:pPr>
              <w:spacing w:after="0"/>
              <w:rPr>
                <w:sz w:val="1"/>
                <w:szCs w:val="1"/>
                <w:color w:val="auto"/>
              </w:rPr>
            </w:pPr>
          </w:p>
        </w:tc>
      </w:tr>
      <w:tr>
        <w:trPr>
          <w:trHeight w:val="183"/>
        </w:trPr>
        <w:tc>
          <w:tcPr>
            <w:tcW w:w="3160" w:type="dxa"/>
            <w:vAlign w:val="bottom"/>
          </w:tcPr>
          <w:p>
            <w:pPr>
              <w:ind w:left="20"/>
              <w:spacing w:after="0"/>
              <w:rPr>
                <w:rFonts w:ascii="Arial" w:cs="Arial" w:eastAsia="Arial" w:hAnsi="Arial"/>
                <w:sz w:val="14"/>
                <w:szCs w:val="14"/>
                <w:color w:val="auto"/>
              </w:rPr>
            </w:pPr>
            <w:hyperlink w:anchor="page42">
              <w:r>
                <w:rPr>
                  <w:rFonts w:ascii="Arial" w:cs="Arial" w:eastAsia="Arial" w:hAnsi="Arial"/>
                  <w:sz w:val="14"/>
                  <w:szCs w:val="14"/>
                  <w:color w:val="auto"/>
                </w:rPr>
                <w:t>Compensation Committee Report</w:t>
              </w:r>
            </w:hyperlink>
          </w:p>
        </w:tc>
        <w:tc>
          <w:tcPr>
            <w:tcW w:w="320" w:type="dxa"/>
            <w:vAlign w:val="bottom"/>
          </w:tcPr>
          <w:p>
            <w:pPr>
              <w:jc w:val="right"/>
              <w:spacing w:after="0"/>
              <w:rPr>
                <w:rFonts w:ascii="Arial" w:cs="Arial" w:eastAsia="Arial" w:hAnsi="Arial"/>
                <w:sz w:val="14"/>
                <w:szCs w:val="14"/>
                <w:color w:val="auto"/>
              </w:rPr>
            </w:pPr>
            <w:hyperlink w:anchor="page42">
              <w:r>
                <w:rPr>
                  <w:rFonts w:ascii="Arial" w:cs="Arial" w:eastAsia="Arial" w:hAnsi="Arial"/>
                  <w:sz w:val="14"/>
                  <w:szCs w:val="14"/>
                  <w:color w:val="auto"/>
                </w:rPr>
                <w:t>36</w:t>
              </w:r>
            </w:hyperlink>
          </w:p>
        </w:tc>
        <w:tc>
          <w:tcPr>
            <w:tcW w:w="0" w:type="dxa"/>
            <w:vAlign w:val="bottom"/>
          </w:tcPr>
          <w:p>
            <w:pPr>
              <w:spacing w:after="0"/>
              <w:rPr>
                <w:sz w:val="1"/>
                <w:szCs w:val="1"/>
                <w:color w:val="auto"/>
              </w:rPr>
            </w:pPr>
          </w:p>
        </w:tc>
      </w:tr>
      <w:tr>
        <w:trPr>
          <w:trHeight w:val="215"/>
        </w:trPr>
        <w:tc>
          <w:tcPr>
            <w:tcW w:w="3160" w:type="dxa"/>
            <w:vAlign w:val="bottom"/>
          </w:tcPr>
          <w:p>
            <w:pPr>
              <w:ind w:left="20"/>
              <w:spacing w:after="0"/>
              <w:rPr>
                <w:rFonts w:ascii="Arial" w:cs="Arial" w:eastAsia="Arial" w:hAnsi="Arial"/>
                <w:sz w:val="14"/>
                <w:szCs w:val="14"/>
                <w:color w:val="auto"/>
              </w:rPr>
            </w:pPr>
            <w:hyperlink w:anchor="page42">
              <w:r>
                <w:rPr>
                  <w:rFonts w:ascii="Arial" w:cs="Arial" w:eastAsia="Arial" w:hAnsi="Arial"/>
                  <w:sz w:val="14"/>
                  <w:szCs w:val="14"/>
                  <w:color w:val="auto"/>
                </w:rPr>
                <w:t>Compensation Discussion and Analysis</w:t>
              </w:r>
            </w:hyperlink>
          </w:p>
        </w:tc>
        <w:tc>
          <w:tcPr>
            <w:tcW w:w="320" w:type="dxa"/>
            <w:vAlign w:val="bottom"/>
          </w:tcPr>
          <w:p>
            <w:pPr>
              <w:jc w:val="right"/>
              <w:spacing w:after="0"/>
              <w:rPr>
                <w:rFonts w:ascii="Arial" w:cs="Arial" w:eastAsia="Arial" w:hAnsi="Arial"/>
                <w:sz w:val="14"/>
                <w:szCs w:val="14"/>
                <w:color w:val="auto"/>
              </w:rPr>
            </w:pPr>
            <w:hyperlink w:anchor="page42">
              <w:r>
                <w:rPr>
                  <w:rFonts w:ascii="Arial" w:cs="Arial" w:eastAsia="Arial" w:hAnsi="Arial"/>
                  <w:sz w:val="14"/>
                  <w:szCs w:val="14"/>
                  <w:color w:val="auto"/>
                </w:rPr>
                <w:t>37</w:t>
              </w:r>
            </w:hyperlink>
          </w:p>
        </w:tc>
        <w:tc>
          <w:tcPr>
            <w:tcW w:w="0" w:type="dxa"/>
            <w:vAlign w:val="bottom"/>
          </w:tcPr>
          <w:p>
            <w:pPr>
              <w:spacing w:after="0"/>
              <w:rPr>
                <w:sz w:val="1"/>
                <w:szCs w:val="1"/>
                <w:color w:val="auto"/>
              </w:rPr>
            </w:pPr>
          </w:p>
        </w:tc>
      </w:tr>
      <w:tr>
        <w:trPr>
          <w:trHeight w:val="215"/>
        </w:trPr>
        <w:tc>
          <w:tcPr>
            <w:tcW w:w="3160" w:type="dxa"/>
            <w:vAlign w:val="bottom"/>
          </w:tcPr>
          <w:p>
            <w:pPr>
              <w:ind w:left="20"/>
              <w:spacing w:after="0"/>
              <w:rPr>
                <w:rFonts w:ascii="Arial" w:cs="Arial" w:eastAsia="Arial" w:hAnsi="Arial"/>
                <w:sz w:val="14"/>
                <w:szCs w:val="14"/>
                <w:color w:val="auto"/>
              </w:rPr>
            </w:pPr>
            <w:hyperlink w:anchor="page59">
              <w:r>
                <w:rPr>
                  <w:rFonts w:ascii="Arial" w:cs="Arial" w:eastAsia="Arial" w:hAnsi="Arial"/>
                  <w:sz w:val="14"/>
                  <w:szCs w:val="14"/>
                  <w:color w:val="auto"/>
                </w:rPr>
                <w:t>Executive Compensation Tables</w:t>
              </w:r>
            </w:hyperlink>
          </w:p>
        </w:tc>
        <w:tc>
          <w:tcPr>
            <w:tcW w:w="320" w:type="dxa"/>
            <w:vAlign w:val="bottom"/>
          </w:tcPr>
          <w:p>
            <w:pPr>
              <w:jc w:val="right"/>
              <w:spacing w:after="0"/>
              <w:rPr>
                <w:rFonts w:ascii="Arial" w:cs="Arial" w:eastAsia="Arial" w:hAnsi="Arial"/>
                <w:sz w:val="14"/>
                <w:szCs w:val="14"/>
                <w:color w:val="auto"/>
              </w:rPr>
            </w:pPr>
            <w:hyperlink w:anchor="page59">
              <w:r>
                <w:rPr>
                  <w:rFonts w:ascii="Arial" w:cs="Arial" w:eastAsia="Arial" w:hAnsi="Arial"/>
                  <w:sz w:val="14"/>
                  <w:szCs w:val="14"/>
                  <w:color w:val="auto"/>
                </w:rPr>
                <w:t>54</w:t>
              </w:r>
            </w:hyperlink>
          </w:p>
        </w:tc>
        <w:tc>
          <w:tcPr>
            <w:tcW w:w="0" w:type="dxa"/>
            <w:vAlign w:val="bottom"/>
          </w:tcPr>
          <w:p>
            <w:pPr>
              <w:spacing w:after="0"/>
              <w:rPr>
                <w:sz w:val="1"/>
                <w:szCs w:val="1"/>
                <w:color w:val="auto"/>
              </w:rPr>
            </w:pPr>
          </w:p>
        </w:tc>
      </w:tr>
      <w:tr>
        <w:trPr>
          <w:trHeight w:val="215"/>
        </w:trPr>
        <w:tc>
          <w:tcPr>
            <w:tcW w:w="3160" w:type="dxa"/>
            <w:vAlign w:val="bottom"/>
          </w:tcPr>
          <w:p>
            <w:pPr>
              <w:ind w:left="20"/>
              <w:spacing w:after="0"/>
              <w:rPr>
                <w:rFonts w:ascii="Arial" w:cs="Arial" w:eastAsia="Arial" w:hAnsi="Arial"/>
                <w:sz w:val="14"/>
                <w:szCs w:val="14"/>
                <w:color w:val="auto"/>
              </w:rPr>
            </w:pPr>
            <w:hyperlink w:anchor="page74">
              <w:r>
                <w:rPr>
                  <w:rFonts w:ascii="Arial" w:cs="Arial" w:eastAsia="Arial" w:hAnsi="Arial"/>
                  <w:sz w:val="14"/>
                  <w:szCs w:val="14"/>
                  <w:color w:val="auto"/>
                </w:rPr>
                <w:t>CEO Pay Ratio</w:t>
              </w:r>
            </w:hyperlink>
          </w:p>
        </w:tc>
        <w:tc>
          <w:tcPr>
            <w:tcW w:w="320" w:type="dxa"/>
            <w:vAlign w:val="bottom"/>
          </w:tcPr>
          <w:p>
            <w:pPr>
              <w:jc w:val="right"/>
              <w:spacing w:after="0"/>
              <w:rPr>
                <w:rFonts w:ascii="Arial" w:cs="Arial" w:eastAsia="Arial" w:hAnsi="Arial"/>
                <w:sz w:val="14"/>
                <w:szCs w:val="14"/>
                <w:color w:val="auto"/>
              </w:rPr>
            </w:pPr>
            <w:hyperlink w:anchor="page74">
              <w:r>
                <w:rPr>
                  <w:rFonts w:ascii="Arial" w:cs="Arial" w:eastAsia="Arial" w:hAnsi="Arial"/>
                  <w:sz w:val="14"/>
                  <w:szCs w:val="14"/>
                  <w:color w:val="auto"/>
                </w:rPr>
                <w:t>69</w:t>
              </w:r>
            </w:hyperlink>
          </w:p>
        </w:tc>
        <w:tc>
          <w:tcPr>
            <w:tcW w:w="0" w:type="dxa"/>
            <w:vAlign w:val="bottom"/>
          </w:tcPr>
          <w:p>
            <w:pPr>
              <w:spacing w:after="0"/>
              <w:rPr>
                <w:sz w:val="1"/>
                <w:szCs w:val="1"/>
                <w:color w:val="auto"/>
              </w:rPr>
            </w:pPr>
          </w:p>
        </w:tc>
      </w:tr>
      <w:tr>
        <w:trPr>
          <w:trHeight w:val="321"/>
        </w:trPr>
        <w:tc>
          <w:tcPr>
            <w:tcW w:w="3160" w:type="dxa"/>
            <w:vAlign w:val="bottom"/>
            <w:tcBorders>
              <w:bottom w:val="single" w:sz="8" w:color="003478"/>
            </w:tcBorders>
          </w:tcPr>
          <w:p>
            <w:pPr>
              <w:ind w:left="20"/>
              <w:spacing w:after="0"/>
              <w:rPr>
                <w:rFonts w:ascii="Arial" w:cs="Arial" w:eastAsia="Arial" w:hAnsi="Arial"/>
                <w:sz w:val="14"/>
                <w:szCs w:val="14"/>
                <w:color w:val="003478"/>
              </w:rPr>
            </w:pPr>
            <w:hyperlink w:anchor="page75">
              <w:r>
                <w:rPr>
                  <w:rFonts w:ascii="Arial" w:cs="Arial" w:eastAsia="Arial" w:hAnsi="Arial"/>
                  <w:sz w:val="14"/>
                  <w:szCs w:val="14"/>
                  <w:color w:val="003478"/>
                </w:rPr>
                <w:t>DIRECTOR COMPENSATION</w:t>
              </w:r>
            </w:hyperlink>
          </w:p>
        </w:tc>
        <w:tc>
          <w:tcPr>
            <w:tcW w:w="320" w:type="dxa"/>
            <w:vAlign w:val="bottom"/>
            <w:tcBorders>
              <w:bottom w:val="single" w:sz="8" w:color="003478"/>
            </w:tcBorders>
          </w:tcPr>
          <w:p>
            <w:pPr>
              <w:jc w:val="right"/>
              <w:spacing w:after="0"/>
              <w:rPr>
                <w:rFonts w:ascii="Arial" w:cs="Arial" w:eastAsia="Arial" w:hAnsi="Arial"/>
                <w:sz w:val="14"/>
                <w:szCs w:val="14"/>
                <w:color w:val="003478"/>
              </w:rPr>
            </w:pPr>
            <w:hyperlink w:anchor="page75">
              <w:r>
                <w:rPr>
                  <w:rFonts w:ascii="Arial" w:cs="Arial" w:eastAsia="Arial" w:hAnsi="Arial"/>
                  <w:sz w:val="14"/>
                  <w:szCs w:val="14"/>
                  <w:color w:val="003478"/>
                </w:rPr>
                <w:t>70</w:t>
              </w:r>
            </w:hyperlink>
          </w:p>
        </w:tc>
        <w:tc>
          <w:tcPr>
            <w:tcW w:w="0" w:type="dxa"/>
            <w:vAlign w:val="bottom"/>
          </w:tcPr>
          <w:p>
            <w:pPr>
              <w:spacing w:after="0"/>
              <w:rPr>
                <w:sz w:val="1"/>
                <w:szCs w:val="1"/>
                <w:color w:val="auto"/>
              </w:rPr>
            </w:pPr>
          </w:p>
        </w:tc>
      </w:tr>
      <w:tr>
        <w:trPr>
          <w:trHeight w:val="280"/>
        </w:trPr>
        <w:tc>
          <w:tcPr>
            <w:tcW w:w="3160" w:type="dxa"/>
            <w:vAlign w:val="bottom"/>
          </w:tcPr>
          <w:p>
            <w:pPr>
              <w:ind w:left="20"/>
              <w:spacing w:after="0"/>
              <w:rPr>
                <w:rFonts w:ascii="Arial" w:cs="Arial" w:eastAsia="Arial" w:hAnsi="Arial"/>
                <w:sz w:val="14"/>
                <w:szCs w:val="14"/>
                <w:color w:val="002E6D"/>
              </w:rPr>
            </w:pPr>
            <w:hyperlink w:anchor="page77">
              <w:r>
                <w:rPr>
                  <w:rFonts w:ascii="Arial" w:cs="Arial" w:eastAsia="Arial" w:hAnsi="Arial"/>
                  <w:sz w:val="14"/>
                  <w:szCs w:val="14"/>
                  <w:color w:val="002E6D"/>
                </w:rPr>
                <w:t>SECURITY OWNERSHIP OF MANAGEMENT</w:t>
              </w:r>
            </w:hyperlink>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160" w:type="dxa"/>
            <w:vAlign w:val="bottom"/>
            <w:tcBorders>
              <w:bottom w:val="single" w:sz="8" w:color="003478"/>
            </w:tcBorders>
          </w:tcPr>
          <w:p>
            <w:pPr>
              <w:ind w:left="20"/>
              <w:spacing w:after="0"/>
              <w:rPr>
                <w:rFonts w:ascii="Arial" w:cs="Arial" w:eastAsia="Arial" w:hAnsi="Arial"/>
                <w:sz w:val="14"/>
                <w:szCs w:val="14"/>
                <w:color w:val="002E6D"/>
              </w:rPr>
            </w:pPr>
            <w:hyperlink w:anchor="page77">
              <w:r>
                <w:rPr>
                  <w:rFonts w:ascii="Arial" w:cs="Arial" w:eastAsia="Arial" w:hAnsi="Arial"/>
                  <w:sz w:val="14"/>
                  <w:szCs w:val="14"/>
                  <w:color w:val="002E6D"/>
                </w:rPr>
                <w:t>AND CERTAIN BENEFICIAL OWNERS</w:t>
              </w:r>
            </w:hyperlink>
          </w:p>
        </w:tc>
        <w:tc>
          <w:tcPr>
            <w:tcW w:w="320" w:type="dxa"/>
            <w:vAlign w:val="bottom"/>
            <w:tcBorders>
              <w:bottom w:val="single" w:sz="8" w:color="003478"/>
            </w:tcBorders>
          </w:tcPr>
          <w:p>
            <w:pPr>
              <w:jc w:val="right"/>
              <w:spacing w:after="0"/>
              <w:rPr>
                <w:rFonts w:ascii="Arial" w:cs="Arial" w:eastAsia="Arial" w:hAnsi="Arial"/>
                <w:sz w:val="14"/>
                <w:szCs w:val="14"/>
                <w:color w:val="003478"/>
              </w:rPr>
            </w:pPr>
            <w:hyperlink w:anchor="page77">
              <w:r>
                <w:rPr>
                  <w:rFonts w:ascii="Arial" w:cs="Arial" w:eastAsia="Arial" w:hAnsi="Arial"/>
                  <w:sz w:val="14"/>
                  <w:szCs w:val="14"/>
                  <w:color w:val="003478"/>
                </w:rPr>
                <w:t>72</w:t>
              </w:r>
            </w:hyperlink>
          </w:p>
        </w:tc>
        <w:tc>
          <w:tcPr>
            <w:tcW w:w="0" w:type="dxa"/>
            <w:vAlign w:val="bottom"/>
          </w:tcPr>
          <w:p>
            <w:pPr>
              <w:spacing w:after="0"/>
              <w:rPr>
                <w:sz w:val="1"/>
                <w:szCs w:val="1"/>
                <w:color w:val="auto"/>
              </w:rPr>
            </w:pPr>
          </w:p>
        </w:tc>
      </w:tr>
      <w:tr>
        <w:trPr>
          <w:trHeight w:val="210"/>
        </w:trPr>
        <w:tc>
          <w:tcPr>
            <w:tcW w:w="3160" w:type="dxa"/>
            <w:vAlign w:val="bottom"/>
          </w:tcPr>
          <w:p>
            <w:pPr>
              <w:ind w:left="20"/>
              <w:spacing w:after="0"/>
              <w:rPr>
                <w:rFonts w:ascii="Arial" w:cs="Arial" w:eastAsia="Arial" w:hAnsi="Arial"/>
                <w:sz w:val="14"/>
                <w:szCs w:val="14"/>
                <w:color w:val="auto"/>
              </w:rPr>
            </w:pPr>
            <w:hyperlink w:anchor="page79">
              <w:r>
                <w:rPr>
                  <w:rFonts w:ascii="Arial" w:cs="Arial" w:eastAsia="Arial" w:hAnsi="Arial"/>
                  <w:sz w:val="14"/>
                  <w:szCs w:val="14"/>
                  <w:color w:val="auto"/>
                </w:rPr>
                <w:t>Delinquent Section 16(a) Reports</w:t>
              </w:r>
            </w:hyperlink>
          </w:p>
        </w:tc>
        <w:tc>
          <w:tcPr>
            <w:tcW w:w="320" w:type="dxa"/>
            <w:vAlign w:val="bottom"/>
          </w:tcPr>
          <w:p>
            <w:pPr>
              <w:jc w:val="right"/>
              <w:spacing w:after="0"/>
              <w:rPr>
                <w:rFonts w:ascii="Arial" w:cs="Arial" w:eastAsia="Arial" w:hAnsi="Arial"/>
                <w:sz w:val="14"/>
                <w:szCs w:val="14"/>
                <w:color w:val="auto"/>
              </w:rPr>
            </w:pPr>
            <w:hyperlink w:anchor="page79">
              <w:r>
                <w:rPr>
                  <w:rFonts w:ascii="Arial" w:cs="Arial" w:eastAsia="Arial" w:hAnsi="Arial"/>
                  <w:sz w:val="14"/>
                  <w:szCs w:val="14"/>
                  <w:color w:val="auto"/>
                </w:rPr>
                <w:t>73</w:t>
              </w:r>
            </w:hyperlink>
          </w:p>
        </w:tc>
        <w:tc>
          <w:tcPr>
            <w:tcW w:w="0" w:type="dxa"/>
            <w:vAlign w:val="bottom"/>
          </w:tcPr>
          <w:p>
            <w:pPr>
              <w:spacing w:after="0"/>
              <w:rPr>
                <w:sz w:val="1"/>
                <w:szCs w:val="1"/>
                <w:color w:val="auto"/>
              </w:rPr>
            </w:pPr>
          </w:p>
        </w:tc>
      </w:tr>
      <w:tr>
        <w:trPr>
          <w:trHeight w:val="321"/>
        </w:trPr>
        <w:tc>
          <w:tcPr>
            <w:tcW w:w="3160" w:type="dxa"/>
            <w:vAlign w:val="bottom"/>
            <w:tcBorders>
              <w:bottom w:val="single" w:sz="8" w:color="003478"/>
            </w:tcBorders>
          </w:tcPr>
          <w:p>
            <w:pPr>
              <w:ind w:left="20"/>
              <w:spacing w:after="0"/>
              <w:rPr>
                <w:rFonts w:ascii="Arial" w:cs="Arial" w:eastAsia="Arial" w:hAnsi="Arial"/>
                <w:sz w:val="14"/>
                <w:szCs w:val="14"/>
                <w:color w:val="002E6D"/>
              </w:rPr>
            </w:pPr>
            <w:hyperlink w:anchor="page79">
              <w:r>
                <w:rPr>
                  <w:rFonts w:ascii="Arial" w:cs="Arial" w:eastAsia="Arial" w:hAnsi="Arial"/>
                  <w:sz w:val="14"/>
                  <w:szCs w:val="14"/>
                  <w:color w:val="002E6D"/>
                </w:rPr>
                <w:t xml:space="preserve">STOCKHOLDER PROPOSALS </w:t>
              </w:r>
            </w:hyperlink>
            <w:r>
              <w:rPr>
                <w:rFonts w:ascii="Arial" w:cs="Arial" w:eastAsia="Arial" w:hAnsi="Arial"/>
                <w:sz w:val="14"/>
                <w:szCs w:val="14"/>
                <w:color w:val="002E6D"/>
              </w:rPr>
              <w:t>4-5</w:t>
            </w:r>
          </w:p>
        </w:tc>
        <w:tc>
          <w:tcPr>
            <w:tcW w:w="320" w:type="dxa"/>
            <w:vAlign w:val="bottom"/>
            <w:tcBorders>
              <w:bottom w:val="single" w:sz="8" w:color="003478"/>
            </w:tcBorders>
          </w:tcPr>
          <w:p>
            <w:pPr>
              <w:jc w:val="right"/>
              <w:spacing w:after="0"/>
              <w:rPr>
                <w:rFonts w:ascii="Arial" w:cs="Arial" w:eastAsia="Arial" w:hAnsi="Arial"/>
                <w:sz w:val="14"/>
                <w:szCs w:val="14"/>
                <w:color w:val="003478"/>
              </w:rPr>
            </w:pPr>
            <w:hyperlink w:anchor="page79">
              <w:r>
                <w:rPr>
                  <w:rFonts w:ascii="Arial" w:cs="Arial" w:eastAsia="Arial" w:hAnsi="Arial"/>
                  <w:sz w:val="14"/>
                  <w:szCs w:val="14"/>
                  <w:color w:val="003478"/>
                </w:rPr>
                <w:t>74</w:t>
              </w:r>
            </w:hyperlink>
          </w:p>
        </w:tc>
        <w:tc>
          <w:tcPr>
            <w:tcW w:w="0" w:type="dxa"/>
            <w:vAlign w:val="bottom"/>
          </w:tcPr>
          <w:p>
            <w:pPr>
              <w:spacing w:after="0"/>
              <w:rPr>
                <w:sz w:val="1"/>
                <w:szCs w:val="1"/>
                <w:color w:val="auto"/>
              </w:rPr>
            </w:pPr>
          </w:p>
        </w:tc>
      </w:tr>
      <w:tr>
        <w:trPr>
          <w:trHeight w:val="302"/>
        </w:trPr>
        <w:tc>
          <w:tcPr>
            <w:tcW w:w="3160" w:type="dxa"/>
            <w:vAlign w:val="bottom"/>
            <w:tcBorders>
              <w:bottom w:val="single" w:sz="8" w:color="003478"/>
            </w:tcBorders>
          </w:tcPr>
          <w:p>
            <w:pPr>
              <w:ind w:left="20"/>
              <w:spacing w:after="0"/>
              <w:rPr>
                <w:rFonts w:ascii="Arial" w:cs="Arial" w:eastAsia="Arial" w:hAnsi="Arial"/>
                <w:sz w:val="14"/>
                <w:szCs w:val="14"/>
                <w:color w:val="003478"/>
              </w:rPr>
            </w:pPr>
            <w:hyperlink w:anchor="page84">
              <w:r>
                <w:rPr>
                  <w:rFonts w:ascii="Arial" w:cs="Arial" w:eastAsia="Arial" w:hAnsi="Arial"/>
                  <w:sz w:val="14"/>
                  <w:szCs w:val="14"/>
                  <w:color w:val="003478"/>
                </w:rPr>
                <w:t>HUMAN RIGHTS</w:t>
              </w:r>
            </w:hyperlink>
          </w:p>
        </w:tc>
        <w:tc>
          <w:tcPr>
            <w:tcW w:w="320" w:type="dxa"/>
            <w:vAlign w:val="bottom"/>
            <w:tcBorders>
              <w:bottom w:val="single" w:sz="8" w:color="003478"/>
            </w:tcBorders>
          </w:tcPr>
          <w:p>
            <w:pPr>
              <w:jc w:val="right"/>
              <w:spacing w:after="0"/>
              <w:rPr>
                <w:rFonts w:ascii="Arial" w:cs="Arial" w:eastAsia="Arial" w:hAnsi="Arial"/>
                <w:sz w:val="14"/>
                <w:szCs w:val="14"/>
                <w:color w:val="003478"/>
              </w:rPr>
            </w:pPr>
            <w:hyperlink w:anchor="page84">
              <w:r>
                <w:rPr>
                  <w:rFonts w:ascii="Arial" w:cs="Arial" w:eastAsia="Arial" w:hAnsi="Arial"/>
                  <w:sz w:val="14"/>
                  <w:szCs w:val="14"/>
                  <w:color w:val="003478"/>
                </w:rPr>
                <w:t>79</w:t>
              </w:r>
            </w:hyperlink>
          </w:p>
        </w:tc>
        <w:tc>
          <w:tcPr>
            <w:tcW w:w="0" w:type="dxa"/>
            <w:vAlign w:val="bottom"/>
          </w:tcPr>
          <w:p>
            <w:pPr>
              <w:spacing w:after="0"/>
              <w:rPr>
                <w:sz w:val="1"/>
                <w:szCs w:val="1"/>
                <w:color w:val="auto"/>
              </w:rPr>
            </w:pPr>
          </w:p>
        </w:tc>
      </w:tr>
      <w:tr>
        <w:trPr>
          <w:trHeight w:val="297"/>
        </w:trPr>
        <w:tc>
          <w:tcPr>
            <w:tcW w:w="3160" w:type="dxa"/>
            <w:vAlign w:val="bottom"/>
            <w:tcBorders>
              <w:bottom w:val="single" w:sz="8" w:color="003478"/>
            </w:tcBorders>
          </w:tcPr>
          <w:p>
            <w:pPr>
              <w:ind w:left="20"/>
              <w:spacing w:after="0"/>
              <w:rPr>
                <w:rFonts w:ascii="Arial" w:cs="Arial" w:eastAsia="Arial" w:hAnsi="Arial"/>
                <w:sz w:val="14"/>
                <w:szCs w:val="14"/>
                <w:color w:val="003478"/>
              </w:rPr>
            </w:pPr>
            <w:hyperlink w:anchor="page85">
              <w:r>
                <w:rPr>
                  <w:rFonts w:ascii="Arial" w:cs="Arial" w:eastAsia="Arial" w:hAnsi="Arial"/>
                  <w:sz w:val="14"/>
                  <w:szCs w:val="14"/>
                  <w:color w:val="003478"/>
                </w:rPr>
                <w:t>ADDITIONAL INFORMATION</w:t>
              </w:r>
            </w:hyperlink>
          </w:p>
        </w:tc>
        <w:tc>
          <w:tcPr>
            <w:tcW w:w="320" w:type="dxa"/>
            <w:vAlign w:val="bottom"/>
            <w:tcBorders>
              <w:bottom w:val="single" w:sz="8" w:color="003478"/>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160" w:type="dxa"/>
            <w:vAlign w:val="bottom"/>
          </w:tcPr>
          <w:p>
            <w:pPr>
              <w:ind w:left="20"/>
              <w:spacing w:after="0"/>
              <w:rPr>
                <w:rFonts w:ascii="Arial" w:cs="Arial" w:eastAsia="Arial" w:hAnsi="Arial"/>
                <w:sz w:val="14"/>
                <w:szCs w:val="14"/>
                <w:color w:val="auto"/>
              </w:rPr>
            </w:pPr>
            <w:hyperlink w:anchor="page85">
              <w:r>
                <w:rPr>
                  <w:rFonts w:ascii="Arial" w:cs="Arial" w:eastAsia="Arial" w:hAnsi="Arial"/>
                  <w:sz w:val="14"/>
                  <w:szCs w:val="14"/>
                  <w:color w:val="auto"/>
                </w:rPr>
                <w:t>Annual Meeting Questions and Answers</w:t>
              </w:r>
            </w:hyperlink>
          </w:p>
        </w:tc>
        <w:tc>
          <w:tcPr>
            <w:tcW w:w="320" w:type="dxa"/>
            <w:vAlign w:val="bottom"/>
          </w:tcPr>
          <w:p>
            <w:pPr>
              <w:jc w:val="right"/>
              <w:spacing w:after="0"/>
              <w:rPr>
                <w:rFonts w:ascii="Arial" w:cs="Arial" w:eastAsia="Arial" w:hAnsi="Arial"/>
                <w:sz w:val="14"/>
                <w:szCs w:val="14"/>
                <w:color w:val="auto"/>
              </w:rPr>
            </w:pPr>
            <w:hyperlink w:anchor="page85">
              <w:r>
                <w:rPr>
                  <w:rFonts w:ascii="Arial" w:cs="Arial" w:eastAsia="Arial" w:hAnsi="Arial"/>
                  <w:sz w:val="14"/>
                  <w:szCs w:val="14"/>
                  <w:color w:val="auto"/>
                </w:rPr>
                <w:t>80</w:t>
              </w:r>
            </w:hyperlink>
          </w:p>
        </w:tc>
        <w:tc>
          <w:tcPr>
            <w:tcW w:w="0" w:type="dxa"/>
            <w:vAlign w:val="bottom"/>
          </w:tcPr>
          <w:p>
            <w:pPr>
              <w:spacing w:after="0"/>
              <w:rPr>
                <w:sz w:val="1"/>
                <w:szCs w:val="1"/>
                <w:color w:val="auto"/>
              </w:rPr>
            </w:pPr>
          </w:p>
        </w:tc>
      </w:tr>
      <w:tr>
        <w:trPr>
          <w:trHeight w:val="188"/>
        </w:trPr>
        <w:tc>
          <w:tcPr>
            <w:tcW w:w="3160" w:type="dxa"/>
            <w:vAlign w:val="bottom"/>
          </w:tcPr>
          <w:p>
            <w:pPr>
              <w:ind w:left="20"/>
              <w:spacing w:after="0"/>
              <w:rPr>
                <w:rFonts w:ascii="Arial" w:cs="Arial" w:eastAsia="Arial" w:hAnsi="Arial"/>
                <w:sz w:val="14"/>
                <w:szCs w:val="14"/>
                <w:color w:val="auto"/>
              </w:rPr>
            </w:pPr>
            <w:hyperlink w:anchor="page92">
              <w:r>
                <w:rPr>
                  <w:rFonts w:ascii="Arial" w:cs="Arial" w:eastAsia="Arial" w:hAnsi="Arial"/>
                  <w:sz w:val="14"/>
                  <w:szCs w:val="14"/>
                  <w:color w:val="auto"/>
                </w:rPr>
                <w:t>Appendix A: Definition of Non-GAAP Measures</w:t>
              </w:r>
            </w:hyperlink>
          </w:p>
        </w:tc>
        <w:tc>
          <w:tcPr>
            <w:tcW w:w="320" w:type="dxa"/>
            <w:vAlign w:val="bottom"/>
          </w:tcPr>
          <w:p>
            <w:pPr>
              <w:jc w:val="right"/>
              <w:spacing w:after="0"/>
              <w:rPr>
                <w:rFonts w:ascii="Arial" w:cs="Arial" w:eastAsia="Arial" w:hAnsi="Arial"/>
                <w:sz w:val="14"/>
                <w:szCs w:val="14"/>
                <w:color w:val="auto"/>
              </w:rPr>
            </w:pPr>
            <w:hyperlink w:anchor="page92">
              <w:r>
                <w:rPr>
                  <w:rFonts w:ascii="Arial" w:cs="Arial" w:eastAsia="Arial" w:hAnsi="Arial"/>
                  <w:sz w:val="14"/>
                  <w:szCs w:val="14"/>
                  <w:color w:val="auto"/>
                </w:rPr>
                <w:t>87</w:t>
              </w:r>
            </w:hyperlink>
          </w:p>
        </w:tc>
        <w:tc>
          <w:tcPr>
            <w:tcW w:w="0" w:type="dxa"/>
            <w:vAlign w:val="bottom"/>
          </w:tcPr>
          <w:p>
            <w:pPr>
              <w:spacing w:after="0"/>
              <w:rPr>
                <w:sz w:val="1"/>
                <w:szCs w:val="1"/>
                <w:color w:val="auto"/>
              </w:rPr>
            </w:pPr>
          </w:p>
        </w:tc>
      </w:tr>
      <w:tr>
        <w:trPr>
          <w:trHeight w:val="151"/>
        </w:trPr>
        <w:tc>
          <w:tcPr>
            <w:tcW w:w="3160" w:type="dxa"/>
            <w:vAlign w:val="bottom"/>
          </w:tcPr>
          <w:p>
            <w:pPr>
              <w:ind w:left="20"/>
              <w:spacing w:after="0" w:line="151" w:lineRule="exact"/>
              <w:rPr>
                <w:rFonts w:ascii="Arial" w:cs="Arial" w:eastAsia="Arial" w:hAnsi="Arial"/>
                <w:sz w:val="14"/>
                <w:szCs w:val="14"/>
                <w:color w:val="auto"/>
              </w:rPr>
            </w:pPr>
            <w:hyperlink w:anchor="page94">
              <w:r>
                <w:rPr>
                  <w:rFonts w:ascii="Arial" w:cs="Arial" w:eastAsia="Arial" w:hAnsi="Arial"/>
                  <w:sz w:val="14"/>
                  <w:szCs w:val="14"/>
                  <w:color w:val="auto"/>
                </w:rPr>
                <w:t>Disclosure Regarding Forward-Looking</w:t>
              </w:r>
            </w:hyperlink>
          </w:p>
        </w:tc>
        <w:tc>
          <w:tcPr>
            <w:tcW w:w="320" w:type="dxa"/>
            <w:vAlign w:val="bottom"/>
            <w:vMerge w:val="restart"/>
          </w:tcPr>
          <w:p>
            <w:pPr>
              <w:jc w:val="right"/>
              <w:spacing w:after="0"/>
              <w:rPr>
                <w:rFonts w:ascii="Arial" w:cs="Arial" w:eastAsia="Arial" w:hAnsi="Arial"/>
                <w:sz w:val="14"/>
                <w:szCs w:val="14"/>
                <w:color w:val="auto"/>
              </w:rPr>
            </w:pPr>
            <w:hyperlink w:anchor="page94">
              <w:r>
                <w:rPr>
                  <w:rFonts w:ascii="Arial" w:cs="Arial" w:eastAsia="Arial" w:hAnsi="Arial"/>
                  <w:sz w:val="14"/>
                  <w:szCs w:val="14"/>
                  <w:color w:val="auto"/>
                </w:rPr>
                <w:t>89</w:t>
              </w:r>
            </w:hyperlink>
          </w:p>
        </w:tc>
        <w:tc>
          <w:tcPr>
            <w:tcW w:w="0" w:type="dxa"/>
            <w:vAlign w:val="bottom"/>
          </w:tcPr>
          <w:p>
            <w:pPr>
              <w:spacing w:after="0"/>
              <w:rPr>
                <w:sz w:val="1"/>
                <w:szCs w:val="1"/>
                <w:color w:val="auto"/>
              </w:rPr>
            </w:pPr>
          </w:p>
        </w:tc>
      </w:tr>
      <w:tr>
        <w:trPr>
          <w:trHeight w:val="172"/>
        </w:trPr>
        <w:tc>
          <w:tcPr>
            <w:tcW w:w="3160" w:type="dxa"/>
            <w:vAlign w:val="bottom"/>
          </w:tcPr>
          <w:p>
            <w:pPr>
              <w:ind w:left="20"/>
              <w:spacing w:after="0"/>
              <w:rPr>
                <w:rFonts w:ascii="Arial" w:cs="Arial" w:eastAsia="Arial" w:hAnsi="Arial"/>
                <w:sz w:val="14"/>
                <w:szCs w:val="14"/>
                <w:color w:val="auto"/>
              </w:rPr>
            </w:pPr>
            <w:hyperlink w:anchor="page94">
              <w:r>
                <w:rPr>
                  <w:rFonts w:ascii="Arial" w:cs="Arial" w:eastAsia="Arial" w:hAnsi="Arial"/>
                  <w:sz w:val="14"/>
                  <w:szCs w:val="14"/>
                  <w:color w:val="auto"/>
                </w:rPr>
                <w:t>Statements</w:t>
              </w:r>
            </w:hyperlink>
          </w:p>
        </w:tc>
        <w:tc>
          <w:tcPr>
            <w:tcW w:w="3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003478"/>
        </w:rPr>
        <w:t>Frequently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-311785</wp:posOffset>
            </wp:positionV>
            <wp:extent cx="2209800" cy="46501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09800" cy="465010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b w:val="1"/>
          <w:bCs w:val="1"/>
          <w:color w:val="003478"/>
        </w:rPr>
        <w:t>Information</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2740" w:type="dxa"/>
            <w:vAlign w:val="bottom"/>
          </w:tcPr>
          <w:p>
            <w:pPr>
              <w:spacing w:after="0"/>
              <w:rPr>
                <w:rFonts w:ascii="Arial" w:cs="Arial" w:eastAsia="Arial" w:hAnsi="Arial"/>
                <w:sz w:val="14"/>
                <w:szCs w:val="14"/>
                <w:color w:val="003478"/>
              </w:rPr>
            </w:pPr>
            <w:hyperlink w:anchor="page6">
              <w:r>
                <w:rPr>
                  <w:rFonts w:ascii="Arial" w:cs="Arial" w:eastAsia="Arial" w:hAnsi="Arial"/>
                  <w:sz w:val="14"/>
                  <w:szCs w:val="14"/>
                  <w:color w:val="003478"/>
                </w:rPr>
                <w:t>Lockheed Martin.</w:t>
              </w:r>
            </w:hyperlink>
          </w:p>
        </w:tc>
        <w:tc>
          <w:tcPr>
            <w:tcW w:w="560" w:type="dxa"/>
            <w:vAlign w:val="bottom"/>
            <w:shd w:val="clear" w:color="auto" w:fill="E4E6EF"/>
          </w:tcPr>
          <w:p>
            <w:pPr>
              <w:spacing w:after="0"/>
              <w:rPr>
                <w:sz w:val="23"/>
                <w:szCs w:val="23"/>
                <w:color w:val="auto"/>
              </w:rPr>
            </w:pPr>
          </w:p>
        </w:tc>
      </w:tr>
      <w:tr>
        <w:trPr>
          <w:trHeight w:val="239"/>
        </w:trPr>
        <w:tc>
          <w:tcPr>
            <w:tcW w:w="2740" w:type="dxa"/>
            <w:vAlign w:val="bottom"/>
          </w:tcPr>
          <w:p>
            <w:pPr>
              <w:spacing w:after="0"/>
              <w:rPr>
                <w:rFonts w:ascii="Arial" w:cs="Arial" w:eastAsia="Arial" w:hAnsi="Arial"/>
                <w:sz w:val="14"/>
                <w:szCs w:val="14"/>
                <w:color w:val="003478"/>
              </w:rPr>
            </w:pPr>
            <w:hyperlink w:anchor="page6">
              <w:r>
                <w:rPr>
                  <w:rFonts w:ascii="Arial" w:cs="Arial" w:eastAsia="Arial" w:hAnsi="Arial"/>
                  <w:sz w:val="14"/>
                  <w:szCs w:val="14"/>
                  <w:color w:val="003478"/>
                </w:rPr>
                <w:t>Your Mission is Ours.</w:t>
              </w:r>
            </w:hyperlink>
            <w:r>
              <w:rPr>
                <w:rFonts w:ascii="Arial" w:cs="Arial" w:eastAsia="Arial" w:hAnsi="Arial"/>
                <w:sz w:val="18"/>
                <w:szCs w:val="18"/>
                <w:color w:val="003478"/>
                <w:vertAlign w:val="superscript"/>
              </w:rPr>
              <w:t>®</w:t>
            </w:r>
          </w:p>
        </w:tc>
        <w:tc>
          <w:tcPr>
            <w:tcW w:w="560" w:type="dxa"/>
            <w:vAlign w:val="bottom"/>
            <w:shd w:val="clear" w:color="auto" w:fill="E4E6EF"/>
          </w:tcPr>
          <w:p>
            <w:pPr>
              <w:jc w:val="right"/>
              <w:ind w:right="128"/>
              <w:spacing w:after="0"/>
              <w:rPr>
                <w:rFonts w:ascii="Arial" w:cs="Arial" w:eastAsia="Arial" w:hAnsi="Arial"/>
                <w:sz w:val="14"/>
                <w:szCs w:val="14"/>
                <w:color w:val="003478"/>
              </w:rPr>
            </w:pPr>
            <w:hyperlink w:anchor="page6">
              <w:r>
                <w:rPr>
                  <w:rFonts w:ascii="Arial" w:cs="Arial" w:eastAsia="Arial" w:hAnsi="Arial"/>
                  <w:sz w:val="14"/>
                  <w:szCs w:val="14"/>
                  <w:color w:val="003478"/>
                </w:rPr>
                <w:t>1</w:t>
              </w:r>
            </w:hyperlink>
          </w:p>
        </w:tc>
      </w:tr>
      <w:tr>
        <w:trPr>
          <w:trHeight w:val="300"/>
        </w:trPr>
        <w:tc>
          <w:tcPr>
            <w:tcW w:w="2740" w:type="dxa"/>
            <w:vAlign w:val="bottom"/>
          </w:tcPr>
          <w:p>
            <w:pPr>
              <w:spacing w:after="0"/>
              <w:rPr>
                <w:rFonts w:ascii="Arial" w:cs="Arial" w:eastAsia="Arial" w:hAnsi="Arial"/>
                <w:sz w:val="14"/>
                <w:szCs w:val="14"/>
                <w:color w:val="002E6D"/>
              </w:rPr>
            </w:pPr>
            <w:hyperlink w:anchor="page8">
              <w:r>
                <w:rPr>
                  <w:rFonts w:ascii="Arial" w:cs="Arial" w:eastAsia="Arial" w:hAnsi="Arial"/>
                  <w:sz w:val="14"/>
                  <w:szCs w:val="14"/>
                  <w:color w:val="002E6D"/>
                </w:rPr>
                <w:t>Proxy Statement Summary</w:t>
              </w:r>
            </w:hyperlink>
          </w:p>
        </w:tc>
        <w:tc>
          <w:tcPr>
            <w:tcW w:w="560" w:type="dxa"/>
            <w:vAlign w:val="bottom"/>
            <w:shd w:val="clear" w:color="auto" w:fill="E4E6EF"/>
          </w:tcPr>
          <w:p>
            <w:pPr>
              <w:jc w:val="right"/>
              <w:ind w:right="128"/>
              <w:spacing w:after="0"/>
              <w:rPr>
                <w:rFonts w:ascii="Arial" w:cs="Arial" w:eastAsia="Arial" w:hAnsi="Arial"/>
                <w:sz w:val="14"/>
                <w:szCs w:val="14"/>
                <w:color w:val="003478"/>
              </w:rPr>
            </w:pPr>
            <w:hyperlink w:anchor="page8">
              <w:r>
                <w:rPr>
                  <w:rFonts w:ascii="Arial" w:cs="Arial" w:eastAsia="Arial" w:hAnsi="Arial"/>
                  <w:sz w:val="14"/>
                  <w:szCs w:val="14"/>
                  <w:color w:val="003478"/>
                </w:rPr>
                <w:t>3</w:t>
              </w:r>
            </w:hyperlink>
          </w:p>
        </w:tc>
      </w:tr>
      <w:tr>
        <w:trPr>
          <w:trHeight w:val="296"/>
        </w:trPr>
        <w:tc>
          <w:tcPr>
            <w:tcW w:w="2740" w:type="dxa"/>
            <w:vAlign w:val="bottom"/>
          </w:tcPr>
          <w:p>
            <w:pPr>
              <w:spacing w:after="0"/>
              <w:rPr>
                <w:rFonts w:ascii="Arial" w:cs="Arial" w:eastAsia="Arial" w:hAnsi="Arial"/>
                <w:sz w:val="14"/>
                <w:szCs w:val="14"/>
                <w:color w:val="003478"/>
              </w:rPr>
            </w:pPr>
            <w:hyperlink w:anchor="page13">
              <w:r>
                <w:rPr>
                  <w:rFonts w:ascii="Arial" w:cs="Arial" w:eastAsia="Arial" w:hAnsi="Arial"/>
                  <w:sz w:val="14"/>
                  <w:szCs w:val="14"/>
                  <w:color w:val="003478"/>
                </w:rPr>
                <w:t>Board Attendance</w:t>
              </w:r>
            </w:hyperlink>
          </w:p>
        </w:tc>
        <w:tc>
          <w:tcPr>
            <w:tcW w:w="560" w:type="dxa"/>
            <w:vAlign w:val="bottom"/>
            <w:shd w:val="clear" w:color="auto" w:fill="E4E6EF"/>
          </w:tcPr>
          <w:p>
            <w:pPr>
              <w:jc w:val="right"/>
              <w:ind w:right="128"/>
              <w:spacing w:after="0"/>
              <w:rPr>
                <w:rFonts w:ascii="Arial" w:cs="Arial" w:eastAsia="Arial" w:hAnsi="Arial"/>
                <w:sz w:val="14"/>
                <w:szCs w:val="14"/>
                <w:color w:val="003478"/>
              </w:rPr>
            </w:pPr>
            <w:hyperlink w:anchor="page13">
              <w:r>
                <w:rPr>
                  <w:rFonts w:ascii="Arial" w:cs="Arial" w:eastAsia="Arial" w:hAnsi="Arial"/>
                  <w:sz w:val="14"/>
                  <w:szCs w:val="14"/>
                  <w:color w:val="003478"/>
                </w:rPr>
                <w:t>7</w:t>
              </w:r>
            </w:hyperlink>
          </w:p>
        </w:tc>
      </w:tr>
      <w:tr>
        <w:trPr>
          <w:trHeight w:val="296"/>
        </w:trPr>
        <w:tc>
          <w:tcPr>
            <w:tcW w:w="2740" w:type="dxa"/>
            <w:vAlign w:val="bottom"/>
          </w:tcPr>
          <w:p>
            <w:pPr>
              <w:spacing w:after="0"/>
              <w:rPr>
                <w:rFonts w:ascii="Arial" w:cs="Arial" w:eastAsia="Arial" w:hAnsi="Arial"/>
                <w:sz w:val="14"/>
                <w:szCs w:val="14"/>
                <w:color w:val="003478"/>
              </w:rPr>
            </w:pPr>
            <w:hyperlink w:anchor="page13">
              <w:r>
                <w:rPr>
                  <w:rFonts w:ascii="Arial" w:cs="Arial" w:eastAsia="Arial" w:hAnsi="Arial"/>
                  <w:sz w:val="14"/>
                  <w:szCs w:val="14"/>
                  <w:color w:val="003478"/>
                </w:rPr>
                <w:t>Board Skills Matrix</w:t>
              </w:r>
            </w:hyperlink>
          </w:p>
        </w:tc>
        <w:tc>
          <w:tcPr>
            <w:tcW w:w="560" w:type="dxa"/>
            <w:vAlign w:val="bottom"/>
            <w:shd w:val="clear" w:color="auto" w:fill="E4E6EF"/>
          </w:tcPr>
          <w:p>
            <w:pPr>
              <w:jc w:val="right"/>
              <w:ind w:right="128"/>
              <w:spacing w:after="0"/>
              <w:rPr>
                <w:rFonts w:ascii="Arial" w:cs="Arial" w:eastAsia="Arial" w:hAnsi="Arial"/>
                <w:sz w:val="14"/>
                <w:szCs w:val="14"/>
                <w:color w:val="003478"/>
              </w:rPr>
            </w:pPr>
            <w:hyperlink w:anchor="page13">
              <w:r>
                <w:rPr>
                  <w:rFonts w:ascii="Arial" w:cs="Arial" w:eastAsia="Arial" w:hAnsi="Arial"/>
                  <w:sz w:val="14"/>
                  <w:szCs w:val="14"/>
                  <w:color w:val="003478"/>
                </w:rPr>
                <w:t>8</w:t>
              </w:r>
            </w:hyperlink>
          </w:p>
        </w:tc>
      </w:tr>
      <w:tr>
        <w:trPr>
          <w:trHeight w:val="296"/>
        </w:trPr>
        <w:tc>
          <w:tcPr>
            <w:tcW w:w="2740" w:type="dxa"/>
            <w:vAlign w:val="bottom"/>
          </w:tcPr>
          <w:p>
            <w:pPr>
              <w:spacing w:after="0"/>
              <w:rPr>
                <w:rFonts w:ascii="Arial" w:cs="Arial" w:eastAsia="Arial" w:hAnsi="Arial"/>
                <w:sz w:val="14"/>
                <w:szCs w:val="14"/>
                <w:color w:val="003478"/>
              </w:rPr>
            </w:pPr>
            <w:hyperlink w:anchor="page14">
              <w:r>
                <w:rPr>
                  <w:rFonts w:ascii="Arial" w:cs="Arial" w:eastAsia="Arial" w:hAnsi="Arial"/>
                  <w:sz w:val="14"/>
                  <w:szCs w:val="14"/>
                  <w:color w:val="003478"/>
                </w:rPr>
                <w:t>Director Nominees Biographies</w:t>
              </w:r>
            </w:hyperlink>
          </w:p>
        </w:tc>
        <w:tc>
          <w:tcPr>
            <w:tcW w:w="560" w:type="dxa"/>
            <w:vAlign w:val="bottom"/>
            <w:shd w:val="clear" w:color="auto" w:fill="E4E6EF"/>
          </w:tcPr>
          <w:p>
            <w:pPr>
              <w:jc w:val="right"/>
              <w:ind w:right="128"/>
              <w:spacing w:after="0"/>
              <w:rPr>
                <w:rFonts w:ascii="Arial" w:cs="Arial" w:eastAsia="Arial" w:hAnsi="Arial"/>
                <w:sz w:val="14"/>
                <w:szCs w:val="14"/>
                <w:color w:val="003478"/>
              </w:rPr>
            </w:pPr>
            <w:hyperlink w:anchor="page14">
              <w:r>
                <w:rPr>
                  <w:rFonts w:ascii="Arial" w:cs="Arial" w:eastAsia="Arial" w:hAnsi="Arial"/>
                  <w:sz w:val="14"/>
                  <w:szCs w:val="14"/>
                  <w:color w:val="003478"/>
                </w:rPr>
                <w:t>9</w:t>
              </w:r>
            </w:hyperlink>
          </w:p>
        </w:tc>
      </w:tr>
      <w:tr>
        <w:trPr>
          <w:trHeight w:val="296"/>
        </w:trPr>
        <w:tc>
          <w:tcPr>
            <w:tcW w:w="2740" w:type="dxa"/>
            <w:vAlign w:val="bottom"/>
          </w:tcPr>
          <w:p>
            <w:pPr>
              <w:spacing w:after="0"/>
              <w:rPr>
                <w:rFonts w:ascii="Arial" w:cs="Arial" w:eastAsia="Arial" w:hAnsi="Arial"/>
                <w:sz w:val="14"/>
                <w:szCs w:val="14"/>
                <w:color w:val="003478"/>
              </w:rPr>
            </w:pPr>
            <w:hyperlink w:anchor="page22">
              <w:r>
                <w:rPr>
                  <w:rFonts w:ascii="Arial" w:cs="Arial" w:eastAsia="Arial" w:hAnsi="Arial"/>
                  <w:sz w:val="14"/>
                  <w:szCs w:val="14"/>
                  <w:color w:val="003478"/>
                </w:rPr>
                <w:t>Board Performance Assessment</w:t>
              </w:r>
            </w:hyperlink>
          </w:p>
        </w:tc>
        <w:tc>
          <w:tcPr>
            <w:tcW w:w="560" w:type="dxa"/>
            <w:vAlign w:val="bottom"/>
            <w:shd w:val="clear" w:color="auto" w:fill="E4E6EF"/>
          </w:tcPr>
          <w:p>
            <w:pPr>
              <w:jc w:val="right"/>
              <w:ind w:right="128"/>
              <w:spacing w:after="0"/>
              <w:rPr>
                <w:rFonts w:ascii="Arial" w:cs="Arial" w:eastAsia="Arial" w:hAnsi="Arial"/>
                <w:sz w:val="14"/>
                <w:szCs w:val="14"/>
                <w:color w:val="003478"/>
              </w:rPr>
            </w:pPr>
            <w:hyperlink w:anchor="page22">
              <w:r>
                <w:rPr>
                  <w:rFonts w:ascii="Arial" w:cs="Arial" w:eastAsia="Arial" w:hAnsi="Arial"/>
                  <w:sz w:val="14"/>
                  <w:szCs w:val="14"/>
                  <w:color w:val="003478"/>
                </w:rPr>
                <w:t>17</w:t>
              </w:r>
            </w:hyperlink>
          </w:p>
        </w:tc>
      </w:tr>
      <w:tr>
        <w:trPr>
          <w:trHeight w:val="296"/>
        </w:trPr>
        <w:tc>
          <w:tcPr>
            <w:tcW w:w="2740" w:type="dxa"/>
            <w:vAlign w:val="bottom"/>
          </w:tcPr>
          <w:p>
            <w:pPr>
              <w:spacing w:after="0"/>
              <w:rPr>
                <w:rFonts w:ascii="Arial" w:cs="Arial" w:eastAsia="Arial" w:hAnsi="Arial"/>
                <w:sz w:val="14"/>
                <w:szCs w:val="14"/>
                <w:color w:val="003478"/>
              </w:rPr>
            </w:pPr>
            <w:hyperlink w:anchor="page24">
              <w:r>
                <w:rPr>
                  <w:rFonts w:ascii="Arial" w:cs="Arial" w:eastAsia="Arial" w:hAnsi="Arial"/>
                  <w:sz w:val="14"/>
                  <w:szCs w:val="14"/>
                  <w:color w:val="003478"/>
                </w:rPr>
                <w:t>Board Leadership Structure</w:t>
              </w:r>
            </w:hyperlink>
          </w:p>
        </w:tc>
        <w:tc>
          <w:tcPr>
            <w:tcW w:w="560" w:type="dxa"/>
            <w:vAlign w:val="bottom"/>
            <w:shd w:val="clear" w:color="auto" w:fill="E4E6EF"/>
          </w:tcPr>
          <w:p>
            <w:pPr>
              <w:jc w:val="right"/>
              <w:ind w:right="128"/>
              <w:spacing w:after="0"/>
              <w:rPr>
                <w:rFonts w:ascii="Arial" w:cs="Arial" w:eastAsia="Arial" w:hAnsi="Arial"/>
                <w:sz w:val="14"/>
                <w:szCs w:val="14"/>
                <w:color w:val="003478"/>
              </w:rPr>
            </w:pPr>
            <w:hyperlink w:anchor="page24">
              <w:r>
                <w:rPr>
                  <w:rFonts w:ascii="Arial" w:cs="Arial" w:eastAsia="Arial" w:hAnsi="Arial"/>
                  <w:sz w:val="14"/>
                  <w:szCs w:val="14"/>
                  <w:color w:val="003478"/>
                </w:rPr>
                <w:t>18</w:t>
              </w:r>
            </w:hyperlink>
          </w:p>
        </w:tc>
      </w:tr>
      <w:tr>
        <w:trPr>
          <w:trHeight w:val="296"/>
        </w:trPr>
        <w:tc>
          <w:tcPr>
            <w:tcW w:w="2740" w:type="dxa"/>
            <w:vAlign w:val="bottom"/>
          </w:tcPr>
          <w:p>
            <w:pPr>
              <w:spacing w:after="0"/>
              <w:rPr>
                <w:rFonts w:ascii="Arial" w:cs="Arial" w:eastAsia="Arial" w:hAnsi="Arial"/>
                <w:sz w:val="14"/>
                <w:szCs w:val="14"/>
                <w:color w:val="003478"/>
              </w:rPr>
            </w:pPr>
            <w:hyperlink w:anchor="page27">
              <w:r>
                <w:rPr>
                  <w:rFonts w:ascii="Arial" w:cs="Arial" w:eastAsia="Arial" w:hAnsi="Arial"/>
                  <w:sz w:val="14"/>
                  <w:szCs w:val="14"/>
                  <w:color w:val="003478"/>
                </w:rPr>
                <w:t>Enterprise Risk Management</w:t>
              </w:r>
            </w:hyperlink>
          </w:p>
        </w:tc>
        <w:tc>
          <w:tcPr>
            <w:tcW w:w="560" w:type="dxa"/>
            <w:vAlign w:val="bottom"/>
            <w:shd w:val="clear" w:color="auto" w:fill="E4E6EF"/>
          </w:tcPr>
          <w:p>
            <w:pPr>
              <w:jc w:val="right"/>
              <w:ind w:right="128"/>
              <w:spacing w:after="0"/>
              <w:rPr>
                <w:rFonts w:ascii="Arial" w:cs="Arial" w:eastAsia="Arial" w:hAnsi="Arial"/>
                <w:sz w:val="14"/>
                <w:szCs w:val="14"/>
                <w:color w:val="003478"/>
              </w:rPr>
            </w:pPr>
            <w:hyperlink w:anchor="page27">
              <w:r>
                <w:rPr>
                  <w:rFonts w:ascii="Arial" w:cs="Arial" w:eastAsia="Arial" w:hAnsi="Arial"/>
                  <w:sz w:val="14"/>
                  <w:szCs w:val="14"/>
                  <w:color w:val="003478"/>
                </w:rPr>
                <w:t>21</w:t>
              </w:r>
            </w:hyperlink>
          </w:p>
        </w:tc>
      </w:tr>
      <w:tr>
        <w:trPr>
          <w:trHeight w:val="296"/>
        </w:trPr>
        <w:tc>
          <w:tcPr>
            <w:tcW w:w="2740" w:type="dxa"/>
            <w:vAlign w:val="bottom"/>
          </w:tcPr>
          <w:p>
            <w:pPr>
              <w:spacing w:after="0"/>
              <w:rPr>
                <w:rFonts w:ascii="Arial" w:cs="Arial" w:eastAsia="Arial" w:hAnsi="Arial"/>
                <w:sz w:val="14"/>
                <w:szCs w:val="14"/>
                <w:color w:val="003478"/>
              </w:rPr>
            </w:pPr>
            <w:hyperlink w:anchor="page28">
              <w:r>
                <w:rPr>
                  <w:rFonts w:ascii="Arial" w:cs="Arial" w:eastAsia="Arial" w:hAnsi="Arial"/>
                  <w:sz w:val="14"/>
                  <w:szCs w:val="14"/>
                  <w:color w:val="003478"/>
                </w:rPr>
                <w:t>Cybersecurity</w:t>
              </w:r>
            </w:hyperlink>
          </w:p>
        </w:tc>
        <w:tc>
          <w:tcPr>
            <w:tcW w:w="560" w:type="dxa"/>
            <w:vAlign w:val="bottom"/>
            <w:shd w:val="clear" w:color="auto" w:fill="E4E6EF"/>
          </w:tcPr>
          <w:p>
            <w:pPr>
              <w:jc w:val="right"/>
              <w:ind w:right="128"/>
              <w:spacing w:after="0"/>
              <w:rPr>
                <w:rFonts w:ascii="Arial" w:cs="Arial" w:eastAsia="Arial" w:hAnsi="Arial"/>
                <w:sz w:val="14"/>
                <w:szCs w:val="14"/>
                <w:color w:val="003478"/>
              </w:rPr>
            </w:pPr>
            <w:hyperlink w:anchor="page28">
              <w:r>
                <w:rPr>
                  <w:rFonts w:ascii="Arial" w:cs="Arial" w:eastAsia="Arial" w:hAnsi="Arial"/>
                  <w:sz w:val="14"/>
                  <w:szCs w:val="14"/>
                  <w:color w:val="003478"/>
                </w:rPr>
                <w:t>22</w:t>
              </w:r>
            </w:hyperlink>
          </w:p>
        </w:tc>
      </w:tr>
      <w:tr>
        <w:trPr>
          <w:trHeight w:val="322"/>
        </w:trPr>
        <w:tc>
          <w:tcPr>
            <w:tcW w:w="2740" w:type="dxa"/>
            <w:vAlign w:val="bottom"/>
          </w:tcPr>
          <w:p>
            <w:pPr>
              <w:spacing w:after="0"/>
              <w:rPr>
                <w:rFonts w:ascii="Arial" w:cs="Arial" w:eastAsia="Arial" w:hAnsi="Arial"/>
                <w:sz w:val="14"/>
                <w:szCs w:val="14"/>
                <w:color w:val="003478"/>
              </w:rPr>
            </w:pPr>
            <w:hyperlink w:anchor="page28">
              <w:r>
                <w:rPr>
                  <w:rFonts w:ascii="Arial" w:cs="Arial" w:eastAsia="Arial" w:hAnsi="Arial"/>
                  <w:sz w:val="14"/>
                  <w:szCs w:val="14"/>
                  <w:color w:val="003478"/>
                </w:rPr>
                <w:t>Political and Public Policy Activities</w:t>
              </w:r>
            </w:hyperlink>
          </w:p>
        </w:tc>
        <w:tc>
          <w:tcPr>
            <w:tcW w:w="560" w:type="dxa"/>
            <w:vAlign w:val="bottom"/>
            <w:shd w:val="clear" w:color="auto" w:fill="E4E6EF"/>
          </w:tcPr>
          <w:p>
            <w:pPr>
              <w:jc w:val="right"/>
              <w:ind w:right="128"/>
              <w:spacing w:after="0"/>
              <w:rPr>
                <w:rFonts w:ascii="Arial" w:cs="Arial" w:eastAsia="Arial" w:hAnsi="Arial"/>
                <w:sz w:val="14"/>
                <w:szCs w:val="14"/>
                <w:color w:val="003478"/>
              </w:rPr>
            </w:pPr>
            <w:hyperlink w:anchor="page28">
              <w:r>
                <w:rPr>
                  <w:rFonts w:ascii="Arial" w:cs="Arial" w:eastAsia="Arial" w:hAnsi="Arial"/>
                  <w:sz w:val="14"/>
                  <w:szCs w:val="14"/>
                  <w:color w:val="003478"/>
                </w:rPr>
                <w:t>23</w:t>
              </w:r>
            </w:hyperlink>
          </w:p>
        </w:tc>
      </w:tr>
      <w:tr>
        <w:trPr>
          <w:trHeight w:val="299"/>
        </w:trPr>
        <w:tc>
          <w:tcPr>
            <w:tcW w:w="2740" w:type="dxa"/>
            <w:vAlign w:val="bottom"/>
          </w:tcPr>
          <w:p>
            <w:pPr>
              <w:spacing w:after="0"/>
              <w:rPr>
                <w:rFonts w:ascii="Arial" w:cs="Arial" w:eastAsia="Arial" w:hAnsi="Arial"/>
                <w:sz w:val="14"/>
                <w:szCs w:val="14"/>
                <w:color w:val="003478"/>
              </w:rPr>
            </w:pPr>
            <w:hyperlink w:anchor="page30">
              <w:r>
                <w:rPr>
                  <w:rFonts w:ascii="Arial" w:cs="Arial" w:eastAsia="Arial" w:hAnsi="Arial"/>
                  <w:sz w:val="14"/>
                  <w:szCs w:val="14"/>
                  <w:color w:val="003478"/>
                </w:rPr>
                <w:t>Workforce Diversity and Inclusion/EEO-1</w:t>
              </w:r>
            </w:hyperlink>
          </w:p>
        </w:tc>
        <w:tc>
          <w:tcPr>
            <w:tcW w:w="560" w:type="dxa"/>
            <w:vAlign w:val="bottom"/>
            <w:shd w:val="clear" w:color="auto" w:fill="E4E6EF"/>
          </w:tcPr>
          <w:p>
            <w:pPr>
              <w:spacing w:after="0"/>
              <w:rPr>
                <w:sz w:val="24"/>
                <w:szCs w:val="24"/>
                <w:color w:val="auto"/>
              </w:rPr>
            </w:pPr>
          </w:p>
        </w:tc>
      </w:tr>
      <w:tr>
        <w:trPr>
          <w:trHeight w:val="185"/>
        </w:trPr>
        <w:tc>
          <w:tcPr>
            <w:tcW w:w="2740" w:type="dxa"/>
            <w:vAlign w:val="bottom"/>
          </w:tcPr>
          <w:p>
            <w:pPr>
              <w:spacing w:after="0"/>
              <w:rPr>
                <w:rFonts w:ascii="Arial" w:cs="Arial" w:eastAsia="Arial" w:hAnsi="Arial"/>
                <w:sz w:val="14"/>
                <w:szCs w:val="14"/>
                <w:color w:val="003478"/>
              </w:rPr>
            </w:pPr>
            <w:hyperlink w:anchor="page30">
              <w:r>
                <w:rPr>
                  <w:rFonts w:ascii="Arial" w:cs="Arial" w:eastAsia="Arial" w:hAnsi="Arial"/>
                  <w:sz w:val="14"/>
                  <w:szCs w:val="14"/>
                  <w:color w:val="003478"/>
                </w:rPr>
                <w:t>Information</w:t>
              </w:r>
            </w:hyperlink>
          </w:p>
        </w:tc>
        <w:tc>
          <w:tcPr>
            <w:tcW w:w="560" w:type="dxa"/>
            <w:vAlign w:val="bottom"/>
            <w:shd w:val="clear" w:color="auto" w:fill="E4E6EF"/>
          </w:tcPr>
          <w:p>
            <w:pPr>
              <w:jc w:val="right"/>
              <w:ind w:right="128"/>
              <w:spacing w:after="0"/>
              <w:rPr>
                <w:rFonts w:ascii="Arial" w:cs="Arial" w:eastAsia="Arial" w:hAnsi="Arial"/>
                <w:sz w:val="14"/>
                <w:szCs w:val="14"/>
                <w:color w:val="003478"/>
              </w:rPr>
            </w:pPr>
            <w:hyperlink w:anchor="page30">
              <w:r>
                <w:rPr>
                  <w:rFonts w:ascii="Arial" w:cs="Arial" w:eastAsia="Arial" w:hAnsi="Arial"/>
                  <w:sz w:val="14"/>
                  <w:szCs w:val="14"/>
                  <w:color w:val="003478"/>
                </w:rPr>
                <w:t>25</w:t>
              </w:r>
            </w:hyperlink>
          </w:p>
        </w:tc>
      </w:tr>
      <w:tr>
        <w:trPr>
          <w:trHeight w:val="322"/>
        </w:trPr>
        <w:tc>
          <w:tcPr>
            <w:tcW w:w="2740" w:type="dxa"/>
            <w:vAlign w:val="bottom"/>
          </w:tcPr>
          <w:p>
            <w:pPr>
              <w:spacing w:after="0"/>
              <w:rPr>
                <w:rFonts w:ascii="Arial" w:cs="Arial" w:eastAsia="Arial" w:hAnsi="Arial"/>
                <w:sz w:val="14"/>
                <w:szCs w:val="14"/>
                <w:color w:val="003478"/>
              </w:rPr>
            </w:pPr>
            <w:hyperlink w:anchor="page31">
              <w:r>
                <w:rPr>
                  <w:rFonts w:ascii="Arial" w:cs="Arial" w:eastAsia="Arial" w:hAnsi="Arial"/>
                  <w:sz w:val="14"/>
                  <w:szCs w:val="14"/>
                  <w:color w:val="003478"/>
                </w:rPr>
                <w:t>Our Stockholder Engagement Program</w:t>
              </w:r>
            </w:hyperlink>
          </w:p>
        </w:tc>
        <w:tc>
          <w:tcPr>
            <w:tcW w:w="560" w:type="dxa"/>
            <w:vAlign w:val="bottom"/>
            <w:shd w:val="clear" w:color="auto" w:fill="E4E6EF"/>
          </w:tcPr>
          <w:p>
            <w:pPr>
              <w:jc w:val="right"/>
              <w:ind w:right="128"/>
              <w:spacing w:after="0"/>
              <w:rPr>
                <w:rFonts w:ascii="Arial" w:cs="Arial" w:eastAsia="Arial" w:hAnsi="Arial"/>
                <w:sz w:val="14"/>
                <w:szCs w:val="14"/>
                <w:color w:val="003478"/>
              </w:rPr>
            </w:pPr>
            <w:hyperlink w:anchor="page31">
              <w:r>
                <w:rPr>
                  <w:rFonts w:ascii="Arial" w:cs="Arial" w:eastAsia="Arial" w:hAnsi="Arial"/>
                  <w:sz w:val="14"/>
                  <w:szCs w:val="14"/>
                  <w:color w:val="003478"/>
                </w:rPr>
                <w:t>26</w:t>
              </w:r>
            </w:hyperlink>
          </w:p>
        </w:tc>
      </w:tr>
      <w:tr>
        <w:trPr>
          <w:trHeight w:val="299"/>
        </w:trPr>
        <w:tc>
          <w:tcPr>
            <w:tcW w:w="2740" w:type="dxa"/>
            <w:vAlign w:val="bottom"/>
          </w:tcPr>
          <w:p>
            <w:pPr>
              <w:spacing w:after="0"/>
              <w:rPr>
                <w:rFonts w:ascii="Arial" w:cs="Arial" w:eastAsia="Arial" w:hAnsi="Arial"/>
                <w:sz w:val="14"/>
                <w:szCs w:val="14"/>
                <w:color w:val="003478"/>
              </w:rPr>
            </w:pPr>
            <w:hyperlink w:anchor="page33">
              <w:r>
                <w:rPr>
                  <w:rFonts w:ascii="Arial" w:cs="Arial" w:eastAsia="Arial" w:hAnsi="Arial"/>
                  <w:sz w:val="14"/>
                  <w:szCs w:val="14"/>
                  <w:color w:val="003478"/>
                </w:rPr>
                <w:t>Director Overboarding Policy and</w:t>
              </w:r>
            </w:hyperlink>
          </w:p>
        </w:tc>
        <w:tc>
          <w:tcPr>
            <w:tcW w:w="560" w:type="dxa"/>
            <w:vAlign w:val="bottom"/>
            <w:shd w:val="clear" w:color="auto" w:fill="E4E6EF"/>
          </w:tcPr>
          <w:p>
            <w:pPr>
              <w:spacing w:after="0"/>
              <w:rPr>
                <w:sz w:val="24"/>
                <w:szCs w:val="24"/>
                <w:color w:val="auto"/>
              </w:rPr>
            </w:pPr>
          </w:p>
        </w:tc>
      </w:tr>
      <w:tr>
        <w:trPr>
          <w:trHeight w:val="185"/>
        </w:trPr>
        <w:tc>
          <w:tcPr>
            <w:tcW w:w="2740" w:type="dxa"/>
            <w:vAlign w:val="bottom"/>
          </w:tcPr>
          <w:p>
            <w:pPr>
              <w:spacing w:after="0"/>
              <w:rPr>
                <w:rFonts w:ascii="Arial" w:cs="Arial" w:eastAsia="Arial" w:hAnsi="Arial"/>
                <w:sz w:val="14"/>
                <w:szCs w:val="14"/>
                <w:color w:val="003478"/>
              </w:rPr>
            </w:pPr>
            <w:hyperlink w:anchor="page33">
              <w:r>
                <w:rPr>
                  <w:rFonts w:ascii="Arial" w:cs="Arial" w:eastAsia="Arial" w:hAnsi="Arial"/>
                  <w:sz w:val="14"/>
                  <w:szCs w:val="14"/>
                  <w:color w:val="003478"/>
                </w:rPr>
                <w:t>Oversight</w:t>
              </w:r>
            </w:hyperlink>
          </w:p>
        </w:tc>
        <w:tc>
          <w:tcPr>
            <w:tcW w:w="560" w:type="dxa"/>
            <w:vAlign w:val="bottom"/>
            <w:shd w:val="clear" w:color="auto" w:fill="E4E6EF"/>
          </w:tcPr>
          <w:p>
            <w:pPr>
              <w:jc w:val="right"/>
              <w:ind w:right="128"/>
              <w:spacing w:after="0"/>
              <w:rPr>
                <w:rFonts w:ascii="Arial" w:cs="Arial" w:eastAsia="Arial" w:hAnsi="Arial"/>
                <w:sz w:val="14"/>
                <w:szCs w:val="14"/>
                <w:color w:val="003478"/>
              </w:rPr>
            </w:pPr>
            <w:hyperlink w:anchor="page33">
              <w:r>
                <w:rPr>
                  <w:rFonts w:ascii="Arial" w:cs="Arial" w:eastAsia="Arial" w:hAnsi="Arial"/>
                  <w:sz w:val="14"/>
                  <w:szCs w:val="14"/>
                  <w:color w:val="003478"/>
                </w:rPr>
                <w:t>27</w:t>
              </w:r>
            </w:hyperlink>
          </w:p>
        </w:tc>
      </w:tr>
      <w:tr>
        <w:trPr>
          <w:trHeight w:val="296"/>
        </w:trPr>
        <w:tc>
          <w:tcPr>
            <w:tcW w:w="2740" w:type="dxa"/>
            <w:vAlign w:val="bottom"/>
          </w:tcPr>
          <w:p>
            <w:pPr>
              <w:spacing w:after="0"/>
              <w:rPr>
                <w:rFonts w:ascii="Arial" w:cs="Arial" w:eastAsia="Arial" w:hAnsi="Arial"/>
                <w:sz w:val="14"/>
                <w:szCs w:val="14"/>
                <w:color w:val="003478"/>
              </w:rPr>
            </w:pPr>
            <w:hyperlink w:anchor="page36">
              <w:r>
                <w:rPr>
                  <w:rFonts w:ascii="Arial" w:cs="Arial" w:eastAsia="Arial" w:hAnsi="Arial"/>
                  <w:sz w:val="14"/>
                  <w:szCs w:val="14"/>
                  <w:color w:val="003478"/>
                </w:rPr>
                <w:t>Stockholder Right to Call Special Meeting</w:t>
              </w:r>
            </w:hyperlink>
          </w:p>
        </w:tc>
        <w:tc>
          <w:tcPr>
            <w:tcW w:w="560" w:type="dxa"/>
            <w:vAlign w:val="bottom"/>
            <w:shd w:val="clear" w:color="auto" w:fill="E4E6EF"/>
          </w:tcPr>
          <w:p>
            <w:pPr>
              <w:jc w:val="right"/>
              <w:ind w:right="128"/>
              <w:spacing w:after="0"/>
              <w:rPr>
                <w:rFonts w:ascii="Arial" w:cs="Arial" w:eastAsia="Arial" w:hAnsi="Arial"/>
                <w:sz w:val="14"/>
                <w:szCs w:val="14"/>
                <w:color w:val="003478"/>
              </w:rPr>
            </w:pPr>
            <w:hyperlink w:anchor="page36">
              <w:r>
                <w:rPr>
                  <w:rFonts w:ascii="Arial" w:cs="Arial" w:eastAsia="Arial" w:hAnsi="Arial"/>
                  <w:sz w:val="14"/>
                  <w:szCs w:val="14"/>
                  <w:color w:val="003478"/>
                </w:rPr>
                <w:t>30</w:t>
              </w:r>
            </w:hyperlink>
          </w:p>
        </w:tc>
      </w:tr>
      <w:tr>
        <w:trPr>
          <w:trHeight w:val="322"/>
        </w:trPr>
        <w:tc>
          <w:tcPr>
            <w:tcW w:w="2740" w:type="dxa"/>
            <w:vAlign w:val="bottom"/>
          </w:tcPr>
          <w:p>
            <w:pPr>
              <w:spacing w:after="0"/>
              <w:rPr>
                <w:rFonts w:ascii="Arial" w:cs="Arial" w:eastAsia="Arial" w:hAnsi="Arial"/>
                <w:sz w:val="14"/>
                <w:szCs w:val="14"/>
                <w:color w:val="003478"/>
              </w:rPr>
            </w:pPr>
            <w:hyperlink w:anchor="page37">
              <w:r>
                <w:rPr>
                  <w:rFonts w:ascii="Arial" w:cs="Arial" w:eastAsia="Arial" w:hAnsi="Arial"/>
                  <w:sz w:val="14"/>
                  <w:szCs w:val="14"/>
                  <w:color w:val="003478"/>
                </w:rPr>
                <w:t>Climate &amp; Environmental Stewardship</w:t>
              </w:r>
            </w:hyperlink>
          </w:p>
        </w:tc>
        <w:tc>
          <w:tcPr>
            <w:tcW w:w="560" w:type="dxa"/>
            <w:vAlign w:val="bottom"/>
            <w:shd w:val="clear" w:color="auto" w:fill="E4E6EF"/>
          </w:tcPr>
          <w:p>
            <w:pPr>
              <w:jc w:val="right"/>
              <w:ind w:right="128"/>
              <w:spacing w:after="0"/>
              <w:rPr>
                <w:rFonts w:ascii="Arial" w:cs="Arial" w:eastAsia="Arial" w:hAnsi="Arial"/>
                <w:sz w:val="14"/>
                <w:szCs w:val="14"/>
                <w:color w:val="003478"/>
              </w:rPr>
            </w:pPr>
            <w:hyperlink w:anchor="page37">
              <w:r>
                <w:rPr>
                  <w:rFonts w:ascii="Arial" w:cs="Arial" w:eastAsia="Arial" w:hAnsi="Arial"/>
                  <w:sz w:val="14"/>
                  <w:szCs w:val="14"/>
                  <w:color w:val="003478"/>
                </w:rPr>
                <w:t>32</w:t>
              </w:r>
            </w:hyperlink>
          </w:p>
        </w:tc>
      </w:tr>
      <w:tr>
        <w:trPr>
          <w:trHeight w:val="376"/>
        </w:trPr>
        <w:tc>
          <w:tcPr>
            <w:tcW w:w="2740" w:type="dxa"/>
            <w:vAlign w:val="bottom"/>
          </w:tcPr>
          <w:p>
            <w:pPr>
              <w:spacing w:after="0"/>
              <w:rPr>
                <w:rFonts w:ascii="Arial" w:cs="Arial" w:eastAsia="Arial" w:hAnsi="Arial"/>
                <w:sz w:val="14"/>
                <w:szCs w:val="14"/>
                <w:color w:val="003478"/>
              </w:rPr>
            </w:pPr>
            <w:hyperlink w:anchor="page42">
              <w:r>
                <w:rPr>
                  <w:rFonts w:ascii="Arial" w:cs="Arial" w:eastAsia="Arial" w:hAnsi="Arial"/>
                  <w:sz w:val="14"/>
                  <w:szCs w:val="14"/>
                  <w:color w:val="003478"/>
                </w:rPr>
                <w:t>Compensation Discussion and Analysis</w:t>
              </w:r>
            </w:hyperlink>
          </w:p>
        </w:tc>
        <w:tc>
          <w:tcPr>
            <w:tcW w:w="560" w:type="dxa"/>
            <w:vAlign w:val="bottom"/>
            <w:shd w:val="clear" w:color="auto" w:fill="E4E6EF"/>
          </w:tcPr>
          <w:p>
            <w:pPr>
              <w:jc w:val="right"/>
              <w:ind w:right="128"/>
              <w:spacing w:after="0"/>
              <w:rPr>
                <w:rFonts w:ascii="Arial" w:cs="Arial" w:eastAsia="Arial" w:hAnsi="Arial"/>
                <w:sz w:val="14"/>
                <w:szCs w:val="14"/>
                <w:color w:val="003478"/>
              </w:rPr>
            </w:pPr>
            <w:hyperlink w:anchor="page42">
              <w:r>
                <w:rPr>
                  <w:rFonts w:ascii="Arial" w:cs="Arial" w:eastAsia="Arial" w:hAnsi="Arial"/>
                  <w:sz w:val="14"/>
                  <w:szCs w:val="14"/>
                  <w:color w:val="003478"/>
                </w:rPr>
                <w:t>37</w:t>
              </w:r>
            </w:hyperlink>
          </w:p>
        </w:tc>
      </w:tr>
      <w:tr>
        <w:trPr>
          <w:trHeight w:val="322"/>
        </w:trPr>
        <w:tc>
          <w:tcPr>
            <w:tcW w:w="2740" w:type="dxa"/>
            <w:vAlign w:val="bottom"/>
          </w:tcPr>
          <w:p>
            <w:pPr>
              <w:spacing w:after="0"/>
              <w:rPr>
                <w:rFonts w:ascii="Arial" w:cs="Arial" w:eastAsia="Arial" w:hAnsi="Arial"/>
                <w:sz w:val="14"/>
                <w:szCs w:val="14"/>
                <w:color w:val="003478"/>
              </w:rPr>
            </w:pPr>
            <w:hyperlink w:anchor="page74">
              <w:r>
                <w:rPr>
                  <w:rFonts w:ascii="Arial" w:cs="Arial" w:eastAsia="Arial" w:hAnsi="Arial"/>
                  <w:sz w:val="14"/>
                  <w:szCs w:val="14"/>
                  <w:color w:val="003478"/>
                </w:rPr>
                <w:t>CEO Pay Ratio</w:t>
              </w:r>
            </w:hyperlink>
          </w:p>
        </w:tc>
        <w:tc>
          <w:tcPr>
            <w:tcW w:w="560" w:type="dxa"/>
            <w:vAlign w:val="bottom"/>
            <w:shd w:val="clear" w:color="auto" w:fill="E4E6EF"/>
          </w:tcPr>
          <w:p>
            <w:pPr>
              <w:jc w:val="right"/>
              <w:ind w:right="128"/>
              <w:spacing w:after="0"/>
              <w:rPr>
                <w:rFonts w:ascii="Arial" w:cs="Arial" w:eastAsia="Arial" w:hAnsi="Arial"/>
                <w:sz w:val="14"/>
                <w:szCs w:val="14"/>
                <w:color w:val="003478"/>
              </w:rPr>
            </w:pPr>
            <w:hyperlink w:anchor="page74">
              <w:r>
                <w:rPr>
                  <w:rFonts w:ascii="Arial" w:cs="Arial" w:eastAsia="Arial" w:hAnsi="Arial"/>
                  <w:sz w:val="14"/>
                  <w:szCs w:val="14"/>
                  <w:color w:val="003478"/>
                </w:rPr>
                <w:t>69</w:t>
              </w:r>
            </w:hyperlink>
          </w:p>
        </w:tc>
      </w:tr>
      <w:tr>
        <w:trPr>
          <w:trHeight w:val="322"/>
        </w:trPr>
        <w:tc>
          <w:tcPr>
            <w:tcW w:w="2740" w:type="dxa"/>
            <w:vAlign w:val="bottom"/>
          </w:tcPr>
          <w:p>
            <w:pPr>
              <w:spacing w:after="0"/>
              <w:rPr>
                <w:rFonts w:ascii="Arial" w:cs="Arial" w:eastAsia="Arial" w:hAnsi="Arial"/>
                <w:sz w:val="14"/>
                <w:szCs w:val="14"/>
                <w:color w:val="003478"/>
              </w:rPr>
            </w:pPr>
            <w:hyperlink w:anchor="page75">
              <w:r>
                <w:rPr>
                  <w:rFonts w:ascii="Arial" w:cs="Arial" w:eastAsia="Arial" w:hAnsi="Arial"/>
                  <w:sz w:val="14"/>
                  <w:szCs w:val="14"/>
                  <w:color w:val="003478"/>
                </w:rPr>
                <w:t>Director Compensation</w:t>
              </w:r>
            </w:hyperlink>
          </w:p>
        </w:tc>
        <w:tc>
          <w:tcPr>
            <w:tcW w:w="560" w:type="dxa"/>
            <w:vAlign w:val="bottom"/>
            <w:shd w:val="clear" w:color="auto" w:fill="E4E6EF"/>
          </w:tcPr>
          <w:p>
            <w:pPr>
              <w:jc w:val="right"/>
              <w:ind w:right="128"/>
              <w:spacing w:after="0"/>
              <w:rPr>
                <w:rFonts w:ascii="Arial" w:cs="Arial" w:eastAsia="Arial" w:hAnsi="Arial"/>
                <w:sz w:val="14"/>
                <w:szCs w:val="14"/>
                <w:color w:val="003478"/>
              </w:rPr>
            </w:pPr>
            <w:hyperlink w:anchor="page75">
              <w:r>
                <w:rPr>
                  <w:rFonts w:ascii="Arial" w:cs="Arial" w:eastAsia="Arial" w:hAnsi="Arial"/>
                  <w:sz w:val="14"/>
                  <w:szCs w:val="14"/>
                  <w:color w:val="003478"/>
                </w:rPr>
                <w:t>70</w:t>
              </w:r>
            </w:hyperlink>
          </w:p>
        </w:tc>
      </w:tr>
      <w:tr>
        <w:trPr>
          <w:trHeight w:val="309"/>
        </w:trPr>
        <w:tc>
          <w:tcPr>
            <w:tcW w:w="2740" w:type="dxa"/>
            <w:vAlign w:val="bottom"/>
          </w:tcPr>
          <w:p>
            <w:pPr>
              <w:spacing w:after="0"/>
              <w:rPr>
                <w:rFonts w:ascii="Arial" w:cs="Arial" w:eastAsia="Arial" w:hAnsi="Arial"/>
                <w:sz w:val="14"/>
                <w:szCs w:val="14"/>
                <w:color w:val="003478"/>
              </w:rPr>
            </w:pPr>
            <w:hyperlink w:anchor="page84">
              <w:r>
                <w:rPr>
                  <w:rFonts w:ascii="Arial" w:cs="Arial" w:eastAsia="Arial" w:hAnsi="Arial"/>
                  <w:sz w:val="14"/>
                  <w:szCs w:val="14"/>
                  <w:color w:val="003478"/>
                </w:rPr>
                <w:t>Human Rights</w:t>
              </w:r>
            </w:hyperlink>
          </w:p>
        </w:tc>
        <w:tc>
          <w:tcPr>
            <w:tcW w:w="560" w:type="dxa"/>
            <w:vAlign w:val="bottom"/>
            <w:shd w:val="clear" w:color="auto" w:fill="E4E6EF"/>
          </w:tcPr>
          <w:p>
            <w:pPr>
              <w:jc w:val="right"/>
              <w:ind w:right="128"/>
              <w:spacing w:after="0"/>
              <w:rPr>
                <w:rFonts w:ascii="Arial" w:cs="Arial" w:eastAsia="Arial" w:hAnsi="Arial"/>
                <w:sz w:val="14"/>
                <w:szCs w:val="14"/>
                <w:color w:val="003478"/>
              </w:rPr>
            </w:pPr>
            <w:hyperlink w:anchor="page84">
              <w:r>
                <w:rPr>
                  <w:rFonts w:ascii="Arial" w:cs="Arial" w:eastAsia="Arial" w:hAnsi="Arial"/>
                  <w:sz w:val="14"/>
                  <w:szCs w:val="14"/>
                  <w:color w:val="003478"/>
                </w:rPr>
                <w:t>79</w:t>
              </w:r>
            </w:hyperlink>
          </w:p>
        </w:tc>
      </w:tr>
      <w:tr>
        <w:trPr>
          <w:trHeight w:val="92"/>
        </w:trPr>
        <w:tc>
          <w:tcPr>
            <w:tcW w:w="2740" w:type="dxa"/>
            <w:vAlign w:val="bottom"/>
          </w:tcPr>
          <w:p>
            <w:pPr>
              <w:spacing w:after="0"/>
              <w:rPr>
                <w:sz w:val="8"/>
                <w:szCs w:val="8"/>
                <w:color w:val="auto"/>
              </w:rPr>
            </w:pPr>
          </w:p>
        </w:tc>
        <w:tc>
          <w:tcPr>
            <w:tcW w:w="560" w:type="dxa"/>
            <w:vAlign w:val="bottom"/>
            <w:shd w:val="clear" w:color="auto" w:fill="E4E6EF"/>
          </w:tcPr>
          <w:p>
            <w:pPr>
              <w:spacing w:after="0"/>
              <w:rPr>
                <w:sz w:val="8"/>
                <w:szCs w:val="8"/>
                <w:color w:val="auto"/>
              </w:rPr>
            </w:pPr>
          </w:p>
        </w:tc>
      </w:tr>
    </w:tbl>
    <w:p>
      <w:pPr>
        <w:sectPr>
          <w:pgSz w:w="11900" w:h="16838" w:orient="portrait"/>
          <w:cols w:equalWidth="0" w:num="3">
            <w:col w:w="3480" w:space="340"/>
            <w:col w:w="3480" w:space="520"/>
            <w:col w:w="3300"/>
          </w:cols>
          <w:pgMar w:left="320" w:top="1334" w:right="45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43"/>
          <w:szCs w:val="43"/>
          <w:color w:val="003478"/>
        </w:rPr>
        <w:t>Lockheed Martin. Your Mission is Ours.</w:t>
      </w:r>
      <w:r>
        <w:rPr>
          <w:rFonts w:ascii="Arial" w:cs="Arial" w:eastAsia="Arial" w:hAnsi="Arial"/>
          <w:sz w:val="55"/>
          <w:szCs w:val="55"/>
          <w:color w:val="003478"/>
          <w:vertAlign w:val="superscript"/>
        </w:rPr>
        <w:t>®</w:t>
      </w:r>
    </w:p>
    <w:p>
      <w:pPr>
        <w:spacing w:after="0" w:line="98"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Lockheed Martin Corporation (the Company) (NYSE: LMT) is a global security and aerospace company principally involved in the research, design, development, manufacture, integration and sustainment of advanced technology systems,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1898650</wp:posOffset>
            </wp:positionH>
            <wp:positionV relativeFrom="paragraph">
              <wp:posOffset>70485</wp:posOffset>
            </wp:positionV>
            <wp:extent cx="8255" cy="29178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55" cy="2917825"/>
                    </a:xfrm>
                    <a:prstGeom prst="rect">
                      <a:avLst/>
                    </a:prstGeom>
                    <a:noFill/>
                  </pic:spPr>
                </pic:pic>
              </a:graphicData>
            </a:graphic>
          </wp:anchor>
        </w:drawing>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301"/>
        </w:trPr>
        <w:tc>
          <w:tcPr>
            <w:tcW w:w="2900" w:type="dxa"/>
            <w:vAlign w:val="bottom"/>
          </w:tcPr>
          <w:p>
            <w:pPr>
              <w:spacing w:after="0"/>
              <w:rPr>
                <w:sz w:val="20"/>
                <w:szCs w:val="20"/>
                <w:color w:val="auto"/>
              </w:rPr>
            </w:pPr>
            <w:r>
              <w:rPr>
                <w:rFonts w:ascii="Arial" w:cs="Arial" w:eastAsia="Arial" w:hAnsi="Arial"/>
                <w:sz w:val="25"/>
                <w:szCs w:val="25"/>
                <w:color w:val="818EB4"/>
              </w:rPr>
              <w:t>People</w:t>
            </w:r>
          </w:p>
        </w:tc>
        <w:tc>
          <w:tcPr>
            <w:tcW w:w="1520" w:type="dxa"/>
            <w:vAlign w:val="bottom"/>
          </w:tcPr>
          <w:p>
            <w:pPr>
              <w:ind w:left="200"/>
              <w:spacing w:after="0"/>
              <w:rPr>
                <w:sz w:val="20"/>
                <w:szCs w:val="20"/>
                <w:color w:val="auto"/>
              </w:rPr>
            </w:pPr>
            <w:r>
              <w:rPr>
                <w:rFonts w:ascii="Arial" w:cs="Arial" w:eastAsia="Arial" w:hAnsi="Arial"/>
                <w:sz w:val="25"/>
                <w:szCs w:val="25"/>
                <w:color w:val="818EB4"/>
              </w:rPr>
              <w:t>Footprint</w:t>
            </w:r>
          </w:p>
        </w:tc>
      </w:tr>
      <w:tr>
        <w:trPr>
          <w:trHeight w:val="350"/>
        </w:trPr>
        <w:tc>
          <w:tcPr>
            <w:tcW w:w="2900" w:type="dxa"/>
            <w:vAlign w:val="bottom"/>
          </w:tcPr>
          <w:p>
            <w:pPr>
              <w:ind w:left="780"/>
              <w:spacing w:after="0"/>
              <w:rPr>
                <w:sz w:val="20"/>
                <w:szCs w:val="20"/>
                <w:color w:val="auto"/>
              </w:rPr>
            </w:pPr>
            <w:r>
              <w:rPr>
                <w:rFonts w:ascii="Arial" w:cs="Arial" w:eastAsia="Arial" w:hAnsi="Arial"/>
                <w:sz w:val="29"/>
                <w:szCs w:val="29"/>
                <w:color w:val="002E6D"/>
              </w:rPr>
              <w:t>114,000</w:t>
            </w:r>
          </w:p>
        </w:tc>
        <w:tc>
          <w:tcPr>
            <w:tcW w:w="1520" w:type="dxa"/>
            <w:vAlign w:val="bottom"/>
          </w:tcPr>
          <w:p>
            <w:pPr>
              <w:ind w:left="200"/>
              <w:spacing w:after="0"/>
              <w:rPr>
                <w:sz w:val="20"/>
                <w:szCs w:val="20"/>
                <w:color w:val="auto"/>
              </w:rPr>
            </w:pPr>
            <w:r>
              <w:rPr>
                <w:rFonts w:ascii="Arial" w:cs="Arial" w:eastAsia="Arial" w:hAnsi="Arial"/>
                <w:sz w:val="29"/>
                <w:szCs w:val="29"/>
                <w:color w:val="012E6D"/>
              </w:rPr>
              <w:t>372</w:t>
            </w:r>
          </w:p>
        </w:tc>
      </w:tr>
      <w:tr>
        <w:trPr>
          <w:trHeight w:val="231"/>
        </w:trPr>
        <w:tc>
          <w:tcPr>
            <w:tcW w:w="2900" w:type="dxa"/>
            <w:vAlign w:val="bottom"/>
          </w:tcPr>
          <w:p>
            <w:pPr>
              <w:ind w:left="780"/>
              <w:spacing w:after="0"/>
              <w:rPr>
                <w:sz w:val="20"/>
                <w:szCs w:val="20"/>
                <w:color w:val="auto"/>
              </w:rPr>
            </w:pPr>
            <w:r>
              <w:rPr>
                <w:rFonts w:ascii="Arial" w:cs="Arial" w:eastAsia="Arial" w:hAnsi="Arial"/>
                <w:sz w:val="17"/>
                <w:szCs w:val="17"/>
                <w:color w:val="auto"/>
              </w:rPr>
              <w:t>Total Employees</w:t>
            </w:r>
          </w:p>
        </w:tc>
        <w:tc>
          <w:tcPr>
            <w:tcW w:w="1520" w:type="dxa"/>
            <w:vAlign w:val="bottom"/>
          </w:tcPr>
          <w:p>
            <w:pPr>
              <w:ind w:left="200"/>
              <w:spacing w:after="0"/>
              <w:rPr>
                <w:sz w:val="20"/>
                <w:szCs w:val="20"/>
                <w:color w:val="auto"/>
              </w:rPr>
            </w:pPr>
            <w:r>
              <w:rPr>
                <w:rFonts w:ascii="Arial" w:cs="Arial" w:eastAsia="Arial" w:hAnsi="Arial"/>
                <w:sz w:val="17"/>
                <w:szCs w:val="17"/>
                <w:color w:val="auto"/>
                <w:w w:val="98"/>
              </w:rPr>
              <w:t>Facilities Globally</w:t>
            </w:r>
          </w:p>
        </w:tc>
      </w:tr>
      <w:tr>
        <w:trPr>
          <w:trHeight w:val="763"/>
        </w:trPr>
        <w:tc>
          <w:tcPr>
            <w:tcW w:w="2900" w:type="dxa"/>
            <w:vAlign w:val="bottom"/>
          </w:tcPr>
          <w:p>
            <w:pPr>
              <w:ind w:left="780"/>
              <w:spacing w:after="0"/>
              <w:rPr>
                <w:sz w:val="20"/>
                <w:szCs w:val="20"/>
                <w:color w:val="auto"/>
              </w:rPr>
            </w:pPr>
            <w:r>
              <w:rPr>
                <w:rFonts w:ascii="Arial" w:cs="Arial" w:eastAsia="Arial" w:hAnsi="Arial"/>
                <w:sz w:val="29"/>
                <w:szCs w:val="29"/>
                <w:color w:val="002E6D"/>
              </w:rPr>
              <w:t>7,500+</w:t>
            </w:r>
          </w:p>
        </w:tc>
        <w:tc>
          <w:tcPr>
            <w:tcW w:w="1520" w:type="dxa"/>
            <w:vAlign w:val="bottom"/>
          </w:tcPr>
          <w:p>
            <w:pPr>
              <w:spacing w:after="0"/>
              <w:rPr>
                <w:sz w:val="24"/>
                <w:szCs w:val="24"/>
                <w:color w:val="auto"/>
              </w:rPr>
            </w:pPr>
          </w:p>
        </w:tc>
      </w:tr>
      <w:tr>
        <w:trPr>
          <w:trHeight w:val="204"/>
        </w:trPr>
        <w:tc>
          <w:tcPr>
            <w:tcW w:w="2900" w:type="dxa"/>
            <w:vAlign w:val="bottom"/>
          </w:tcPr>
          <w:p>
            <w:pPr>
              <w:ind w:left="780"/>
              <w:spacing w:after="0"/>
              <w:rPr>
                <w:sz w:val="20"/>
                <w:szCs w:val="20"/>
                <w:color w:val="auto"/>
              </w:rPr>
            </w:pPr>
            <w:r>
              <w:rPr>
                <w:rFonts w:ascii="Arial" w:cs="Arial" w:eastAsia="Arial" w:hAnsi="Arial"/>
                <w:sz w:val="17"/>
                <w:szCs w:val="17"/>
                <w:color w:val="auto"/>
              </w:rPr>
              <w:t>International Employees</w:t>
            </w:r>
          </w:p>
        </w:tc>
        <w:tc>
          <w:tcPr>
            <w:tcW w:w="1520" w:type="dxa"/>
            <w:vAlign w:val="bottom"/>
          </w:tcPr>
          <w:p>
            <w:pPr>
              <w:spacing w:after="0"/>
              <w:rPr>
                <w:sz w:val="17"/>
                <w:szCs w:val="17"/>
                <w:color w:val="auto"/>
              </w:rPr>
            </w:pPr>
          </w:p>
        </w:tc>
      </w:tr>
      <w:tr>
        <w:trPr>
          <w:trHeight w:val="671"/>
        </w:trPr>
        <w:tc>
          <w:tcPr>
            <w:tcW w:w="2900" w:type="dxa"/>
            <w:vAlign w:val="bottom"/>
          </w:tcPr>
          <w:p>
            <w:pPr>
              <w:ind w:left="780"/>
              <w:spacing w:after="0"/>
              <w:rPr>
                <w:sz w:val="20"/>
                <w:szCs w:val="20"/>
                <w:color w:val="auto"/>
              </w:rPr>
            </w:pPr>
            <w:r>
              <w:rPr>
                <w:rFonts w:ascii="Arial" w:cs="Arial" w:eastAsia="Arial" w:hAnsi="Arial"/>
                <w:sz w:val="17"/>
                <w:szCs w:val="17"/>
                <w:color w:val="auto"/>
              </w:rPr>
              <w:t>Nearly</w:t>
            </w:r>
          </w:p>
        </w:tc>
        <w:tc>
          <w:tcPr>
            <w:tcW w:w="1520" w:type="dxa"/>
            <w:vAlign w:val="bottom"/>
          </w:tcPr>
          <w:p>
            <w:pPr>
              <w:spacing w:after="0"/>
              <w:rPr>
                <w:sz w:val="24"/>
                <w:szCs w:val="24"/>
                <w:color w:val="auto"/>
              </w:rPr>
            </w:pPr>
          </w:p>
        </w:tc>
      </w:tr>
      <w:tr>
        <w:trPr>
          <w:trHeight w:val="334"/>
        </w:trPr>
        <w:tc>
          <w:tcPr>
            <w:tcW w:w="2900" w:type="dxa"/>
            <w:vAlign w:val="bottom"/>
          </w:tcPr>
          <w:p>
            <w:pPr>
              <w:ind w:left="780"/>
              <w:spacing w:after="0"/>
              <w:rPr>
                <w:sz w:val="20"/>
                <w:szCs w:val="20"/>
                <w:color w:val="auto"/>
              </w:rPr>
            </w:pPr>
            <w:r>
              <w:rPr>
                <w:rFonts w:ascii="Arial" w:cs="Arial" w:eastAsia="Arial" w:hAnsi="Arial"/>
                <w:sz w:val="29"/>
                <w:szCs w:val="29"/>
                <w:color w:val="002E6D"/>
              </w:rPr>
              <w:t>60,000</w:t>
            </w:r>
          </w:p>
        </w:tc>
        <w:tc>
          <w:tcPr>
            <w:tcW w:w="1520" w:type="dxa"/>
            <w:vAlign w:val="bottom"/>
          </w:tcPr>
          <w:p>
            <w:pPr>
              <w:spacing w:after="0"/>
              <w:rPr>
                <w:sz w:val="24"/>
                <w:szCs w:val="24"/>
                <w:color w:val="auto"/>
              </w:rPr>
            </w:pPr>
          </w:p>
        </w:tc>
      </w:tr>
      <w:tr>
        <w:trPr>
          <w:trHeight w:val="202"/>
        </w:trPr>
        <w:tc>
          <w:tcPr>
            <w:tcW w:w="2900" w:type="dxa"/>
            <w:vAlign w:val="bottom"/>
          </w:tcPr>
          <w:p>
            <w:pPr>
              <w:ind w:left="780"/>
              <w:spacing w:after="0"/>
              <w:rPr>
                <w:sz w:val="20"/>
                <w:szCs w:val="20"/>
                <w:color w:val="auto"/>
              </w:rPr>
            </w:pPr>
            <w:r>
              <w:rPr>
                <w:rFonts w:ascii="Arial" w:cs="Arial" w:eastAsia="Arial" w:hAnsi="Arial"/>
                <w:sz w:val="17"/>
                <w:szCs w:val="17"/>
                <w:color w:val="auto"/>
              </w:rPr>
              <w:t>Engineers, Scientists and</w:t>
            </w:r>
          </w:p>
        </w:tc>
        <w:tc>
          <w:tcPr>
            <w:tcW w:w="1520" w:type="dxa"/>
            <w:vAlign w:val="bottom"/>
          </w:tcPr>
          <w:p>
            <w:pPr>
              <w:spacing w:after="0"/>
              <w:rPr>
                <w:sz w:val="17"/>
                <w:szCs w:val="17"/>
                <w:color w:val="auto"/>
              </w:rPr>
            </w:pPr>
          </w:p>
        </w:tc>
      </w:tr>
      <w:tr>
        <w:trPr>
          <w:trHeight w:val="204"/>
        </w:trPr>
        <w:tc>
          <w:tcPr>
            <w:tcW w:w="2900" w:type="dxa"/>
            <w:vAlign w:val="bottom"/>
          </w:tcPr>
          <w:p>
            <w:pPr>
              <w:ind w:left="780"/>
              <w:spacing w:after="0"/>
              <w:rPr>
                <w:sz w:val="20"/>
                <w:szCs w:val="20"/>
                <w:color w:val="auto"/>
              </w:rPr>
            </w:pPr>
            <w:r>
              <w:rPr>
                <w:rFonts w:ascii="Arial" w:cs="Arial" w:eastAsia="Arial" w:hAnsi="Arial"/>
                <w:sz w:val="17"/>
                <w:szCs w:val="17"/>
                <w:color w:val="auto"/>
              </w:rPr>
              <w:t>Technologists</w:t>
            </w:r>
          </w:p>
        </w:tc>
        <w:tc>
          <w:tcPr>
            <w:tcW w:w="15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-1805940</wp:posOffset>
            </wp:positionV>
            <wp:extent cx="315595" cy="315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5595" cy="315595"/>
                    </a:xfrm>
                    <a:prstGeom prst="rect">
                      <a:avLst/>
                    </a:prstGeom>
                    <a:noFill/>
                  </pic:spPr>
                </pic:pic>
              </a:graphicData>
            </a:graphic>
          </wp:anchor>
        </w:drawing>
        <w:drawing>
          <wp:anchor simplePos="0" relativeHeight="251657728" behindDoc="1" locked="0" layoutInCell="0" allowOverlap="1">
            <wp:simplePos x="0" y="0"/>
            <wp:positionH relativeFrom="column">
              <wp:posOffset>1984375</wp:posOffset>
            </wp:positionH>
            <wp:positionV relativeFrom="paragraph">
              <wp:posOffset>-1507490</wp:posOffset>
            </wp:positionV>
            <wp:extent cx="4257675" cy="22783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57675" cy="227838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-1165860</wp:posOffset>
            </wp:positionV>
            <wp:extent cx="307340" cy="3073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07340" cy="30734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-466090</wp:posOffset>
            </wp:positionV>
            <wp:extent cx="315595" cy="315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5595" cy="315595"/>
                    </a:xfrm>
                    <a:prstGeom prst="rect">
                      <a:avLst/>
                    </a:prstGeom>
                    <a:noFill/>
                  </pic:spPr>
                </pic:pic>
              </a:graphicData>
            </a:graphic>
          </wp:anchor>
        </w:drawing>
      </w:r>
    </w:p>
    <w:p>
      <w:pPr>
        <w:spacing w:after="0" w:line="246" w:lineRule="exact"/>
        <w:rPr>
          <w:sz w:val="20"/>
          <w:szCs w:val="20"/>
          <w:color w:val="auto"/>
        </w:rPr>
      </w:pPr>
    </w:p>
    <w:p>
      <w:pPr>
        <w:ind w:left="800"/>
        <w:spacing w:after="0"/>
        <w:rPr>
          <w:sz w:val="20"/>
          <w:szCs w:val="20"/>
          <w:color w:val="auto"/>
        </w:rPr>
      </w:pPr>
      <w:r>
        <w:rPr>
          <w:rFonts w:ascii="Arial" w:cs="Arial" w:eastAsia="Arial" w:hAnsi="Arial"/>
          <w:sz w:val="17"/>
          <w:szCs w:val="17"/>
          <w:color w:val="auto"/>
        </w:rPr>
        <w:t>More than</w:t>
      </w:r>
    </w:p>
    <w:p>
      <w:pPr>
        <w:spacing w:after="0" w:line="8" w:lineRule="exact"/>
        <w:rPr>
          <w:sz w:val="20"/>
          <w:szCs w:val="20"/>
          <w:color w:val="auto"/>
        </w:rPr>
      </w:pPr>
    </w:p>
    <w:p>
      <w:pPr>
        <w:ind w:left="800"/>
        <w:spacing w:after="0"/>
        <w:rPr>
          <w:sz w:val="20"/>
          <w:szCs w:val="20"/>
          <w:color w:val="auto"/>
        </w:rPr>
      </w:pPr>
      <w:r>
        <w:rPr>
          <w:rFonts w:ascii="Arial" w:cs="Arial" w:eastAsia="Arial" w:hAnsi="Arial"/>
          <w:sz w:val="28"/>
          <w:szCs w:val="28"/>
          <w:color w:val="002E6D"/>
        </w:rPr>
        <w:t xml:space="preserve">one in five </w:t>
      </w:r>
      <w:r>
        <w:rPr>
          <w:rFonts w:ascii="Arial" w:cs="Arial" w:eastAsia="Arial" w:hAnsi="Arial"/>
          <w:sz w:val="17"/>
          <w:szCs w:val="17"/>
          <w:color w:val="000000"/>
        </w:rPr>
        <w:t>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-192405</wp:posOffset>
            </wp:positionV>
            <wp:extent cx="315595" cy="315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5595" cy="315595"/>
                    </a:xfrm>
                    <a:prstGeom prst="rect">
                      <a:avLst/>
                    </a:prstGeom>
                    <a:noFill/>
                  </pic:spPr>
                </pic:pic>
              </a:graphicData>
            </a:graphic>
          </wp:anchor>
        </w:drawing>
      </w:r>
    </w:p>
    <w:p>
      <w:pPr>
        <w:ind w:left="800"/>
        <w:spacing w:after="0"/>
        <w:rPr>
          <w:sz w:val="20"/>
          <w:szCs w:val="20"/>
          <w:color w:val="auto"/>
        </w:rPr>
      </w:pPr>
      <w:r>
        <w:rPr>
          <w:rFonts w:ascii="Arial" w:cs="Arial" w:eastAsia="Arial" w:hAnsi="Arial"/>
          <w:sz w:val="17"/>
          <w:szCs w:val="17"/>
          <w:color w:val="auto"/>
        </w:rPr>
        <w:t>is a veteran</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29"/>
          <w:szCs w:val="29"/>
          <w:color w:val="003478"/>
        </w:rPr>
        <w:t>2022 Strategic Objectives</w:t>
      </w:r>
    </w:p>
    <w:p>
      <w:pPr>
        <w:spacing w:after="0" w:line="101" w:lineRule="exact"/>
        <w:rPr>
          <w:sz w:val="20"/>
          <w:szCs w:val="20"/>
          <w:color w:val="auto"/>
        </w:rPr>
      </w:pPr>
    </w:p>
    <w:p>
      <w:pPr>
        <w:ind w:right="60"/>
        <w:spacing w:after="0" w:line="298" w:lineRule="auto"/>
        <w:rPr>
          <w:sz w:val="20"/>
          <w:szCs w:val="20"/>
          <w:color w:val="auto"/>
        </w:rPr>
      </w:pPr>
      <w:r>
        <w:rPr>
          <w:rFonts w:ascii="Arial" w:cs="Arial" w:eastAsia="Arial" w:hAnsi="Arial"/>
          <w:sz w:val="17"/>
          <w:szCs w:val="17"/>
          <w:b w:val="1"/>
          <w:bCs w:val="1"/>
          <w:color w:val="auto"/>
        </w:rPr>
        <w:t xml:space="preserve">Mission First: </w:t>
      </w:r>
      <w:r>
        <w:rPr>
          <w:rFonts w:ascii="Arial" w:cs="Arial" w:eastAsia="Arial" w:hAnsi="Arial"/>
          <w:sz w:val="17"/>
          <w:szCs w:val="17"/>
          <w:color w:val="auto"/>
        </w:rPr>
        <w:t>Enhance defense, security, and scientific discovery by delivering reliable, innovative, and affordable solutions for our customers’ most</w:t>
      </w:r>
      <w:r>
        <w:rPr>
          <w:rFonts w:ascii="Arial" w:cs="Arial" w:eastAsia="Arial" w:hAnsi="Arial"/>
          <w:sz w:val="17"/>
          <w:szCs w:val="17"/>
          <w:b w:val="1"/>
          <w:bCs w:val="1"/>
          <w:color w:val="auto"/>
        </w:rPr>
        <w:t xml:space="preserve"> </w:t>
      </w:r>
      <w:r>
        <w:rPr>
          <w:rFonts w:ascii="Arial" w:cs="Arial" w:eastAsia="Arial" w:hAnsi="Arial"/>
          <w:sz w:val="17"/>
          <w:szCs w:val="17"/>
          <w:color w:val="auto"/>
        </w:rPr>
        <w:t>daunting challenges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58420</wp:posOffset>
            </wp:positionV>
            <wp:extent cx="7132955" cy="11264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126490"/>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p>
      <w:pPr>
        <w:spacing w:after="0" w:line="206" w:lineRule="exact"/>
        <w:rPr>
          <w:sz w:val="20"/>
          <w:szCs w:val="20"/>
          <w:color w:val="auto"/>
        </w:rPr>
      </w:pPr>
    </w:p>
    <w:p>
      <w:pPr>
        <w:ind w:left="1120"/>
        <w:spacing w:after="0"/>
        <w:rPr>
          <w:sz w:val="20"/>
          <w:szCs w:val="20"/>
          <w:color w:val="auto"/>
        </w:rPr>
      </w:pPr>
      <w:r>
        <w:rPr>
          <w:rFonts w:ascii="Arial" w:cs="Arial" w:eastAsia="Arial" w:hAnsi="Arial"/>
          <w:sz w:val="21"/>
          <w:szCs w:val="21"/>
          <w:color w:val="002E6D"/>
        </w:rPr>
        <w:t>Lead</w:t>
      </w:r>
    </w:p>
    <w:p>
      <w:pPr>
        <w:spacing w:after="0" w:line="54" w:lineRule="exact"/>
        <w:rPr>
          <w:sz w:val="20"/>
          <w:szCs w:val="20"/>
          <w:color w:val="auto"/>
        </w:rPr>
      </w:pPr>
    </w:p>
    <w:p>
      <w:pPr>
        <w:jc w:val="both"/>
        <w:ind w:left="100"/>
        <w:spacing w:after="0" w:line="255" w:lineRule="auto"/>
        <w:rPr>
          <w:sz w:val="20"/>
          <w:szCs w:val="20"/>
          <w:color w:val="auto"/>
        </w:rPr>
      </w:pPr>
      <w:r>
        <w:rPr>
          <w:rFonts w:ascii="Arial" w:cs="Arial" w:eastAsia="Arial" w:hAnsi="Arial"/>
          <w:sz w:val="16"/>
          <w:szCs w:val="16"/>
          <w:color w:val="auto"/>
        </w:rPr>
        <w:t>our industry with our customers to deliver superior 21</w:t>
      </w:r>
      <w:r>
        <w:rPr>
          <w:rFonts w:ascii="Arial" w:cs="Arial" w:eastAsia="Arial" w:hAnsi="Arial"/>
          <w:sz w:val="21"/>
          <w:szCs w:val="21"/>
          <w:color w:val="auto"/>
          <w:vertAlign w:val="superscript"/>
        </w:rPr>
        <w:t>st</w:t>
      </w:r>
      <w:r>
        <w:rPr>
          <w:rFonts w:ascii="Arial" w:cs="Arial" w:eastAsia="Arial" w:hAnsi="Arial"/>
          <w:sz w:val="16"/>
          <w:szCs w:val="16"/>
          <w:color w:val="auto"/>
        </w:rPr>
        <w:t xml:space="preserve"> Century Security capability</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left="-139"/>
        <w:spacing w:after="0"/>
        <w:rPr>
          <w:sz w:val="20"/>
          <w:szCs w:val="20"/>
          <w:color w:val="auto"/>
        </w:rPr>
      </w:pPr>
      <w:r>
        <w:rPr>
          <w:rFonts w:ascii="Arial" w:cs="Arial" w:eastAsia="Arial" w:hAnsi="Arial"/>
          <w:sz w:val="21"/>
          <w:szCs w:val="21"/>
          <w:color w:val="002E6D"/>
        </w:rPr>
        <w:t>Innovate</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to rapidly deliver capability through technology development, commercial technology application and new business models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left="-19"/>
        <w:spacing w:after="0"/>
        <w:rPr>
          <w:sz w:val="20"/>
          <w:szCs w:val="20"/>
          <w:color w:val="auto"/>
        </w:rPr>
      </w:pPr>
      <w:r>
        <w:rPr>
          <w:rFonts w:ascii="Arial" w:cs="Arial" w:eastAsia="Arial" w:hAnsi="Arial"/>
          <w:sz w:val="21"/>
          <w:szCs w:val="21"/>
          <w:color w:val="002E6D"/>
        </w:rPr>
        <w:t>Drive</w:t>
      </w:r>
    </w:p>
    <w:p>
      <w:pPr>
        <w:spacing w:after="0" w:line="5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operational excellence throughout the Company and efficiency throughout the industry</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1000"/>
        <w:spacing w:after="0"/>
        <w:rPr>
          <w:sz w:val="20"/>
          <w:szCs w:val="20"/>
          <w:color w:val="auto"/>
        </w:rPr>
      </w:pPr>
      <w:r>
        <w:rPr>
          <w:rFonts w:ascii="Arial" w:cs="Arial" w:eastAsia="Arial" w:hAnsi="Arial"/>
          <w:sz w:val="21"/>
          <w:szCs w:val="21"/>
          <w:color w:val="002E6D"/>
        </w:rPr>
        <w:t>Grow</w:t>
      </w:r>
    </w:p>
    <w:p>
      <w:pPr>
        <w:spacing w:after="0" w:line="54"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organically through franchise program captures, international expansion and through capital and acquisition investments that support our strategic goals</w:t>
      </w:r>
    </w:p>
    <w:p>
      <w:pPr>
        <w:spacing w:after="0" w:line="307" w:lineRule="exact"/>
        <w:rPr>
          <w:sz w:val="20"/>
          <w:szCs w:val="20"/>
          <w:color w:val="auto"/>
        </w:rPr>
      </w:pPr>
    </w:p>
    <w:p>
      <w:pPr>
        <w:sectPr>
          <w:pgSz w:w="11900" w:h="16838" w:orient="portrait"/>
          <w:cols w:equalWidth="0" w:num="4">
            <w:col w:w="2460" w:space="480"/>
            <w:col w:w="2380" w:space="460"/>
            <w:col w:w="2500" w:space="360"/>
            <w:col w:w="2600"/>
          </w:cols>
          <w:pgMar w:left="320" w:top="254" w:right="339" w:bottom="1440" w:gutter="0" w:footer="0" w:header="0"/>
          <w:type w:val="continuous"/>
        </w:sectPr>
      </w:pP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960" w:type="dxa"/>
            <w:vAlign w:val="bottom"/>
            <w:tcBorders>
              <w:bottom w:val="single" w:sz="8" w:color="003478"/>
            </w:tcBorders>
          </w:tcPr>
          <w:p>
            <w:pPr>
              <w:spacing w:after="0"/>
              <w:rPr>
                <w:sz w:val="19"/>
                <w:szCs w:val="19"/>
                <w:color w:val="auto"/>
              </w:rPr>
            </w:pPr>
          </w:p>
        </w:tc>
        <w:tc>
          <w:tcPr>
            <w:tcW w:w="1580" w:type="dxa"/>
            <w:vAlign w:val="bottom"/>
            <w:tcBorders>
              <w:bottom w:val="single" w:sz="8" w:color="003478"/>
              <w:right w:val="single" w:sz="8" w:color="003478"/>
            </w:tcBorders>
          </w:tcPr>
          <w:p>
            <w:pPr>
              <w:spacing w:after="0"/>
              <w:rPr>
                <w:sz w:val="19"/>
                <w:szCs w:val="19"/>
                <w:color w:val="auto"/>
              </w:rPr>
            </w:pPr>
          </w:p>
        </w:tc>
        <w:tc>
          <w:tcPr>
            <w:tcW w:w="2000" w:type="dxa"/>
            <w:vAlign w:val="bottom"/>
            <w:tcBorders>
              <w:top w:val="single" w:sz="8" w:color="003478"/>
              <w:bottom w:val="single" w:sz="8" w:color="003478"/>
              <w:right w:val="single" w:sz="8" w:color="003478"/>
            </w:tcBorders>
            <w:vMerge w:val="restart"/>
          </w:tcPr>
          <w:p>
            <w:pPr>
              <w:ind w:left="340"/>
              <w:spacing w:after="0"/>
              <w:rPr>
                <w:sz w:val="20"/>
                <w:szCs w:val="20"/>
                <w:color w:val="auto"/>
              </w:rPr>
            </w:pPr>
            <w:r>
              <w:rPr>
                <w:rFonts w:ascii="Arial" w:cs="Arial" w:eastAsia="Arial" w:hAnsi="Arial"/>
                <w:sz w:val="17"/>
                <w:szCs w:val="17"/>
                <w:color w:val="002E6D"/>
              </w:rPr>
              <w:t>KEY ENABLERS</w:t>
            </w:r>
          </w:p>
        </w:tc>
        <w:tc>
          <w:tcPr>
            <w:tcW w:w="2220" w:type="dxa"/>
            <w:vAlign w:val="bottom"/>
            <w:tcBorders>
              <w:bottom w:val="single" w:sz="8" w:color="003478"/>
            </w:tcBorders>
          </w:tcPr>
          <w:p>
            <w:pPr>
              <w:spacing w:after="0"/>
              <w:rPr>
                <w:sz w:val="19"/>
                <w:szCs w:val="19"/>
                <w:color w:val="auto"/>
              </w:rPr>
            </w:pPr>
          </w:p>
        </w:tc>
        <w:tc>
          <w:tcPr>
            <w:tcW w:w="2480" w:type="dxa"/>
            <w:vAlign w:val="bottom"/>
            <w:tcBorders>
              <w:bottom w:val="single" w:sz="8" w:color="003478"/>
            </w:tcBorders>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2960" w:type="dxa"/>
            <w:vAlign w:val="bottom"/>
            <w:vMerge w:val="restart"/>
          </w:tcPr>
          <w:p>
            <w:pPr>
              <w:ind w:left="820"/>
              <w:spacing w:after="0"/>
              <w:rPr>
                <w:sz w:val="20"/>
                <w:szCs w:val="20"/>
                <w:color w:val="auto"/>
              </w:rPr>
            </w:pPr>
            <w:r>
              <w:rPr>
                <w:rFonts w:ascii="Arial" w:cs="Arial" w:eastAsia="Arial" w:hAnsi="Arial"/>
                <w:sz w:val="17"/>
                <w:szCs w:val="17"/>
                <w:color w:val="002E6D"/>
              </w:rPr>
              <w:t>DISCRIMINATING</w:t>
            </w:r>
          </w:p>
        </w:tc>
        <w:tc>
          <w:tcPr>
            <w:tcW w:w="1580" w:type="dxa"/>
            <w:vAlign w:val="bottom"/>
            <w:tcBorders>
              <w:right w:val="single" w:sz="8" w:color="003478"/>
            </w:tcBorders>
          </w:tcPr>
          <w:p>
            <w:pPr>
              <w:spacing w:after="0"/>
              <w:rPr>
                <w:sz w:val="7"/>
                <w:szCs w:val="7"/>
                <w:color w:val="auto"/>
              </w:rPr>
            </w:pPr>
          </w:p>
        </w:tc>
        <w:tc>
          <w:tcPr>
            <w:tcW w:w="2000" w:type="dxa"/>
            <w:vAlign w:val="bottom"/>
            <w:tcBorders>
              <w:right w:val="single" w:sz="8" w:color="003478"/>
            </w:tcBorders>
            <w:vMerge w:val="continue"/>
          </w:tcPr>
          <w:p>
            <w:pPr>
              <w:spacing w:after="0"/>
              <w:rPr>
                <w:sz w:val="7"/>
                <w:szCs w:val="7"/>
                <w:color w:val="auto"/>
              </w:rPr>
            </w:pPr>
          </w:p>
        </w:tc>
        <w:tc>
          <w:tcPr>
            <w:tcW w:w="2220" w:type="dxa"/>
            <w:vAlign w:val="bottom"/>
          </w:tcPr>
          <w:p>
            <w:pPr>
              <w:spacing w:after="0"/>
              <w:rPr>
                <w:sz w:val="7"/>
                <w:szCs w:val="7"/>
                <w:color w:val="auto"/>
              </w:rPr>
            </w:pPr>
          </w:p>
        </w:tc>
        <w:tc>
          <w:tcPr>
            <w:tcW w:w="2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960" w:type="dxa"/>
            <w:vAlign w:val="bottom"/>
            <w:vMerge w:val="continue"/>
          </w:tcPr>
          <w:p>
            <w:pPr>
              <w:spacing w:after="0"/>
              <w:rPr>
                <w:sz w:val="8"/>
                <w:szCs w:val="8"/>
                <w:color w:val="auto"/>
              </w:rPr>
            </w:pPr>
          </w:p>
        </w:tc>
        <w:tc>
          <w:tcPr>
            <w:tcW w:w="1580" w:type="dxa"/>
            <w:vAlign w:val="bottom"/>
            <w:tcBorders>
              <w:right w:val="single" w:sz="8" w:color="003478"/>
            </w:tcBorders>
          </w:tcPr>
          <w:p>
            <w:pPr>
              <w:spacing w:after="0"/>
              <w:rPr>
                <w:sz w:val="8"/>
                <w:szCs w:val="8"/>
                <w:color w:val="auto"/>
              </w:rPr>
            </w:pPr>
          </w:p>
        </w:tc>
        <w:tc>
          <w:tcPr>
            <w:tcW w:w="2000" w:type="dxa"/>
            <w:vAlign w:val="bottom"/>
            <w:tcBorders>
              <w:bottom w:val="single" w:sz="8" w:color="003478"/>
              <w:right w:val="single" w:sz="8" w:color="003478"/>
            </w:tcBorders>
          </w:tcPr>
          <w:p>
            <w:pPr>
              <w:spacing w:after="0"/>
              <w:rPr>
                <w:sz w:val="8"/>
                <w:szCs w:val="8"/>
                <w:color w:val="auto"/>
              </w:rPr>
            </w:pPr>
          </w:p>
        </w:tc>
        <w:tc>
          <w:tcPr>
            <w:tcW w:w="22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44"/>
        </w:trPr>
        <w:tc>
          <w:tcPr>
            <w:tcW w:w="2960" w:type="dxa"/>
            <w:vAlign w:val="bottom"/>
            <w:vMerge w:val="continue"/>
          </w:tcPr>
          <w:p>
            <w:pPr>
              <w:spacing w:after="0"/>
              <w:rPr>
                <w:sz w:val="24"/>
                <w:szCs w:val="24"/>
                <w:color w:val="auto"/>
              </w:rPr>
            </w:pPr>
          </w:p>
        </w:tc>
        <w:tc>
          <w:tcPr>
            <w:tcW w:w="3580" w:type="dxa"/>
            <w:vAlign w:val="bottom"/>
            <w:gridSpan w:val="2"/>
          </w:tcPr>
          <w:p>
            <w:pPr>
              <w:ind w:left="740"/>
              <w:spacing w:after="0"/>
              <w:rPr>
                <w:sz w:val="20"/>
                <w:szCs w:val="20"/>
                <w:color w:val="auto"/>
              </w:rPr>
            </w:pPr>
            <w:r>
              <w:rPr>
                <w:rFonts w:ascii="Arial" w:cs="Arial" w:eastAsia="Arial" w:hAnsi="Arial"/>
                <w:sz w:val="17"/>
                <w:szCs w:val="17"/>
                <w:color w:val="002E6D"/>
              </w:rPr>
              <w:t>DIGITAL</w:t>
            </w:r>
          </w:p>
        </w:tc>
        <w:tc>
          <w:tcPr>
            <w:tcW w:w="2220" w:type="dxa"/>
            <w:vAlign w:val="bottom"/>
          </w:tcPr>
          <w:p>
            <w:pPr>
              <w:ind w:left="120"/>
              <w:spacing w:after="0"/>
              <w:rPr>
                <w:sz w:val="20"/>
                <w:szCs w:val="20"/>
                <w:color w:val="auto"/>
              </w:rPr>
            </w:pPr>
            <w:r>
              <w:rPr>
                <w:rFonts w:ascii="Arial" w:cs="Arial" w:eastAsia="Arial" w:hAnsi="Arial"/>
                <w:sz w:val="17"/>
                <w:szCs w:val="17"/>
                <w:color w:val="002E6D"/>
              </w:rPr>
              <w:t>STRATEGIC</w:t>
            </w:r>
          </w:p>
        </w:tc>
        <w:tc>
          <w:tcPr>
            <w:tcW w:w="2480" w:type="dxa"/>
            <w:vAlign w:val="bottom"/>
          </w:tcPr>
          <w:p>
            <w:pPr>
              <w:ind w:left="780"/>
              <w:spacing w:after="0"/>
              <w:rPr>
                <w:sz w:val="20"/>
                <w:szCs w:val="20"/>
                <w:color w:val="auto"/>
              </w:rPr>
            </w:pPr>
            <w:r>
              <w:rPr>
                <w:rFonts w:ascii="Arial" w:cs="Arial" w:eastAsia="Arial" w:hAnsi="Arial"/>
                <w:sz w:val="17"/>
                <w:szCs w:val="17"/>
                <w:color w:val="002E6D"/>
              </w:rPr>
              <w:t>FISCAL</w:t>
            </w:r>
          </w:p>
        </w:tc>
        <w:tc>
          <w:tcPr>
            <w:tcW w:w="0" w:type="dxa"/>
            <w:vAlign w:val="bottom"/>
          </w:tcPr>
          <w:p>
            <w:pPr>
              <w:spacing w:after="0"/>
              <w:rPr>
                <w:sz w:val="1"/>
                <w:szCs w:val="1"/>
                <w:color w:val="auto"/>
              </w:rPr>
            </w:pPr>
          </w:p>
        </w:tc>
      </w:tr>
      <w:tr>
        <w:trPr>
          <w:trHeight w:val="217"/>
        </w:trPr>
        <w:tc>
          <w:tcPr>
            <w:tcW w:w="2960" w:type="dxa"/>
            <w:vAlign w:val="bottom"/>
          </w:tcPr>
          <w:p>
            <w:pPr>
              <w:ind w:left="820"/>
              <w:spacing w:after="0"/>
              <w:rPr>
                <w:sz w:val="20"/>
                <w:szCs w:val="20"/>
                <w:color w:val="auto"/>
              </w:rPr>
            </w:pPr>
            <w:r>
              <w:rPr>
                <w:rFonts w:ascii="Arial" w:cs="Arial" w:eastAsia="Arial" w:hAnsi="Arial"/>
                <w:sz w:val="17"/>
                <w:szCs w:val="17"/>
                <w:color w:val="002E6D"/>
              </w:rPr>
              <w:t>TECHNOLOGY</w:t>
            </w:r>
          </w:p>
        </w:tc>
        <w:tc>
          <w:tcPr>
            <w:tcW w:w="3580" w:type="dxa"/>
            <w:vAlign w:val="bottom"/>
            <w:gridSpan w:val="2"/>
          </w:tcPr>
          <w:p>
            <w:pPr>
              <w:ind w:left="740"/>
              <w:spacing w:after="0"/>
              <w:rPr>
                <w:sz w:val="20"/>
                <w:szCs w:val="20"/>
                <w:color w:val="auto"/>
              </w:rPr>
            </w:pPr>
            <w:r>
              <w:rPr>
                <w:rFonts w:ascii="Arial" w:cs="Arial" w:eastAsia="Arial" w:hAnsi="Arial"/>
                <w:sz w:val="17"/>
                <w:szCs w:val="17"/>
                <w:color w:val="002E6D"/>
              </w:rPr>
              <w:t>TRANSFORMATION</w:t>
            </w:r>
          </w:p>
        </w:tc>
        <w:tc>
          <w:tcPr>
            <w:tcW w:w="2220" w:type="dxa"/>
            <w:vAlign w:val="bottom"/>
          </w:tcPr>
          <w:p>
            <w:pPr>
              <w:ind w:left="120"/>
              <w:spacing w:after="0"/>
              <w:rPr>
                <w:sz w:val="20"/>
                <w:szCs w:val="20"/>
                <w:color w:val="auto"/>
              </w:rPr>
            </w:pPr>
            <w:r>
              <w:rPr>
                <w:rFonts w:ascii="Arial" w:cs="Arial" w:eastAsia="Arial" w:hAnsi="Arial"/>
                <w:sz w:val="17"/>
                <w:szCs w:val="17"/>
                <w:color w:val="002E6D"/>
              </w:rPr>
              <w:t>PARTNERSHIPS</w:t>
            </w:r>
          </w:p>
        </w:tc>
        <w:tc>
          <w:tcPr>
            <w:tcW w:w="2480" w:type="dxa"/>
            <w:vAlign w:val="bottom"/>
          </w:tcPr>
          <w:p>
            <w:pPr>
              <w:ind w:left="780"/>
              <w:spacing w:after="0"/>
              <w:rPr>
                <w:sz w:val="20"/>
                <w:szCs w:val="20"/>
                <w:color w:val="auto"/>
              </w:rPr>
            </w:pPr>
            <w:r>
              <w:rPr>
                <w:rFonts w:ascii="Arial" w:cs="Arial" w:eastAsia="Arial" w:hAnsi="Arial"/>
                <w:sz w:val="17"/>
                <w:szCs w:val="17"/>
                <w:color w:val="002E6D"/>
              </w:rPr>
              <w:t>DISCIPLINE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-312420</wp:posOffset>
            </wp:positionV>
            <wp:extent cx="315595" cy="315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5595" cy="315595"/>
                    </a:xfrm>
                    <a:prstGeom prst="rect">
                      <a:avLst/>
                    </a:prstGeom>
                    <a:noFill/>
                  </pic:spPr>
                </pic:pic>
              </a:graphicData>
            </a:graphic>
          </wp:anchor>
        </w:drawing>
        <w:drawing>
          <wp:anchor simplePos="0" relativeHeight="251657728" behindDoc="1" locked="0" layoutInCell="0" allowOverlap="1">
            <wp:simplePos x="0" y="0"/>
            <wp:positionH relativeFrom="column">
              <wp:posOffset>1856105</wp:posOffset>
            </wp:positionH>
            <wp:positionV relativeFrom="paragraph">
              <wp:posOffset>-312420</wp:posOffset>
            </wp:positionV>
            <wp:extent cx="315595" cy="315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5595" cy="315595"/>
                    </a:xfrm>
                    <a:prstGeom prst="rect">
                      <a:avLst/>
                    </a:prstGeom>
                    <a:noFill/>
                  </pic:spPr>
                </pic:pic>
              </a:graphicData>
            </a:graphic>
          </wp:anchor>
        </w:drawing>
        <w:drawing>
          <wp:anchor simplePos="0" relativeHeight="251657728" behindDoc="1" locked="0" layoutInCell="0" allowOverlap="1">
            <wp:simplePos x="0" y="0"/>
            <wp:positionH relativeFrom="column">
              <wp:posOffset>3733165</wp:posOffset>
            </wp:positionH>
            <wp:positionV relativeFrom="paragraph">
              <wp:posOffset>-312420</wp:posOffset>
            </wp:positionV>
            <wp:extent cx="315595" cy="315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15595" cy="315595"/>
                    </a:xfrm>
                    <a:prstGeom prst="rect">
                      <a:avLst/>
                    </a:prstGeom>
                    <a:noFill/>
                  </pic:spPr>
                </pic:pic>
              </a:graphicData>
            </a:graphic>
          </wp:anchor>
        </w:drawing>
        <w:drawing>
          <wp:anchor simplePos="0" relativeHeight="251657728" behindDoc="1" locked="0" layoutInCell="0" allowOverlap="1">
            <wp:simplePos x="0" y="0"/>
            <wp:positionH relativeFrom="column">
              <wp:posOffset>5559425</wp:posOffset>
            </wp:positionH>
            <wp:positionV relativeFrom="paragraph">
              <wp:posOffset>-312420</wp:posOffset>
            </wp:positionV>
            <wp:extent cx="315595" cy="315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5595" cy="315595"/>
                    </a:xfrm>
                    <a:prstGeom prst="rect">
                      <a:avLst/>
                    </a:prstGeom>
                    <a:noFill/>
                  </pic:spPr>
                </pic:pic>
              </a:graphicData>
            </a:graphic>
          </wp:anchor>
        </w:drawing>
        <w:drawing>
          <wp:anchor simplePos="0" relativeHeight="251657728" behindDoc="1" locked="0" layoutInCell="0" allowOverlap="1">
            <wp:simplePos x="0" y="0"/>
            <wp:positionH relativeFrom="column">
              <wp:posOffset>601980</wp:posOffset>
            </wp:positionH>
            <wp:positionV relativeFrom="paragraph">
              <wp:posOffset>156210</wp:posOffset>
            </wp:positionV>
            <wp:extent cx="5938520" cy="3581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938520" cy="35814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778510</wp:posOffset>
            </wp:positionV>
            <wp:extent cx="963930" cy="2216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1</w:t>
      </w:r>
    </w:p>
    <w:p>
      <w:pPr>
        <w:sectPr>
          <w:pgSz w:w="11900" w:h="16838" w:orient="portrait"/>
          <w:cols w:equalWidth="0" w:num="1">
            <w:col w:w="11240"/>
          </w:cols>
          <w:pgMar w:left="320" w:top="254" w:right="339" w:bottom="1440" w:gutter="0" w:footer="0" w:header="0"/>
          <w:type w:val="continuous"/>
        </w:sectPr>
      </w:pPr>
    </w:p>
    <w:bookmarkStart w:id="7" w:name="page8"/>
    <w:bookmarkEnd w:id="7"/>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Lockheed Martin. Your Mission is Ours.®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9"/>
          <w:szCs w:val="29"/>
          <w:color w:val="003478"/>
        </w:rPr>
        <w:t>Financial Strength (2021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64135</wp:posOffset>
            </wp:positionV>
            <wp:extent cx="8255" cy="1663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166370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64135</wp:posOffset>
            </wp:positionV>
            <wp:extent cx="392430" cy="3924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92430" cy="392430"/>
                    </a:xfrm>
                    <a:prstGeom prst="rect">
                      <a:avLst/>
                    </a:prstGeom>
                    <a:noFill/>
                  </pic:spPr>
                </pic:pic>
              </a:graphicData>
            </a:graphic>
          </wp:anchor>
        </w:drawing>
      </w:r>
    </w:p>
    <w:p>
      <w:pPr>
        <w:spacing w:after="0" w:line="157" w:lineRule="exact"/>
        <w:rPr>
          <w:sz w:val="20"/>
          <w:szCs w:val="20"/>
          <w:color w:val="auto"/>
        </w:rPr>
      </w:pPr>
    </w:p>
    <w:p>
      <w:pPr>
        <w:ind w:left="7280"/>
        <w:spacing w:after="0"/>
        <w:rPr>
          <w:sz w:val="20"/>
          <w:szCs w:val="20"/>
          <w:color w:val="auto"/>
        </w:rPr>
      </w:pPr>
      <w:r>
        <w:rPr>
          <w:rFonts w:ascii="Arial" w:cs="Arial" w:eastAsia="Arial" w:hAnsi="Arial"/>
          <w:sz w:val="29"/>
          <w:szCs w:val="29"/>
          <w:color w:val="002E6D"/>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-140335</wp:posOffset>
            </wp:positionV>
            <wp:extent cx="2986405" cy="13652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986405" cy="1365250"/>
                    </a:xfrm>
                    <a:prstGeom prst="rect">
                      <a:avLst/>
                    </a:prstGeom>
                    <a:noFill/>
                  </pic:spPr>
                </pic:pic>
              </a:graphicData>
            </a:graphic>
          </wp:anchor>
        </w:drawing>
      </w:r>
    </w:p>
    <w:p>
      <w:pPr>
        <w:ind w:left="7280"/>
        <w:spacing w:after="0"/>
        <w:rPr>
          <w:sz w:val="20"/>
          <w:szCs w:val="20"/>
          <w:color w:val="auto"/>
        </w:rPr>
      </w:pPr>
      <w:r>
        <w:rPr>
          <w:rFonts w:ascii="Arial" w:cs="Arial" w:eastAsia="Arial" w:hAnsi="Arial"/>
          <w:sz w:val="17"/>
          <w:szCs w:val="17"/>
          <w:color w:val="auto"/>
        </w:rPr>
        <w:t>Total Stockholder Return 2017-2021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3963670</wp:posOffset>
            </wp:positionH>
            <wp:positionV relativeFrom="paragraph">
              <wp:posOffset>220980</wp:posOffset>
            </wp:positionV>
            <wp:extent cx="392430" cy="3924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92430" cy="39243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7280"/>
        <w:spacing w:after="0"/>
        <w:rPr>
          <w:sz w:val="20"/>
          <w:szCs w:val="20"/>
          <w:color w:val="auto"/>
        </w:rPr>
      </w:pPr>
      <w:r>
        <w:rPr>
          <w:rFonts w:ascii="Arial" w:cs="Arial" w:eastAsia="Arial" w:hAnsi="Arial"/>
          <w:sz w:val="29"/>
          <w:szCs w:val="29"/>
          <w:color w:val="002E6D"/>
        </w:rPr>
        <w:t>8%</w:t>
      </w:r>
    </w:p>
    <w:p>
      <w:pPr>
        <w:ind w:left="7280"/>
        <w:spacing w:after="0"/>
        <w:rPr>
          <w:sz w:val="20"/>
          <w:szCs w:val="20"/>
          <w:color w:val="auto"/>
        </w:rPr>
      </w:pPr>
      <w:r>
        <w:rPr>
          <w:rFonts w:ascii="Arial" w:cs="Arial" w:eastAsia="Arial" w:hAnsi="Arial"/>
          <w:sz w:val="17"/>
          <w:szCs w:val="17"/>
          <w:color w:val="auto"/>
        </w:rPr>
        <w:t>Increase to Annual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3963670</wp:posOffset>
            </wp:positionH>
            <wp:positionV relativeFrom="paragraph">
              <wp:posOffset>220980</wp:posOffset>
            </wp:positionV>
            <wp:extent cx="392430" cy="3924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92430" cy="392430"/>
                    </a:xfrm>
                    <a:prstGeom prst="rect">
                      <a:avLst/>
                    </a:prstGeom>
                    <a:noFill/>
                  </pic:spPr>
                </pic:pic>
              </a:graphicData>
            </a:graphic>
          </wp:anchor>
        </w:drawing>
      </w:r>
    </w:p>
    <w:p>
      <w:pPr>
        <w:spacing w:after="0" w:line="392" w:lineRule="exact"/>
        <w:rPr>
          <w:sz w:val="20"/>
          <w:szCs w:val="20"/>
          <w:color w:val="auto"/>
        </w:rPr>
      </w:pPr>
    </w:p>
    <w:p>
      <w:pPr>
        <w:ind w:left="7280"/>
        <w:spacing w:after="0"/>
        <w:rPr>
          <w:sz w:val="20"/>
          <w:szCs w:val="20"/>
          <w:color w:val="auto"/>
        </w:rPr>
      </w:pPr>
      <w:r>
        <w:rPr>
          <w:rFonts w:ascii="Arial" w:cs="Arial" w:eastAsia="Arial" w:hAnsi="Arial"/>
          <w:sz w:val="29"/>
          <w:szCs w:val="29"/>
          <w:color w:val="003478"/>
        </w:rPr>
        <w:t>$6.3B</w:t>
      </w:r>
    </w:p>
    <w:p>
      <w:pPr>
        <w:ind w:left="7280"/>
        <w:spacing w:after="0"/>
        <w:rPr>
          <w:sz w:val="20"/>
          <w:szCs w:val="20"/>
          <w:color w:val="auto"/>
        </w:rPr>
      </w:pPr>
      <w:r>
        <w:rPr>
          <w:rFonts w:ascii="Arial" w:cs="Arial" w:eastAsia="Arial" w:hAnsi="Arial"/>
          <w:sz w:val="17"/>
          <w:szCs w:val="17"/>
          <w:color w:val="auto"/>
        </w:rPr>
        <w:t>Net Earnings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9"/>
          <w:szCs w:val="29"/>
          <w:color w:val="003478"/>
        </w:rPr>
        <w:t>Industry Leading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89535</wp:posOffset>
            </wp:positionV>
            <wp:extent cx="426720" cy="2178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26720" cy="217805"/>
                    </a:xfrm>
                    <a:prstGeom prst="rect">
                      <a:avLst/>
                    </a:prstGeom>
                    <a:noFill/>
                  </pic:spPr>
                </pic:pic>
              </a:graphicData>
            </a:graphic>
          </wp:anchor>
        </w:drawing>
      </w:r>
    </w:p>
    <w:p>
      <w:pPr>
        <w:spacing w:after="0" w:line="59" w:lineRule="exact"/>
        <w:rPr>
          <w:sz w:val="20"/>
          <w:szCs w:val="20"/>
          <w:color w:val="auto"/>
        </w:rPr>
      </w:pPr>
    </w:p>
    <w:p>
      <w:pPr>
        <w:ind w:left="1060"/>
        <w:spacing w:after="0"/>
        <w:rPr>
          <w:sz w:val="20"/>
          <w:szCs w:val="20"/>
          <w:color w:val="auto"/>
        </w:rPr>
      </w:pPr>
      <w:r>
        <w:rPr>
          <w:rFonts w:ascii="Arial" w:cs="Arial" w:eastAsia="Arial" w:hAnsi="Arial"/>
          <w:sz w:val="29"/>
          <w:szCs w:val="29"/>
          <w:b w:val="1"/>
          <w:bCs w:val="1"/>
          <w:color w:val="003478"/>
        </w:rPr>
        <w:t xml:space="preserve">$26.7B       </w:t>
      </w:r>
      <w:r>
        <w:rPr>
          <w:sz w:val="1"/>
          <w:szCs w:val="1"/>
          <w:color w:val="auto"/>
        </w:rPr>
        <w:drawing>
          <wp:inline distT="0" distB="0" distL="0" distR="0">
            <wp:extent cx="426720" cy="2178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6720" cy="217805"/>
                    </a:xfrm>
                    <a:prstGeom prst="rect">
                      <a:avLst/>
                    </a:prstGeom>
                    <a:noFill/>
                    <a:ln>
                      <a:noFill/>
                    </a:ln>
                  </pic:spPr>
                </pic:pic>
              </a:graphicData>
            </a:graphic>
          </wp:inline>
        </w:drawing>
      </w:r>
      <w:r>
        <w:rPr>
          <w:rFonts w:ascii="Arial" w:cs="Arial" w:eastAsia="Arial" w:hAnsi="Arial"/>
          <w:sz w:val="29"/>
          <w:szCs w:val="29"/>
          <w:b w:val="1"/>
          <w:bCs w:val="1"/>
          <w:color w:val="003478"/>
        </w:rPr>
        <w:t xml:space="preserve"> $16.8B         </w:t>
      </w:r>
      <w:r>
        <w:rPr>
          <w:sz w:val="1"/>
          <w:szCs w:val="1"/>
          <w:color w:val="auto"/>
        </w:rPr>
        <w:drawing>
          <wp:inline distT="0" distB="0" distL="0" distR="0">
            <wp:extent cx="426720" cy="2178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26720" cy="217805"/>
                    </a:xfrm>
                    <a:prstGeom prst="rect">
                      <a:avLst/>
                    </a:prstGeom>
                    <a:noFill/>
                    <a:ln>
                      <a:noFill/>
                    </a:ln>
                  </pic:spPr>
                </pic:pic>
              </a:graphicData>
            </a:graphic>
          </wp:inline>
        </w:drawing>
      </w:r>
      <w:r>
        <w:rPr>
          <w:rFonts w:ascii="Arial" w:cs="Arial" w:eastAsia="Arial" w:hAnsi="Arial"/>
          <w:sz w:val="29"/>
          <w:szCs w:val="29"/>
          <w:b w:val="1"/>
          <w:bCs w:val="1"/>
          <w:color w:val="003478"/>
        </w:rPr>
        <w:t xml:space="preserve"> $11.7B       </w:t>
      </w:r>
      <w:r>
        <w:rPr>
          <w:sz w:val="1"/>
          <w:szCs w:val="1"/>
          <w:color w:val="auto"/>
        </w:rPr>
        <w:drawing>
          <wp:inline distT="0" distB="0" distL="0" distR="0">
            <wp:extent cx="426720" cy="2178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6720" cy="217805"/>
                    </a:xfrm>
                    <a:prstGeom prst="rect">
                      <a:avLst/>
                    </a:prstGeom>
                    <a:noFill/>
                    <a:ln>
                      <a:noFill/>
                    </a:ln>
                  </pic:spPr>
                </pic:pic>
              </a:graphicData>
            </a:graphic>
          </wp:inline>
        </w:drawing>
      </w:r>
      <w:r>
        <w:rPr>
          <w:rFonts w:ascii="Arial" w:cs="Arial" w:eastAsia="Arial" w:hAnsi="Arial"/>
          <w:sz w:val="29"/>
          <w:szCs w:val="29"/>
          <w:b w:val="1"/>
          <w:bCs w:val="1"/>
          <w:color w:val="003478"/>
        </w:rPr>
        <w:t xml:space="preserve"> $11.8B</w:t>
      </w:r>
    </w:p>
    <w:p>
      <w:pPr>
        <w:ind w:left="1060"/>
        <w:spacing w:after="0" w:line="210" w:lineRule="auto"/>
        <w:tabs>
          <w:tab w:leader="none" w:pos="3940" w:val="left"/>
          <w:tab w:leader="none" w:pos="7120" w:val="left"/>
          <w:tab w:leader="none" w:pos="9920" w:val="left"/>
        </w:tabs>
        <w:rPr>
          <w:sz w:val="20"/>
          <w:szCs w:val="20"/>
          <w:color w:val="auto"/>
        </w:rPr>
      </w:pPr>
      <w:r>
        <w:rPr>
          <w:rFonts w:ascii="Arial" w:cs="Arial" w:eastAsia="Arial" w:hAnsi="Arial"/>
          <w:sz w:val="17"/>
          <w:szCs w:val="17"/>
          <w:color w:val="003478"/>
        </w:rPr>
        <w:t>AERONAUTICS</w:t>
      </w:r>
      <w:r>
        <w:rPr>
          <w:sz w:val="20"/>
          <w:szCs w:val="20"/>
          <w:color w:val="auto"/>
        </w:rPr>
        <w:tab/>
      </w:r>
      <w:r>
        <w:rPr>
          <w:rFonts w:ascii="Arial" w:cs="Arial" w:eastAsia="Arial" w:hAnsi="Arial"/>
          <w:sz w:val="17"/>
          <w:szCs w:val="17"/>
          <w:color w:val="003478"/>
        </w:rPr>
        <w:t>ROTARY AND</w:t>
      </w:r>
      <w:r>
        <w:rPr>
          <w:sz w:val="20"/>
          <w:szCs w:val="20"/>
          <w:color w:val="auto"/>
        </w:rPr>
        <w:tab/>
      </w:r>
      <w:r>
        <w:rPr>
          <w:rFonts w:ascii="Arial" w:cs="Arial" w:eastAsia="Arial" w:hAnsi="Arial"/>
          <w:sz w:val="17"/>
          <w:szCs w:val="17"/>
          <w:color w:val="003478"/>
        </w:rPr>
        <w:t>MISSILES AND</w:t>
      </w:r>
      <w:r>
        <w:rPr>
          <w:sz w:val="20"/>
          <w:szCs w:val="20"/>
          <w:color w:val="auto"/>
        </w:rPr>
        <w:tab/>
      </w:r>
      <w:r>
        <w:rPr>
          <w:rFonts w:ascii="Arial" w:cs="Arial" w:eastAsia="Arial" w:hAnsi="Arial"/>
          <w:sz w:val="16"/>
          <w:szCs w:val="16"/>
          <w:color w:val="003478"/>
        </w:rPr>
        <w:t>SPACE</w:t>
      </w:r>
    </w:p>
    <w:p>
      <w:pPr>
        <w:ind w:left="3960"/>
        <w:spacing w:after="0"/>
        <w:tabs>
          <w:tab w:leader="none" w:pos="7120" w:val="left"/>
        </w:tabs>
        <w:rPr>
          <w:sz w:val="20"/>
          <w:szCs w:val="20"/>
          <w:color w:val="auto"/>
        </w:rPr>
      </w:pPr>
      <w:r>
        <w:rPr>
          <w:rFonts w:ascii="Arial" w:cs="Arial" w:eastAsia="Arial" w:hAnsi="Arial"/>
          <w:sz w:val="17"/>
          <w:szCs w:val="17"/>
          <w:color w:val="003478"/>
        </w:rPr>
        <w:t>MISSION SYSTEMS</w:t>
      </w:r>
      <w:r>
        <w:rPr>
          <w:sz w:val="20"/>
          <w:szCs w:val="20"/>
          <w:color w:val="auto"/>
        </w:rPr>
        <w:tab/>
      </w:r>
      <w:r>
        <w:rPr>
          <w:rFonts w:ascii="Arial" w:cs="Arial" w:eastAsia="Arial" w:hAnsi="Arial"/>
          <w:sz w:val="16"/>
          <w:szCs w:val="16"/>
          <w:color w:val="003478"/>
        </w:rPr>
        <w:t>FIRE CONTROL</w:t>
      </w:r>
    </w:p>
    <w:p>
      <w:pPr>
        <w:spacing w:after="0" w:line="336" w:lineRule="exact"/>
        <w:rPr>
          <w:sz w:val="20"/>
          <w:szCs w:val="20"/>
          <w:color w:val="auto"/>
        </w:rPr>
      </w:pPr>
    </w:p>
    <w:p>
      <w:pPr>
        <w:spacing w:after="0"/>
        <w:rPr>
          <w:sz w:val="20"/>
          <w:szCs w:val="20"/>
          <w:color w:val="auto"/>
        </w:rPr>
      </w:pPr>
      <w:r>
        <w:rPr>
          <w:rFonts w:ascii="Arial" w:cs="Arial" w:eastAsia="Arial" w:hAnsi="Arial"/>
          <w:sz w:val="25"/>
          <w:szCs w:val="25"/>
          <w:color w:val="818EB4"/>
        </w:rPr>
        <w:t>2022 Tech Priorities</w:t>
      </w:r>
    </w:p>
    <w:p>
      <w:pPr>
        <w:spacing w:after="0" w:line="95" w:lineRule="exact"/>
        <w:rPr>
          <w:sz w:val="20"/>
          <w:szCs w:val="20"/>
          <w:color w:val="auto"/>
        </w:rPr>
      </w:pPr>
    </w:p>
    <w:p>
      <w:pPr>
        <w:ind w:right="40"/>
        <w:spacing w:after="0" w:line="234" w:lineRule="auto"/>
        <w:rPr>
          <w:sz w:val="20"/>
          <w:szCs w:val="20"/>
          <w:color w:val="auto"/>
        </w:rPr>
      </w:pPr>
      <w:r>
        <w:rPr>
          <w:rFonts w:ascii="Arial" w:cs="Arial" w:eastAsia="Arial" w:hAnsi="Arial"/>
          <w:sz w:val="17"/>
          <w:szCs w:val="17"/>
          <w:color w:val="auto"/>
        </w:rPr>
        <w:t>To enable Joint All-Domain Operations in a complex 21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century threat environment, Lockheed Martin is pursuing a vision to enable our customers to make all-domain decisions — land, sea, air, space and cyber — through advanced and resilient communications at a speed our adversaries can’t match. To make this vision a reality, we are focusing our research and development investments and commercial relationships in areas that will give our customers a decisive advantage around the globe.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100" w:type="dxa"/>
            <w:vAlign w:val="bottom"/>
            <w:shd w:val="clear" w:color="auto" w:fill="003478"/>
          </w:tcPr>
          <w:p>
            <w:pPr>
              <w:spacing w:after="0"/>
              <w:rPr>
                <w:sz w:val="9"/>
                <w:szCs w:val="9"/>
                <w:color w:val="auto"/>
              </w:rPr>
            </w:pPr>
          </w:p>
        </w:tc>
        <w:tc>
          <w:tcPr>
            <w:tcW w:w="160" w:type="dxa"/>
            <w:vAlign w:val="bottom"/>
            <w:shd w:val="clear" w:color="auto" w:fill="003478"/>
          </w:tcPr>
          <w:p>
            <w:pPr>
              <w:spacing w:after="0"/>
              <w:rPr>
                <w:sz w:val="9"/>
                <w:szCs w:val="9"/>
                <w:color w:val="auto"/>
              </w:rPr>
            </w:pPr>
          </w:p>
        </w:tc>
        <w:tc>
          <w:tcPr>
            <w:tcW w:w="2040" w:type="dxa"/>
            <w:vAlign w:val="bottom"/>
            <w:shd w:val="clear" w:color="auto" w:fill="003478"/>
          </w:tcPr>
          <w:p>
            <w:pPr>
              <w:spacing w:after="0"/>
              <w:rPr>
                <w:sz w:val="9"/>
                <w:szCs w:val="9"/>
                <w:color w:val="auto"/>
              </w:rPr>
            </w:pPr>
          </w:p>
        </w:tc>
        <w:tc>
          <w:tcPr>
            <w:tcW w:w="200" w:type="dxa"/>
            <w:vAlign w:val="bottom"/>
            <w:shd w:val="clear" w:color="auto" w:fill="003478"/>
          </w:tcPr>
          <w:p>
            <w:pPr>
              <w:spacing w:after="0"/>
              <w:rPr>
                <w:sz w:val="9"/>
                <w:szCs w:val="9"/>
                <w:color w:val="auto"/>
              </w:rPr>
            </w:pPr>
          </w:p>
        </w:tc>
        <w:tc>
          <w:tcPr>
            <w:tcW w:w="2100" w:type="dxa"/>
            <w:vAlign w:val="bottom"/>
            <w:shd w:val="clear" w:color="auto" w:fill="003478"/>
          </w:tcPr>
          <w:p>
            <w:pPr>
              <w:spacing w:after="0"/>
              <w:rPr>
                <w:sz w:val="9"/>
                <w:szCs w:val="9"/>
                <w:color w:val="auto"/>
              </w:rPr>
            </w:pPr>
          </w:p>
        </w:tc>
        <w:tc>
          <w:tcPr>
            <w:tcW w:w="200" w:type="dxa"/>
            <w:vAlign w:val="bottom"/>
            <w:shd w:val="clear" w:color="auto" w:fill="003478"/>
          </w:tcPr>
          <w:p>
            <w:pPr>
              <w:spacing w:after="0"/>
              <w:rPr>
                <w:sz w:val="9"/>
                <w:szCs w:val="9"/>
                <w:color w:val="auto"/>
              </w:rPr>
            </w:pPr>
          </w:p>
        </w:tc>
        <w:tc>
          <w:tcPr>
            <w:tcW w:w="2200" w:type="dxa"/>
            <w:vAlign w:val="bottom"/>
            <w:shd w:val="clear" w:color="auto" w:fill="003478"/>
          </w:tcPr>
          <w:p>
            <w:pPr>
              <w:spacing w:after="0"/>
              <w:rPr>
                <w:sz w:val="9"/>
                <w:szCs w:val="9"/>
                <w:color w:val="auto"/>
              </w:rPr>
            </w:pPr>
          </w:p>
        </w:tc>
        <w:tc>
          <w:tcPr>
            <w:tcW w:w="200" w:type="dxa"/>
            <w:vAlign w:val="bottom"/>
            <w:shd w:val="clear" w:color="auto" w:fill="003478"/>
          </w:tcPr>
          <w:p>
            <w:pPr>
              <w:spacing w:after="0"/>
              <w:rPr>
                <w:sz w:val="9"/>
                <w:szCs w:val="9"/>
                <w:color w:val="auto"/>
              </w:rPr>
            </w:pPr>
          </w:p>
        </w:tc>
        <w:tc>
          <w:tcPr>
            <w:tcW w:w="2020" w:type="dxa"/>
            <w:vAlign w:val="bottom"/>
            <w:shd w:val="clear" w:color="auto" w:fill="003478"/>
          </w:tcPr>
          <w:p>
            <w:pPr>
              <w:spacing w:after="0"/>
              <w:rPr>
                <w:sz w:val="9"/>
                <w:szCs w:val="9"/>
                <w:color w:val="auto"/>
              </w:rPr>
            </w:pPr>
          </w:p>
        </w:tc>
        <w:tc>
          <w:tcPr>
            <w:tcW w:w="20" w:type="dxa"/>
            <w:vAlign w:val="bottom"/>
            <w:shd w:val="clear" w:color="auto" w:fill="003478"/>
          </w:tcPr>
          <w:p>
            <w:pPr>
              <w:spacing w:after="0"/>
              <w:rPr>
                <w:sz w:val="9"/>
                <w:szCs w:val="9"/>
                <w:color w:val="auto"/>
              </w:rPr>
            </w:pPr>
          </w:p>
        </w:tc>
      </w:tr>
      <w:tr>
        <w:trPr>
          <w:trHeight w:val="840"/>
        </w:trPr>
        <w:tc>
          <w:tcPr>
            <w:tcW w:w="2100" w:type="dxa"/>
            <w:vAlign w:val="bottom"/>
            <w:shd w:val="clear" w:color="auto" w:fill="E4E6EF"/>
          </w:tcPr>
          <w:p>
            <w:pPr>
              <w:jc w:val="center"/>
              <w:spacing w:after="0"/>
              <w:rPr>
                <w:sz w:val="20"/>
                <w:szCs w:val="20"/>
                <w:color w:val="auto"/>
              </w:rPr>
            </w:pPr>
            <w:r>
              <w:rPr>
                <w:rFonts w:ascii="Arial" w:cs="Arial" w:eastAsia="Arial" w:hAnsi="Arial"/>
                <w:sz w:val="17"/>
                <w:szCs w:val="17"/>
                <w:color w:val="002E6D"/>
                <w:w w:val="98"/>
              </w:rPr>
              <w:t>ARTIFICIAL</w:t>
            </w:r>
          </w:p>
        </w:tc>
        <w:tc>
          <w:tcPr>
            <w:tcW w:w="160" w:type="dxa"/>
            <w:vAlign w:val="bottom"/>
          </w:tcPr>
          <w:p>
            <w:pPr>
              <w:spacing w:after="0"/>
              <w:rPr>
                <w:sz w:val="24"/>
                <w:szCs w:val="24"/>
                <w:color w:val="auto"/>
              </w:rPr>
            </w:pPr>
          </w:p>
        </w:tc>
        <w:tc>
          <w:tcPr>
            <w:tcW w:w="2040" w:type="dxa"/>
            <w:vAlign w:val="bottom"/>
            <w:shd w:val="clear" w:color="auto" w:fill="E4E6EF"/>
          </w:tcPr>
          <w:p>
            <w:pPr>
              <w:ind w:left="400"/>
              <w:spacing w:after="0"/>
              <w:rPr>
                <w:sz w:val="20"/>
                <w:szCs w:val="20"/>
                <w:color w:val="auto"/>
              </w:rPr>
            </w:pPr>
            <w:r>
              <w:rPr>
                <w:rFonts w:ascii="Arial" w:cs="Arial" w:eastAsia="Arial" w:hAnsi="Arial"/>
                <w:sz w:val="17"/>
                <w:szCs w:val="17"/>
                <w:color w:val="002E6D"/>
              </w:rPr>
              <w:t>HYPERSONICS</w:t>
            </w:r>
          </w:p>
        </w:tc>
        <w:tc>
          <w:tcPr>
            <w:tcW w:w="200" w:type="dxa"/>
            <w:vAlign w:val="bottom"/>
          </w:tcPr>
          <w:p>
            <w:pPr>
              <w:spacing w:after="0"/>
              <w:rPr>
                <w:sz w:val="24"/>
                <w:szCs w:val="24"/>
                <w:color w:val="auto"/>
              </w:rPr>
            </w:pPr>
          </w:p>
        </w:tc>
        <w:tc>
          <w:tcPr>
            <w:tcW w:w="2100" w:type="dxa"/>
            <w:vAlign w:val="bottom"/>
            <w:shd w:val="clear" w:color="auto" w:fill="E4E6EF"/>
          </w:tcPr>
          <w:p>
            <w:pPr>
              <w:jc w:val="center"/>
              <w:spacing w:after="0"/>
              <w:rPr>
                <w:sz w:val="20"/>
                <w:szCs w:val="20"/>
                <w:color w:val="auto"/>
              </w:rPr>
            </w:pPr>
            <w:r>
              <w:rPr>
                <w:rFonts w:ascii="Arial" w:cs="Arial" w:eastAsia="Arial" w:hAnsi="Arial"/>
                <w:sz w:val="17"/>
                <w:szCs w:val="17"/>
                <w:color w:val="002E6D"/>
              </w:rPr>
              <w:t>DIRECTED</w:t>
            </w:r>
          </w:p>
        </w:tc>
        <w:tc>
          <w:tcPr>
            <w:tcW w:w="200" w:type="dxa"/>
            <w:vAlign w:val="bottom"/>
          </w:tcPr>
          <w:p>
            <w:pPr>
              <w:spacing w:after="0"/>
              <w:rPr>
                <w:sz w:val="24"/>
                <w:szCs w:val="24"/>
                <w:color w:val="auto"/>
              </w:rPr>
            </w:pPr>
          </w:p>
        </w:tc>
        <w:tc>
          <w:tcPr>
            <w:tcW w:w="2200" w:type="dxa"/>
            <w:vAlign w:val="bottom"/>
            <w:shd w:val="clear" w:color="auto" w:fill="E4E6EF"/>
          </w:tcPr>
          <w:p>
            <w:pPr>
              <w:jc w:val="center"/>
              <w:spacing w:after="0"/>
              <w:rPr>
                <w:sz w:val="20"/>
                <w:szCs w:val="20"/>
                <w:color w:val="auto"/>
              </w:rPr>
            </w:pPr>
            <w:r>
              <w:rPr>
                <w:rFonts w:ascii="Arial" w:cs="Arial" w:eastAsia="Arial" w:hAnsi="Arial"/>
                <w:sz w:val="17"/>
                <w:szCs w:val="17"/>
                <w:color w:val="002E6D"/>
                <w:w w:val="99"/>
              </w:rPr>
              <w:t>EDGE</w:t>
            </w:r>
          </w:p>
        </w:tc>
        <w:tc>
          <w:tcPr>
            <w:tcW w:w="200" w:type="dxa"/>
            <w:vAlign w:val="bottom"/>
          </w:tcPr>
          <w:p>
            <w:pPr>
              <w:spacing w:after="0"/>
              <w:rPr>
                <w:sz w:val="24"/>
                <w:szCs w:val="24"/>
                <w:color w:val="auto"/>
              </w:rPr>
            </w:pPr>
          </w:p>
        </w:tc>
        <w:tc>
          <w:tcPr>
            <w:tcW w:w="2040" w:type="dxa"/>
            <w:vAlign w:val="bottom"/>
            <w:gridSpan w:val="2"/>
            <w:shd w:val="clear" w:color="auto" w:fill="E4E6EF"/>
          </w:tcPr>
          <w:p>
            <w:pPr>
              <w:jc w:val="center"/>
              <w:spacing w:after="0"/>
              <w:rPr>
                <w:sz w:val="20"/>
                <w:szCs w:val="20"/>
                <w:color w:val="auto"/>
              </w:rPr>
            </w:pPr>
            <w:r>
              <w:rPr>
                <w:rFonts w:ascii="Arial" w:cs="Arial" w:eastAsia="Arial" w:hAnsi="Arial"/>
                <w:sz w:val="17"/>
                <w:szCs w:val="17"/>
                <w:color w:val="002E6D"/>
              </w:rPr>
              <w:t>SPECTRUM</w:t>
            </w:r>
          </w:p>
        </w:tc>
      </w:tr>
      <w:tr>
        <w:trPr>
          <w:trHeight w:val="161"/>
        </w:trPr>
        <w:tc>
          <w:tcPr>
            <w:tcW w:w="2100" w:type="dxa"/>
            <w:vAlign w:val="bottom"/>
            <w:shd w:val="clear" w:color="auto" w:fill="E4E6EF"/>
          </w:tcPr>
          <w:p>
            <w:pPr>
              <w:jc w:val="center"/>
              <w:spacing w:after="0" w:line="161" w:lineRule="exact"/>
              <w:rPr>
                <w:sz w:val="20"/>
                <w:szCs w:val="20"/>
                <w:color w:val="auto"/>
              </w:rPr>
            </w:pPr>
            <w:r>
              <w:rPr>
                <w:rFonts w:ascii="Arial" w:cs="Arial" w:eastAsia="Arial" w:hAnsi="Arial"/>
                <w:sz w:val="17"/>
                <w:szCs w:val="17"/>
                <w:color w:val="002E6D"/>
                <w:w w:val="99"/>
              </w:rPr>
              <w:t>INTELLIGENCE</w:t>
            </w:r>
          </w:p>
        </w:tc>
        <w:tc>
          <w:tcPr>
            <w:tcW w:w="160" w:type="dxa"/>
            <w:vAlign w:val="bottom"/>
          </w:tcPr>
          <w:p>
            <w:pPr>
              <w:spacing w:after="0"/>
              <w:rPr>
                <w:sz w:val="14"/>
                <w:szCs w:val="14"/>
                <w:color w:val="auto"/>
              </w:rPr>
            </w:pPr>
          </w:p>
        </w:tc>
        <w:tc>
          <w:tcPr>
            <w:tcW w:w="2040" w:type="dxa"/>
            <w:vAlign w:val="bottom"/>
            <w:shd w:val="clear" w:color="auto" w:fill="E4E6EF"/>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shd w:val="clear" w:color="auto" w:fill="E4E6EF"/>
          </w:tcPr>
          <w:p>
            <w:pPr>
              <w:jc w:val="center"/>
              <w:spacing w:after="0" w:line="161" w:lineRule="exact"/>
              <w:rPr>
                <w:sz w:val="20"/>
                <w:szCs w:val="20"/>
                <w:color w:val="auto"/>
              </w:rPr>
            </w:pPr>
            <w:r>
              <w:rPr>
                <w:rFonts w:ascii="Arial" w:cs="Arial" w:eastAsia="Arial" w:hAnsi="Arial"/>
                <w:sz w:val="17"/>
                <w:szCs w:val="17"/>
                <w:color w:val="002E6D"/>
              </w:rPr>
              <w:t>ENERGY</w:t>
            </w:r>
          </w:p>
        </w:tc>
        <w:tc>
          <w:tcPr>
            <w:tcW w:w="200" w:type="dxa"/>
            <w:vAlign w:val="bottom"/>
          </w:tcPr>
          <w:p>
            <w:pPr>
              <w:spacing w:after="0"/>
              <w:rPr>
                <w:sz w:val="14"/>
                <w:szCs w:val="14"/>
                <w:color w:val="auto"/>
              </w:rPr>
            </w:pPr>
          </w:p>
        </w:tc>
        <w:tc>
          <w:tcPr>
            <w:tcW w:w="2200" w:type="dxa"/>
            <w:vAlign w:val="bottom"/>
            <w:shd w:val="clear" w:color="auto" w:fill="E4E6EF"/>
          </w:tcPr>
          <w:p>
            <w:pPr>
              <w:jc w:val="center"/>
              <w:spacing w:after="0" w:line="161" w:lineRule="exact"/>
              <w:rPr>
                <w:sz w:val="20"/>
                <w:szCs w:val="20"/>
                <w:color w:val="auto"/>
              </w:rPr>
            </w:pPr>
            <w:r>
              <w:rPr>
                <w:rFonts w:ascii="Arial" w:cs="Arial" w:eastAsia="Arial" w:hAnsi="Arial"/>
                <w:sz w:val="17"/>
                <w:szCs w:val="17"/>
                <w:color w:val="002E6D"/>
              </w:rPr>
              <w:t>COMPUTING</w:t>
            </w:r>
          </w:p>
        </w:tc>
        <w:tc>
          <w:tcPr>
            <w:tcW w:w="200" w:type="dxa"/>
            <w:vAlign w:val="bottom"/>
          </w:tcPr>
          <w:p>
            <w:pPr>
              <w:spacing w:after="0"/>
              <w:rPr>
                <w:sz w:val="14"/>
                <w:szCs w:val="14"/>
                <w:color w:val="auto"/>
              </w:rPr>
            </w:pPr>
          </w:p>
        </w:tc>
        <w:tc>
          <w:tcPr>
            <w:tcW w:w="2040" w:type="dxa"/>
            <w:vAlign w:val="bottom"/>
            <w:gridSpan w:val="2"/>
            <w:shd w:val="clear" w:color="auto" w:fill="E4E6EF"/>
          </w:tcPr>
          <w:p>
            <w:pPr>
              <w:jc w:val="center"/>
              <w:spacing w:after="0" w:line="161" w:lineRule="exact"/>
              <w:rPr>
                <w:sz w:val="20"/>
                <w:szCs w:val="20"/>
                <w:color w:val="auto"/>
              </w:rPr>
            </w:pPr>
            <w:r>
              <w:rPr>
                <w:rFonts w:ascii="Arial" w:cs="Arial" w:eastAsia="Arial" w:hAnsi="Arial"/>
                <w:sz w:val="17"/>
                <w:szCs w:val="17"/>
                <w:color w:val="002E6D"/>
              </w:rPr>
              <w:t>DOMINANCE</w:t>
            </w:r>
          </w:p>
        </w:tc>
      </w:tr>
      <w:tr>
        <w:trPr>
          <w:trHeight w:val="241"/>
        </w:trPr>
        <w:tc>
          <w:tcPr>
            <w:tcW w:w="2100" w:type="dxa"/>
            <w:vAlign w:val="bottom"/>
            <w:tcBorders>
              <w:bottom w:val="single" w:sz="8" w:color="E4E6EF"/>
            </w:tcBorders>
            <w:shd w:val="clear" w:color="auto" w:fill="E4E6EF"/>
          </w:tcPr>
          <w:p>
            <w:pPr>
              <w:jc w:val="center"/>
              <w:spacing w:after="0"/>
              <w:rPr>
                <w:sz w:val="20"/>
                <w:szCs w:val="20"/>
                <w:color w:val="auto"/>
              </w:rPr>
            </w:pPr>
            <w:r>
              <w:rPr>
                <w:rFonts w:ascii="Arial" w:cs="Arial" w:eastAsia="Arial" w:hAnsi="Arial"/>
                <w:sz w:val="17"/>
                <w:szCs w:val="17"/>
                <w:color w:val="002E6D"/>
                <w:w w:val="99"/>
              </w:rPr>
              <w:t>AND AUTONOMY</w:t>
            </w:r>
          </w:p>
        </w:tc>
        <w:tc>
          <w:tcPr>
            <w:tcW w:w="160" w:type="dxa"/>
            <w:vAlign w:val="bottom"/>
          </w:tcPr>
          <w:p>
            <w:pPr>
              <w:spacing w:after="0"/>
              <w:rPr>
                <w:sz w:val="20"/>
                <w:szCs w:val="20"/>
                <w:color w:val="auto"/>
              </w:rPr>
            </w:pPr>
          </w:p>
        </w:tc>
        <w:tc>
          <w:tcPr>
            <w:tcW w:w="2040" w:type="dxa"/>
            <w:vAlign w:val="bottom"/>
            <w:tcBorders>
              <w:bottom w:val="single" w:sz="8" w:color="E4E6EF"/>
            </w:tcBorders>
            <w:shd w:val="clear" w:color="auto" w:fill="E4E6EF"/>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tcBorders>
              <w:bottom w:val="single" w:sz="8" w:color="E4E6EF"/>
            </w:tcBorders>
            <w:shd w:val="clear" w:color="auto" w:fill="E4E6EF"/>
          </w:tcPr>
          <w:p>
            <w:pPr>
              <w:spacing w:after="0"/>
              <w:rPr>
                <w:sz w:val="20"/>
                <w:szCs w:val="20"/>
                <w:color w:val="auto"/>
              </w:rPr>
            </w:pPr>
          </w:p>
        </w:tc>
        <w:tc>
          <w:tcPr>
            <w:tcW w:w="200" w:type="dxa"/>
            <w:vAlign w:val="bottom"/>
          </w:tcPr>
          <w:p>
            <w:pPr>
              <w:spacing w:after="0"/>
              <w:rPr>
                <w:sz w:val="20"/>
                <w:szCs w:val="20"/>
                <w:color w:val="auto"/>
              </w:rPr>
            </w:pPr>
          </w:p>
        </w:tc>
        <w:tc>
          <w:tcPr>
            <w:tcW w:w="2200" w:type="dxa"/>
            <w:vAlign w:val="bottom"/>
            <w:tcBorders>
              <w:bottom w:val="single" w:sz="8" w:color="E4E6EF"/>
            </w:tcBorders>
            <w:shd w:val="clear" w:color="auto" w:fill="E4E6EF"/>
          </w:tcPr>
          <w:p>
            <w:pPr>
              <w:spacing w:after="0"/>
              <w:rPr>
                <w:sz w:val="20"/>
                <w:szCs w:val="20"/>
                <w:color w:val="auto"/>
              </w:rPr>
            </w:pPr>
          </w:p>
        </w:tc>
        <w:tc>
          <w:tcPr>
            <w:tcW w:w="200" w:type="dxa"/>
            <w:vAlign w:val="bottom"/>
          </w:tcPr>
          <w:p>
            <w:pPr>
              <w:spacing w:after="0"/>
              <w:rPr>
                <w:sz w:val="20"/>
                <w:szCs w:val="20"/>
                <w:color w:val="auto"/>
              </w:rPr>
            </w:pPr>
          </w:p>
        </w:tc>
        <w:tc>
          <w:tcPr>
            <w:tcW w:w="2020" w:type="dxa"/>
            <w:vAlign w:val="bottom"/>
            <w:tcBorders>
              <w:bottom w:val="single" w:sz="8" w:color="E4E6EF"/>
            </w:tcBorders>
            <w:shd w:val="clear" w:color="auto" w:fill="E4E6EF"/>
          </w:tcPr>
          <w:p>
            <w:pPr>
              <w:spacing w:after="0"/>
              <w:rPr>
                <w:sz w:val="20"/>
                <w:szCs w:val="20"/>
                <w:color w:val="auto"/>
              </w:rPr>
            </w:pPr>
          </w:p>
        </w:tc>
        <w:tc>
          <w:tcPr>
            <w:tcW w:w="20" w:type="dxa"/>
            <w:vAlign w:val="bottom"/>
            <w:tcBorders>
              <w:bottom w:val="single" w:sz="8" w:color="E4E6EF"/>
            </w:tcBorders>
            <w:shd w:val="clear" w:color="auto" w:fill="E4E6EF"/>
          </w:tcPr>
          <w:p>
            <w:pPr>
              <w:spacing w:after="0"/>
              <w:rPr>
                <w:sz w:val="20"/>
                <w:szCs w:val="20"/>
                <w:color w:val="auto"/>
              </w:rPr>
            </w:pPr>
          </w:p>
        </w:tc>
      </w:tr>
      <w:tr>
        <w:trPr>
          <w:trHeight w:val="322"/>
        </w:trPr>
        <w:tc>
          <w:tcPr>
            <w:tcW w:w="2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7"/>
        </w:trPr>
        <w:tc>
          <w:tcPr>
            <w:tcW w:w="2100" w:type="dxa"/>
            <w:vAlign w:val="bottom"/>
            <w:shd w:val="clear" w:color="auto" w:fill="003478"/>
          </w:tcPr>
          <w:p>
            <w:pPr>
              <w:spacing w:after="0"/>
              <w:rPr>
                <w:sz w:val="9"/>
                <w:szCs w:val="9"/>
                <w:color w:val="auto"/>
              </w:rPr>
            </w:pPr>
          </w:p>
        </w:tc>
        <w:tc>
          <w:tcPr>
            <w:tcW w:w="160" w:type="dxa"/>
            <w:vAlign w:val="bottom"/>
            <w:shd w:val="clear" w:color="auto" w:fill="003478"/>
          </w:tcPr>
          <w:p>
            <w:pPr>
              <w:spacing w:after="0"/>
              <w:rPr>
                <w:sz w:val="9"/>
                <w:szCs w:val="9"/>
                <w:color w:val="auto"/>
              </w:rPr>
            </w:pPr>
          </w:p>
        </w:tc>
        <w:tc>
          <w:tcPr>
            <w:tcW w:w="2040" w:type="dxa"/>
            <w:vAlign w:val="bottom"/>
            <w:shd w:val="clear" w:color="auto" w:fill="003478"/>
          </w:tcPr>
          <w:p>
            <w:pPr>
              <w:spacing w:after="0"/>
              <w:rPr>
                <w:sz w:val="9"/>
                <w:szCs w:val="9"/>
                <w:color w:val="auto"/>
              </w:rPr>
            </w:pPr>
          </w:p>
        </w:tc>
        <w:tc>
          <w:tcPr>
            <w:tcW w:w="200" w:type="dxa"/>
            <w:vAlign w:val="bottom"/>
            <w:shd w:val="clear" w:color="auto" w:fill="003478"/>
          </w:tcPr>
          <w:p>
            <w:pPr>
              <w:spacing w:after="0"/>
              <w:rPr>
                <w:sz w:val="9"/>
                <w:szCs w:val="9"/>
                <w:color w:val="auto"/>
              </w:rPr>
            </w:pPr>
          </w:p>
        </w:tc>
        <w:tc>
          <w:tcPr>
            <w:tcW w:w="2100" w:type="dxa"/>
            <w:vAlign w:val="bottom"/>
            <w:shd w:val="clear" w:color="auto" w:fill="003478"/>
          </w:tcPr>
          <w:p>
            <w:pPr>
              <w:spacing w:after="0"/>
              <w:rPr>
                <w:sz w:val="9"/>
                <w:szCs w:val="9"/>
                <w:color w:val="auto"/>
              </w:rPr>
            </w:pPr>
          </w:p>
        </w:tc>
        <w:tc>
          <w:tcPr>
            <w:tcW w:w="200" w:type="dxa"/>
            <w:vAlign w:val="bottom"/>
            <w:shd w:val="clear" w:color="auto" w:fill="003478"/>
          </w:tcPr>
          <w:p>
            <w:pPr>
              <w:spacing w:after="0"/>
              <w:rPr>
                <w:sz w:val="9"/>
                <w:szCs w:val="9"/>
                <w:color w:val="auto"/>
              </w:rPr>
            </w:pPr>
          </w:p>
        </w:tc>
        <w:tc>
          <w:tcPr>
            <w:tcW w:w="2200" w:type="dxa"/>
            <w:vAlign w:val="bottom"/>
            <w:shd w:val="clear" w:color="auto" w:fill="003478"/>
          </w:tcPr>
          <w:p>
            <w:pPr>
              <w:spacing w:after="0"/>
              <w:rPr>
                <w:sz w:val="9"/>
                <w:szCs w:val="9"/>
                <w:color w:val="auto"/>
              </w:rPr>
            </w:pPr>
          </w:p>
        </w:tc>
        <w:tc>
          <w:tcPr>
            <w:tcW w:w="200" w:type="dxa"/>
            <w:vAlign w:val="bottom"/>
            <w:shd w:val="clear" w:color="auto" w:fill="003478"/>
          </w:tcPr>
          <w:p>
            <w:pPr>
              <w:spacing w:after="0"/>
              <w:rPr>
                <w:sz w:val="9"/>
                <w:szCs w:val="9"/>
                <w:color w:val="auto"/>
              </w:rPr>
            </w:pPr>
          </w:p>
        </w:tc>
        <w:tc>
          <w:tcPr>
            <w:tcW w:w="2020" w:type="dxa"/>
            <w:vAlign w:val="bottom"/>
            <w:shd w:val="clear" w:color="auto" w:fill="003478"/>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-989330</wp:posOffset>
            </wp:positionV>
            <wp:extent cx="281305" cy="281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1305" cy="281305"/>
                    </a:xfrm>
                    <a:prstGeom prst="rect">
                      <a:avLst/>
                    </a:prstGeom>
                    <a:noFill/>
                  </pic:spPr>
                </pic:pic>
              </a:graphicData>
            </a:graphic>
          </wp:anchor>
        </w:drawing>
        <w:drawing>
          <wp:anchor simplePos="0" relativeHeight="251657728" behindDoc="1" locked="0" layoutInCell="0" allowOverlap="1">
            <wp:simplePos x="0" y="0"/>
            <wp:positionH relativeFrom="column">
              <wp:posOffset>1950085</wp:posOffset>
            </wp:positionH>
            <wp:positionV relativeFrom="paragraph">
              <wp:posOffset>-989330</wp:posOffset>
            </wp:positionV>
            <wp:extent cx="281305" cy="281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1305" cy="281305"/>
                    </a:xfrm>
                    <a:prstGeom prst="rect">
                      <a:avLst/>
                    </a:prstGeom>
                    <a:noFill/>
                  </pic:spPr>
                </pic:pic>
              </a:graphicData>
            </a:graphic>
          </wp:anchor>
        </w:drawing>
        <w:drawing>
          <wp:anchor simplePos="0" relativeHeight="251657728" behindDoc="1" locked="0" layoutInCell="0" allowOverlap="1">
            <wp:simplePos x="0" y="0"/>
            <wp:positionH relativeFrom="column">
              <wp:posOffset>3392170</wp:posOffset>
            </wp:positionH>
            <wp:positionV relativeFrom="paragraph">
              <wp:posOffset>-989330</wp:posOffset>
            </wp:positionV>
            <wp:extent cx="281305" cy="281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1305" cy="281305"/>
                    </a:xfrm>
                    <a:prstGeom prst="rect">
                      <a:avLst/>
                    </a:prstGeom>
                    <a:noFill/>
                  </pic:spPr>
                </pic:pic>
              </a:graphicData>
            </a:graphic>
          </wp:anchor>
        </w:drawing>
        <w:drawing>
          <wp:anchor simplePos="0" relativeHeight="251657728" behindDoc="1" locked="0" layoutInCell="0" allowOverlap="1">
            <wp:simplePos x="0" y="0"/>
            <wp:positionH relativeFrom="column">
              <wp:posOffset>4876800</wp:posOffset>
            </wp:positionH>
            <wp:positionV relativeFrom="paragraph">
              <wp:posOffset>-989330</wp:posOffset>
            </wp:positionV>
            <wp:extent cx="281305" cy="281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1305" cy="281305"/>
                    </a:xfrm>
                    <a:prstGeom prst="rect">
                      <a:avLst/>
                    </a:prstGeom>
                    <a:noFill/>
                  </pic:spPr>
                </pic:pic>
              </a:graphicData>
            </a:graphic>
          </wp:anchor>
        </w:drawing>
        <w:drawing>
          <wp:anchor simplePos="0" relativeHeight="251657728" behindDoc="1" locked="0" layoutInCell="0" allowOverlap="1">
            <wp:simplePos x="0" y="0"/>
            <wp:positionH relativeFrom="column">
              <wp:posOffset>6352540</wp:posOffset>
            </wp:positionH>
            <wp:positionV relativeFrom="paragraph">
              <wp:posOffset>-989330</wp:posOffset>
            </wp:positionV>
            <wp:extent cx="281305" cy="2813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1305" cy="2813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0</wp:posOffset>
            </wp:positionV>
            <wp:extent cx="7115810" cy="8705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5810" cy="870585"/>
                    </a:xfrm>
                    <a:prstGeom prst="rect">
                      <a:avLst/>
                    </a:prstGeom>
                    <a:noFill/>
                  </pic:spPr>
                </pic:pic>
              </a:graphicData>
            </a:graphic>
          </wp:anchor>
        </w:drawing>
      </w:r>
    </w:p>
    <w:p>
      <w:pPr>
        <w:spacing w:after="0" w:line="143" w:lineRule="exact"/>
        <w:rPr>
          <w:sz w:val="20"/>
          <w:szCs w:val="20"/>
          <w:color w:val="auto"/>
        </w:rPr>
      </w:pPr>
    </w:p>
    <w:p>
      <w:pPr>
        <w:ind w:left="100"/>
        <w:spacing w:after="0"/>
        <w:rPr>
          <w:sz w:val="20"/>
          <w:szCs w:val="20"/>
          <w:color w:val="auto"/>
        </w:rPr>
      </w:pPr>
      <w:r>
        <w:rPr>
          <w:rFonts w:ascii="Arial" w:cs="Arial" w:eastAsia="Arial" w:hAnsi="Arial"/>
          <w:sz w:val="25"/>
          <w:szCs w:val="25"/>
          <w:color w:val="818EB4"/>
          <w:shd w:val="clear" w:color="auto" w:fill="E4E6EF"/>
        </w:rPr>
        <w:t>Sustainability</w:t>
      </w:r>
    </w:p>
    <w:p>
      <w:pPr>
        <w:spacing w:after="0" w:line="108" w:lineRule="exact"/>
        <w:rPr>
          <w:sz w:val="20"/>
          <w:szCs w:val="20"/>
          <w:color w:val="auto"/>
        </w:rPr>
      </w:pPr>
    </w:p>
    <w:p>
      <w:pPr>
        <w:ind w:left="100" w:right="280"/>
        <w:spacing w:after="0" w:line="252" w:lineRule="auto"/>
        <w:rPr>
          <w:sz w:val="20"/>
          <w:szCs w:val="20"/>
          <w:color w:val="auto"/>
        </w:rPr>
      </w:pPr>
      <w:r>
        <w:rPr>
          <w:rFonts w:ascii="Arial" w:cs="Arial" w:eastAsia="Arial" w:hAnsi="Arial"/>
          <w:sz w:val="17"/>
          <w:szCs w:val="17"/>
          <w:color w:val="auto"/>
        </w:rPr>
        <w:t>At Lockheed Martin, we foster innovation, integrity and security to protect the environment, strengthen communities and propel responsible growth. We integrate environmental, social and governance practices throughout our business and our employees actively strengthen the quality of life where we live and work.</w:t>
      </w:r>
    </w:p>
    <w:p>
      <w:pPr>
        <w:spacing w:after="0" w:line="400" w:lineRule="exact"/>
        <w:rPr>
          <w:sz w:val="20"/>
          <w:szCs w:val="20"/>
          <w:color w:val="auto"/>
        </w:rPr>
      </w:pPr>
    </w:p>
    <w:p>
      <w:pPr>
        <w:spacing w:after="0"/>
        <w:rPr>
          <w:sz w:val="20"/>
          <w:szCs w:val="20"/>
          <w:color w:val="auto"/>
        </w:rPr>
      </w:pPr>
      <w:r>
        <w:rPr>
          <w:rFonts w:ascii="Arial" w:cs="Arial" w:eastAsia="Arial" w:hAnsi="Arial"/>
          <w:sz w:val="25"/>
          <w:szCs w:val="25"/>
          <w:color w:val="818EB4"/>
        </w:rPr>
        <w:t>Climate Stewardship</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Our commitment to sustainability includes a responsibility to mitigate climate risk and safeguard valuable resources.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940" w:type="dxa"/>
            <w:vAlign w:val="bottom"/>
            <w:shd w:val="clear" w:color="auto" w:fill="003478"/>
          </w:tcPr>
          <w:p>
            <w:pPr>
              <w:spacing w:after="0"/>
              <w:rPr>
                <w:sz w:val="9"/>
                <w:szCs w:val="9"/>
                <w:color w:val="auto"/>
              </w:rPr>
            </w:pPr>
          </w:p>
        </w:tc>
        <w:tc>
          <w:tcPr>
            <w:tcW w:w="4480" w:type="dxa"/>
            <w:vAlign w:val="bottom"/>
            <w:shd w:val="clear" w:color="auto" w:fill="003478"/>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shd w:val="clear" w:color="auto" w:fill="003478"/>
          </w:tcPr>
          <w:p>
            <w:pPr>
              <w:spacing w:after="0"/>
              <w:rPr>
                <w:sz w:val="9"/>
                <w:szCs w:val="9"/>
                <w:color w:val="auto"/>
              </w:rPr>
            </w:pPr>
          </w:p>
        </w:tc>
        <w:tc>
          <w:tcPr>
            <w:tcW w:w="4660" w:type="dxa"/>
            <w:vAlign w:val="bottom"/>
            <w:shd w:val="clear" w:color="auto" w:fill="003478"/>
          </w:tcPr>
          <w:p>
            <w:pPr>
              <w:spacing w:after="0"/>
              <w:rPr>
                <w:sz w:val="9"/>
                <w:szCs w:val="9"/>
                <w:color w:val="auto"/>
              </w:rPr>
            </w:pPr>
          </w:p>
        </w:tc>
        <w:tc>
          <w:tcPr>
            <w:tcW w:w="0" w:type="dxa"/>
            <w:vAlign w:val="bottom"/>
          </w:tcPr>
          <w:p>
            <w:pPr>
              <w:spacing w:after="0"/>
              <w:rPr>
                <w:sz w:val="1"/>
                <w:szCs w:val="1"/>
                <w:color w:val="auto"/>
              </w:rPr>
            </w:pPr>
          </w:p>
        </w:tc>
      </w:tr>
      <w:tr>
        <w:trPr>
          <w:trHeight w:val="520"/>
        </w:trPr>
        <w:tc>
          <w:tcPr>
            <w:tcW w:w="940" w:type="dxa"/>
            <w:vAlign w:val="bottom"/>
            <w:shd w:val="clear" w:color="auto" w:fill="E4E6EF"/>
          </w:tcPr>
          <w:p>
            <w:pPr>
              <w:spacing w:after="0"/>
              <w:rPr>
                <w:sz w:val="24"/>
                <w:szCs w:val="24"/>
                <w:color w:val="auto"/>
              </w:rPr>
            </w:pPr>
          </w:p>
        </w:tc>
        <w:tc>
          <w:tcPr>
            <w:tcW w:w="4480" w:type="dxa"/>
            <w:vAlign w:val="bottom"/>
            <w:shd w:val="clear" w:color="auto" w:fill="E4E6EF"/>
          </w:tcPr>
          <w:p>
            <w:pPr>
              <w:ind w:left="20"/>
              <w:spacing w:after="0"/>
              <w:rPr>
                <w:sz w:val="20"/>
                <w:szCs w:val="20"/>
                <w:color w:val="auto"/>
              </w:rPr>
            </w:pPr>
            <w:r>
              <w:rPr>
                <w:rFonts w:ascii="Arial" w:cs="Arial" w:eastAsia="Arial" w:hAnsi="Arial"/>
                <w:sz w:val="36"/>
                <w:szCs w:val="36"/>
                <w:b w:val="1"/>
                <w:bCs w:val="1"/>
                <w:color w:val="002E6D"/>
              </w:rPr>
              <w:t>47%</w:t>
            </w:r>
          </w:p>
        </w:tc>
        <w:tc>
          <w:tcPr>
            <w:tcW w:w="200" w:type="dxa"/>
            <w:vAlign w:val="bottom"/>
          </w:tcPr>
          <w:p>
            <w:pPr>
              <w:spacing w:after="0"/>
              <w:rPr>
                <w:sz w:val="24"/>
                <w:szCs w:val="24"/>
                <w:color w:val="auto"/>
              </w:rPr>
            </w:pPr>
          </w:p>
        </w:tc>
        <w:tc>
          <w:tcPr>
            <w:tcW w:w="960" w:type="dxa"/>
            <w:vAlign w:val="bottom"/>
            <w:shd w:val="clear" w:color="auto" w:fill="E4E6EF"/>
          </w:tcPr>
          <w:p>
            <w:pPr>
              <w:spacing w:after="0"/>
              <w:rPr>
                <w:sz w:val="24"/>
                <w:szCs w:val="24"/>
                <w:color w:val="auto"/>
              </w:rPr>
            </w:pPr>
          </w:p>
        </w:tc>
        <w:tc>
          <w:tcPr>
            <w:tcW w:w="4660" w:type="dxa"/>
            <w:vAlign w:val="bottom"/>
            <w:shd w:val="clear" w:color="auto" w:fill="E4E6EF"/>
          </w:tcPr>
          <w:p>
            <w:pPr>
              <w:ind w:left="20"/>
              <w:spacing w:after="0"/>
              <w:rPr>
                <w:sz w:val="20"/>
                <w:szCs w:val="20"/>
                <w:color w:val="auto"/>
              </w:rPr>
            </w:pPr>
            <w:r>
              <w:rPr>
                <w:rFonts w:ascii="Arial" w:cs="Arial" w:eastAsia="Arial" w:hAnsi="Arial"/>
                <w:sz w:val="36"/>
                <w:szCs w:val="36"/>
                <w:b w:val="1"/>
                <w:bCs w:val="1"/>
                <w:color w:val="002E6D"/>
              </w:rPr>
              <w:t>22%</w:t>
            </w:r>
          </w:p>
        </w:tc>
        <w:tc>
          <w:tcPr>
            <w:tcW w:w="0" w:type="dxa"/>
            <w:vAlign w:val="bottom"/>
          </w:tcPr>
          <w:p>
            <w:pPr>
              <w:spacing w:after="0"/>
              <w:rPr>
                <w:sz w:val="1"/>
                <w:szCs w:val="1"/>
                <w:color w:val="auto"/>
              </w:rPr>
            </w:pPr>
          </w:p>
        </w:tc>
      </w:tr>
      <w:tr>
        <w:trPr>
          <w:trHeight w:val="236"/>
        </w:trPr>
        <w:tc>
          <w:tcPr>
            <w:tcW w:w="940" w:type="dxa"/>
            <w:vAlign w:val="bottom"/>
            <w:shd w:val="clear" w:color="auto" w:fill="E4E6EF"/>
          </w:tcPr>
          <w:p>
            <w:pPr>
              <w:spacing w:after="0"/>
              <w:rPr>
                <w:sz w:val="20"/>
                <w:szCs w:val="20"/>
                <w:color w:val="auto"/>
              </w:rPr>
            </w:pPr>
          </w:p>
        </w:tc>
        <w:tc>
          <w:tcPr>
            <w:tcW w:w="4480" w:type="dxa"/>
            <w:vAlign w:val="bottom"/>
            <w:vMerge w:val="restart"/>
            <w:shd w:val="clear" w:color="auto" w:fill="E4E6EF"/>
          </w:tcPr>
          <w:p>
            <w:pPr>
              <w:ind w:left="20"/>
              <w:spacing w:after="0"/>
              <w:rPr>
                <w:sz w:val="20"/>
                <w:szCs w:val="20"/>
                <w:color w:val="auto"/>
              </w:rPr>
            </w:pPr>
            <w:r>
              <w:rPr>
                <w:rFonts w:ascii="Arial" w:cs="Arial" w:eastAsia="Arial" w:hAnsi="Arial"/>
                <w:sz w:val="20"/>
                <w:szCs w:val="20"/>
                <w:color w:val="002E6D"/>
              </w:rPr>
              <w:t>Reduction in Carbon Emissions</w:t>
            </w:r>
          </w:p>
        </w:tc>
        <w:tc>
          <w:tcPr>
            <w:tcW w:w="200" w:type="dxa"/>
            <w:vAlign w:val="bottom"/>
          </w:tcPr>
          <w:p>
            <w:pPr>
              <w:spacing w:after="0"/>
              <w:rPr>
                <w:sz w:val="20"/>
                <w:szCs w:val="20"/>
                <w:color w:val="auto"/>
              </w:rPr>
            </w:pPr>
          </w:p>
        </w:tc>
        <w:tc>
          <w:tcPr>
            <w:tcW w:w="960" w:type="dxa"/>
            <w:vAlign w:val="bottom"/>
            <w:shd w:val="clear" w:color="auto" w:fill="E4E6EF"/>
          </w:tcPr>
          <w:p>
            <w:pPr>
              <w:spacing w:after="0"/>
              <w:rPr>
                <w:sz w:val="20"/>
                <w:szCs w:val="20"/>
                <w:color w:val="auto"/>
              </w:rPr>
            </w:pPr>
          </w:p>
        </w:tc>
        <w:tc>
          <w:tcPr>
            <w:tcW w:w="4660" w:type="dxa"/>
            <w:vAlign w:val="bottom"/>
            <w:shd w:val="clear" w:color="auto" w:fill="E4E6EF"/>
          </w:tcPr>
          <w:p>
            <w:pPr>
              <w:ind w:left="20"/>
              <w:spacing w:after="0"/>
              <w:rPr>
                <w:sz w:val="20"/>
                <w:szCs w:val="20"/>
                <w:color w:val="auto"/>
              </w:rPr>
            </w:pPr>
            <w:r>
              <w:rPr>
                <w:rFonts w:ascii="Arial" w:cs="Arial" w:eastAsia="Arial" w:hAnsi="Arial"/>
                <w:sz w:val="20"/>
                <w:szCs w:val="20"/>
                <w:color w:val="002E6D"/>
              </w:rPr>
              <w:t>Of Electricity Use Matched with</w:t>
            </w:r>
          </w:p>
        </w:tc>
        <w:tc>
          <w:tcPr>
            <w:tcW w:w="0" w:type="dxa"/>
            <w:vAlign w:val="bottom"/>
          </w:tcPr>
          <w:p>
            <w:pPr>
              <w:spacing w:after="0"/>
              <w:rPr>
                <w:sz w:val="1"/>
                <w:szCs w:val="1"/>
                <w:color w:val="auto"/>
              </w:rPr>
            </w:pPr>
          </w:p>
        </w:tc>
      </w:tr>
      <w:tr>
        <w:trPr>
          <w:trHeight w:val="107"/>
        </w:trPr>
        <w:tc>
          <w:tcPr>
            <w:tcW w:w="940" w:type="dxa"/>
            <w:vAlign w:val="bottom"/>
            <w:shd w:val="clear" w:color="auto" w:fill="E4E6EF"/>
          </w:tcPr>
          <w:p>
            <w:pPr>
              <w:spacing w:after="0"/>
              <w:rPr>
                <w:sz w:val="9"/>
                <w:szCs w:val="9"/>
                <w:color w:val="auto"/>
              </w:rPr>
            </w:pPr>
          </w:p>
        </w:tc>
        <w:tc>
          <w:tcPr>
            <w:tcW w:w="4480" w:type="dxa"/>
            <w:vAlign w:val="bottom"/>
            <w:vMerge w:val="continue"/>
            <w:shd w:val="clear" w:color="auto" w:fill="E4E6EF"/>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shd w:val="clear" w:color="auto" w:fill="E4E6EF"/>
          </w:tcPr>
          <w:p>
            <w:pPr>
              <w:spacing w:after="0"/>
              <w:rPr>
                <w:sz w:val="9"/>
                <w:szCs w:val="9"/>
                <w:color w:val="auto"/>
              </w:rPr>
            </w:pPr>
          </w:p>
        </w:tc>
        <w:tc>
          <w:tcPr>
            <w:tcW w:w="4660" w:type="dxa"/>
            <w:vAlign w:val="bottom"/>
            <w:vMerge w:val="restart"/>
            <w:shd w:val="clear" w:color="auto" w:fill="E4E6EF"/>
          </w:tcPr>
          <w:p>
            <w:pPr>
              <w:ind w:left="20"/>
              <w:spacing w:after="0"/>
              <w:rPr>
                <w:sz w:val="20"/>
                <w:szCs w:val="20"/>
                <w:color w:val="auto"/>
              </w:rPr>
            </w:pPr>
            <w:r>
              <w:rPr>
                <w:rFonts w:ascii="Arial" w:cs="Arial" w:eastAsia="Arial" w:hAnsi="Arial"/>
                <w:sz w:val="20"/>
                <w:szCs w:val="20"/>
                <w:color w:val="002E6D"/>
              </w:rPr>
              <w:t>Renewable Energy</w:t>
            </w:r>
          </w:p>
        </w:tc>
        <w:tc>
          <w:tcPr>
            <w:tcW w:w="0" w:type="dxa"/>
            <w:vAlign w:val="bottom"/>
          </w:tcPr>
          <w:p>
            <w:pPr>
              <w:spacing w:after="0"/>
              <w:rPr>
                <w:sz w:val="1"/>
                <w:szCs w:val="1"/>
                <w:color w:val="auto"/>
              </w:rPr>
            </w:pPr>
          </w:p>
        </w:tc>
      </w:tr>
      <w:tr>
        <w:trPr>
          <w:trHeight w:val="188"/>
        </w:trPr>
        <w:tc>
          <w:tcPr>
            <w:tcW w:w="940" w:type="dxa"/>
            <w:vAlign w:val="bottom"/>
            <w:shd w:val="clear" w:color="auto" w:fill="E4E6EF"/>
          </w:tcPr>
          <w:p>
            <w:pPr>
              <w:spacing w:after="0"/>
              <w:rPr>
                <w:sz w:val="16"/>
                <w:szCs w:val="16"/>
                <w:color w:val="auto"/>
              </w:rPr>
            </w:pPr>
          </w:p>
        </w:tc>
        <w:tc>
          <w:tcPr>
            <w:tcW w:w="4480" w:type="dxa"/>
            <w:vAlign w:val="bottom"/>
            <w:vMerge w:val="restart"/>
            <w:shd w:val="clear" w:color="auto" w:fill="E4E6EF"/>
          </w:tcPr>
          <w:p>
            <w:pPr>
              <w:ind w:left="20"/>
              <w:spacing w:after="0"/>
              <w:rPr>
                <w:sz w:val="20"/>
                <w:szCs w:val="20"/>
                <w:color w:val="auto"/>
              </w:rPr>
            </w:pPr>
            <w:r>
              <w:rPr>
                <w:rFonts w:ascii="Arial" w:cs="Arial" w:eastAsia="Arial" w:hAnsi="Arial"/>
                <w:sz w:val="20"/>
                <w:szCs w:val="20"/>
                <w:color w:val="002E6D"/>
              </w:rPr>
              <w:t>per $ Gross Profit</w:t>
            </w:r>
          </w:p>
        </w:tc>
        <w:tc>
          <w:tcPr>
            <w:tcW w:w="200" w:type="dxa"/>
            <w:vAlign w:val="bottom"/>
          </w:tcPr>
          <w:p>
            <w:pPr>
              <w:spacing w:after="0"/>
              <w:rPr>
                <w:sz w:val="16"/>
                <w:szCs w:val="16"/>
                <w:color w:val="auto"/>
              </w:rPr>
            </w:pPr>
          </w:p>
        </w:tc>
        <w:tc>
          <w:tcPr>
            <w:tcW w:w="960" w:type="dxa"/>
            <w:vAlign w:val="bottom"/>
            <w:shd w:val="clear" w:color="auto" w:fill="E4E6EF"/>
          </w:tcPr>
          <w:p>
            <w:pPr>
              <w:spacing w:after="0"/>
              <w:rPr>
                <w:sz w:val="16"/>
                <w:szCs w:val="16"/>
                <w:color w:val="auto"/>
              </w:rPr>
            </w:pPr>
          </w:p>
        </w:tc>
        <w:tc>
          <w:tcPr>
            <w:tcW w:w="4660" w:type="dxa"/>
            <w:vAlign w:val="bottom"/>
            <w:vMerge w:val="continue"/>
            <w:shd w:val="clear" w:color="auto" w:fill="E4E6EF"/>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940" w:type="dxa"/>
            <w:vAlign w:val="bottom"/>
            <w:shd w:val="clear" w:color="auto" w:fill="E4E6EF"/>
          </w:tcPr>
          <w:p>
            <w:pPr>
              <w:spacing w:after="0"/>
              <w:rPr>
                <w:sz w:val="9"/>
                <w:szCs w:val="9"/>
                <w:color w:val="auto"/>
              </w:rPr>
            </w:pPr>
          </w:p>
        </w:tc>
        <w:tc>
          <w:tcPr>
            <w:tcW w:w="4480" w:type="dxa"/>
            <w:vAlign w:val="bottom"/>
            <w:vMerge w:val="continue"/>
            <w:shd w:val="clear" w:color="auto" w:fill="E4E6EF"/>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shd w:val="clear" w:color="auto" w:fill="E4E6EF"/>
          </w:tcPr>
          <w:p>
            <w:pPr>
              <w:spacing w:after="0"/>
              <w:rPr>
                <w:sz w:val="9"/>
                <w:szCs w:val="9"/>
                <w:color w:val="auto"/>
              </w:rPr>
            </w:pPr>
          </w:p>
        </w:tc>
        <w:tc>
          <w:tcPr>
            <w:tcW w:w="4660" w:type="dxa"/>
            <w:vAlign w:val="bottom"/>
            <w:shd w:val="clear" w:color="auto" w:fill="E4E6EF"/>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940" w:type="dxa"/>
            <w:vAlign w:val="bottom"/>
            <w:shd w:val="clear" w:color="auto" w:fill="E4E6EF"/>
          </w:tcPr>
          <w:p>
            <w:pPr>
              <w:spacing w:after="0"/>
              <w:rPr>
                <w:sz w:val="20"/>
                <w:szCs w:val="20"/>
                <w:color w:val="auto"/>
              </w:rPr>
            </w:pPr>
          </w:p>
        </w:tc>
        <w:tc>
          <w:tcPr>
            <w:tcW w:w="4480" w:type="dxa"/>
            <w:vAlign w:val="bottom"/>
            <w:shd w:val="clear" w:color="auto" w:fill="E4E6EF"/>
          </w:tcPr>
          <w:p>
            <w:pPr>
              <w:ind w:left="20"/>
              <w:spacing w:after="0"/>
              <w:rPr>
                <w:sz w:val="20"/>
                <w:szCs w:val="20"/>
                <w:color w:val="auto"/>
              </w:rPr>
            </w:pPr>
            <w:r>
              <w:rPr>
                <w:rFonts w:ascii="Arial" w:cs="Arial" w:eastAsia="Arial" w:hAnsi="Arial"/>
                <w:sz w:val="14"/>
                <w:szCs w:val="14"/>
                <w:color w:val="auto"/>
              </w:rPr>
              <w:t>2015 baseline</w:t>
            </w:r>
          </w:p>
        </w:tc>
        <w:tc>
          <w:tcPr>
            <w:tcW w:w="200" w:type="dxa"/>
            <w:vAlign w:val="bottom"/>
          </w:tcPr>
          <w:p>
            <w:pPr>
              <w:spacing w:after="0"/>
              <w:rPr>
                <w:sz w:val="20"/>
                <w:szCs w:val="20"/>
                <w:color w:val="auto"/>
              </w:rPr>
            </w:pPr>
          </w:p>
        </w:tc>
        <w:tc>
          <w:tcPr>
            <w:tcW w:w="960" w:type="dxa"/>
            <w:vAlign w:val="bottom"/>
            <w:shd w:val="clear" w:color="auto" w:fill="E4E6EF"/>
          </w:tcPr>
          <w:p>
            <w:pPr>
              <w:spacing w:after="0"/>
              <w:rPr>
                <w:sz w:val="20"/>
                <w:szCs w:val="20"/>
                <w:color w:val="auto"/>
              </w:rPr>
            </w:pPr>
          </w:p>
        </w:tc>
        <w:tc>
          <w:tcPr>
            <w:tcW w:w="4660" w:type="dxa"/>
            <w:vAlign w:val="bottom"/>
            <w:shd w:val="clear" w:color="auto" w:fill="E4E6EF"/>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940" w:type="dxa"/>
            <w:vAlign w:val="bottom"/>
            <w:shd w:val="clear" w:color="auto" w:fill="E4E6EF"/>
          </w:tcPr>
          <w:p>
            <w:pPr>
              <w:spacing w:after="0"/>
              <w:rPr>
                <w:sz w:val="9"/>
                <w:szCs w:val="9"/>
                <w:color w:val="auto"/>
              </w:rPr>
            </w:pPr>
          </w:p>
        </w:tc>
        <w:tc>
          <w:tcPr>
            <w:tcW w:w="4480" w:type="dxa"/>
            <w:vAlign w:val="bottom"/>
            <w:shd w:val="clear" w:color="auto" w:fill="E4E6EF"/>
          </w:tcPr>
          <w:p>
            <w:pPr>
              <w:spacing w:after="0"/>
              <w:rPr>
                <w:sz w:val="9"/>
                <w:szCs w:val="9"/>
                <w:color w:val="auto"/>
              </w:rPr>
            </w:pPr>
          </w:p>
        </w:tc>
        <w:tc>
          <w:tcPr>
            <w:tcW w:w="200" w:type="dxa"/>
            <w:vAlign w:val="bottom"/>
          </w:tcPr>
          <w:p>
            <w:pPr>
              <w:spacing w:after="0"/>
              <w:rPr>
                <w:sz w:val="9"/>
                <w:szCs w:val="9"/>
                <w:color w:val="auto"/>
              </w:rPr>
            </w:pPr>
          </w:p>
        </w:tc>
        <w:tc>
          <w:tcPr>
            <w:tcW w:w="960" w:type="dxa"/>
            <w:vAlign w:val="bottom"/>
            <w:shd w:val="clear" w:color="auto" w:fill="E4E6EF"/>
          </w:tcPr>
          <w:p>
            <w:pPr>
              <w:spacing w:after="0"/>
              <w:rPr>
                <w:sz w:val="9"/>
                <w:szCs w:val="9"/>
                <w:color w:val="auto"/>
              </w:rPr>
            </w:pPr>
          </w:p>
        </w:tc>
        <w:tc>
          <w:tcPr>
            <w:tcW w:w="4660" w:type="dxa"/>
            <w:vAlign w:val="bottom"/>
            <w:shd w:val="clear" w:color="auto" w:fill="E4E6E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-681990</wp:posOffset>
            </wp:positionV>
            <wp:extent cx="375285" cy="3752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75285" cy="375285"/>
                    </a:xfrm>
                    <a:prstGeom prst="rect">
                      <a:avLst/>
                    </a:prstGeom>
                    <a:noFill/>
                  </pic:spPr>
                </pic:pic>
              </a:graphicData>
            </a:graphic>
          </wp:anchor>
        </w:drawing>
        <w:drawing>
          <wp:anchor simplePos="0" relativeHeight="251657728" behindDoc="1" locked="0" layoutInCell="0" allowOverlap="1">
            <wp:simplePos x="0" y="0"/>
            <wp:positionH relativeFrom="column">
              <wp:posOffset>3579495</wp:posOffset>
            </wp:positionH>
            <wp:positionV relativeFrom="paragraph">
              <wp:posOffset>-681990</wp:posOffset>
            </wp:positionV>
            <wp:extent cx="375285" cy="3752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75285" cy="37528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20"/>
        <w:spacing w:after="0"/>
        <w:tabs>
          <w:tab w:leader="none" w:pos="8600" w:val="left"/>
          <w:tab w:leader="none" w:pos="111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2</w:t>
      </w:r>
    </w:p>
    <w:p>
      <w:pPr>
        <w:sectPr>
          <w:pgSz w:w="11900" w:h="16838" w:orient="portrait"/>
          <w:cols w:equalWidth="0" w:num="1">
            <w:col w:w="11240"/>
          </w:cols>
          <w:pgMar w:left="320" w:top="254" w:right="339" w:bottom="1440" w:gutter="0" w:footer="0" w:header="0"/>
          <w:type w:val="continuous"/>
        </w:sectPr>
      </w:pPr>
    </w:p>
    <w:bookmarkStart w:id="8" w:name="page9"/>
    <w:bookmarkEnd w:id="8"/>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43"/>
          <w:szCs w:val="43"/>
          <w:color w:val="003478"/>
        </w:rPr>
        <w:t>Proxy Statement Summary</w:t>
      </w:r>
    </w:p>
    <w:p>
      <w:pPr>
        <w:spacing w:after="0" w:line="54" w:lineRule="exact"/>
        <w:rPr>
          <w:sz w:val="20"/>
          <w:szCs w:val="20"/>
          <w:color w:val="auto"/>
        </w:rPr>
      </w:pPr>
    </w:p>
    <w:p>
      <w:pPr>
        <w:spacing w:after="0"/>
        <w:rPr>
          <w:sz w:val="20"/>
          <w:szCs w:val="20"/>
          <w:color w:val="auto"/>
        </w:rPr>
      </w:pPr>
      <w:r>
        <w:rPr>
          <w:rFonts w:ascii="Arial" w:cs="Arial" w:eastAsia="Arial" w:hAnsi="Arial"/>
          <w:sz w:val="29"/>
          <w:szCs w:val="29"/>
          <w:color w:val="003478"/>
        </w:rPr>
        <w:t>Corporate Governance Highlights</w:t>
      </w:r>
    </w:p>
    <w:p>
      <w:pPr>
        <w:spacing w:after="0" w:line="8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Board seeks to identify candidates with knowledge or experience that will expand or complement its existing expertise to ensure the Board is aligned to the Company’s future strategic challenges and opportunities.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980" w:type="dxa"/>
            <w:vAlign w:val="bottom"/>
            <w:gridSpan w:val="3"/>
          </w:tcPr>
          <w:p>
            <w:pPr>
              <w:ind w:left="20"/>
              <w:spacing w:after="0"/>
              <w:rPr>
                <w:sz w:val="20"/>
                <w:szCs w:val="20"/>
                <w:color w:val="auto"/>
              </w:rPr>
            </w:pPr>
            <w:r>
              <w:rPr>
                <w:rFonts w:ascii="Arial" w:cs="Arial" w:eastAsia="Arial" w:hAnsi="Arial"/>
                <w:sz w:val="13"/>
                <w:szCs w:val="13"/>
                <w:b w:val="1"/>
                <w:bCs w:val="1"/>
                <w:color w:val="002E6D"/>
              </w:rPr>
              <w:t>Name, Age, Independence, Position and Other Public Boards</w:t>
            </w:r>
          </w:p>
        </w:tc>
        <w:tc>
          <w:tcPr>
            <w:tcW w:w="720" w:type="dxa"/>
            <w:vAlign w:val="bottom"/>
          </w:tcPr>
          <w:p>
            <w:pPr>
              <w:jc w:val="right"/>
              <w:ind w:right="89"/>
              <w:spacing w:after="0"/>
              <w:rPr>
                <w:sz w:val="20"/>
                <w:szCs w:val="20"/>
                <w:color w:val="auto"/>
              </w:rPr>
            </w:pPr>
            <w:r>
              <w:rPr>
                <w:rFonts w:ascii="Arial" w:cs="Arial" w:eastAsia="Arial" w:hAnsi="Arial"/>
                <w:sz w:val="13"/>
                <w:szCs w:val="13"/>
                <w:b w:val="1"/>
                <w:bCs w:val="1"/>
                <w:color w:val="002E6D"/>
              </w:rPr>
              <w:t>Tenure</w:t>
            </w:r>
          </w:p>
        </w:tc>
        <w:tc>
          <w:tcPr>
            <w:tcW w:w="1060" w:type="dxa"/>
            <w:vAlign w:val="bottom"/>
            <w:gridSpan w:val="2"/>
          </w:tcPr>
          <w:p>
            <w:pPr>
              <w:ind w:left="100"/>
              <w:spacing w:after="0"/>
              <w:rPr>
                <w:sz w:val="20"/>
                <w:szCs w:val="20"/>
                <w:color w:val="auto"/>
              </w:rPr>
            </w:pPr>
            <w:r>
              <w:rPr>
                <w:rFonts w:ascii="Arial" w:cs="Arial" w:eastAsia="Arial" w:hAnsi="Arial"/>
                <w:sz w:val="13"/>
                <w:szCs w:val="13"/>
                <w:b w:val="1"/>
                <w:bCs w:val="1"/>
                <w:color w:val="002E6D"/>
              </w:rPr>
              <w:t>Committees</w:t>
            </w:r>
          </w:p>
        </w:tc>
        <w:tc>
          <w:tcPr>
            <w:tcW w:w="0" w:type="dxa"/>
            <w:vAlign w:val="bottom"/>
          </w:tcPr>
          <w:p>
            <w:pPr>
              <w:spacing w:after="0"/>
              <w:rPr>
                <w:sz w:val="1"/>
                <w:szCs w:val="1"/>
                <w:color w:val="auto"/>
              </w:rPr>
            </w:pPr>
          </w:p>
        </w:tc>
      </w:tr>
      <w:tr>
        <w:trPr>
          <w:trHeight w:val="98"/>
        </w:trPr>
        <w:tc>
          <w:tcPr>
            <w:tcW w:w="340" w:type="dxa"/>
            <w:vAlign w:val="bottom"/>
            <w:tcBorders>
              <w:bottom w:val="single" w:sz="8" w:color="002E6D"/>
            </w:tcBorders>
          </w:tcPr>
          <w:p>
            <w:pPr>
              <w:spacing w:after="0"/>
              <w:rPr>
                <w:sz w:val="8"/>
                <w:szCs w:val="8"/>
                <w:color w:val="auto"/>
              </w:rPr>
            </w:pPr>
          </w:p>
        </w:tc>
        <w:tc>
          <w:tcPr>
            <w:tcW w:w="320" w:type="dxa"/>
            <w:vAlign w:val="bottom"/>
            <w:tcBorders>
              <w:bottom w:val="single" w:sz="8" w:color="002E6D"/>
            </w:tcBorders>
          </w:tcPr>
          <w:p>
            <w:pPr>
              <w:spacing w:after="0"/>
              <w:rPr>
                <w:sz w:val="8"/>
                <w:szCs w:val="8"/>
                <w:color w:val="auto"/>
              </w:rPr>
            </w:pPr>
          </w:p>
        </w:tc>
        <w:tc>
          <w:tcPr>
            <w:tcW w:w="320" w:type="dxa"/>
            <w:vAlign w:val="bottom"/>
            <w:tcBorders>
              <w:bottom w:val="single" w:sz="8" w:color="002E6D"/>
            </w:tcBorders>
          </w:tcPr>
          <w:p>
            <w:pPr>
              <w:spacing w:after="0"/>
              <w:rPr>
                <w:sz w:val="8"/>
                <w:szCs w:val="8"/>
                <w:color w:val="auto"/>
              </w:rPr>
            </w:pPr>
          </w:p>
        </w:tc>
        <w:tc>
          <w:tcPr>
            <w:tcW w:w="2300" w:type="dxa"/>
            <w:vAlign w:val="bottom"/>
            <w:tcBorders>
              <w:bottom w:val="single" w:sz="8" w:color="002E6D"/>
            </w:tcBorders>
            <w:gridSpan w:val="2"/>
          </w:tcPr>
          <w:p>
            <w:pPr>
              <w:spacing w:after="0"/>
              <w:rPr>
                <w:sz w:val="8"/>
                <w:szCs w:val="8"/>
                <w:color w:val="auto"/>
              </w:rPr>
            </w:pPr>
          </w:p>
        </w:tc>
        <w:tc>
          <w:tcPr>
            <w:tcW w:w="2680" w:type="dxa"/>
            <w:vAlign w:val="bottom"/>
            <w:tcBorders>
              <w:bottom w:val="single" w:sz="8" w:color="002E6D"/>
            </w:tcBorders>
          </w:tcPr>
          <w:p>
            <w:pPr>
              <w:spacing w:after="0"/>
              <w:rPr>
                <w:sz w:val="8"/>
                <w:szCs w:val="8"/>
                <w:color w:val="auto"/>
              </w:rPr>
            </w:pPr>
          </w:p>
        </w:tc>
        <w:tc>
          <w:tcPr>
            <w:tcW w:w="720" w:type="dxa"/>
            <w:vAlign w:val="bottom"/>
            <w:tcBorders>
              <w:bottom w:val="single" w:sz="8" w:color="002E6D"/>
            </w:tcBorders>
          </w:tcPr>
          <w:p>
            <w:pPr>
              <w:spacing w:after="0"/>
              <w:rPr>
                <w:sz w:val="8"/>
                <w:szCs w:val="8"/>
                <w:color w:val="auto"/>
              </w:rPr>
            </w:pPr>
          </w:p>
        </w:tc>
        <w:tc>
          <w:tcPr>
            <w:tcW w:w="320" w:type="dxa"/>
            <w:vAlign w:val="bottom"/>
            <w:tcBorders>
              <w:bottom w:val="single" w:sz="8" w:color="002E6D"/>
            </w:tcBorders>
          </w:tcPr>
          <w:p>
            <w:pPr>
              <w:spacing w:after="0"/>
              <w:rPr>
                <w:sz w:val="8"/>
                <w:szCs w:val="8"/>
                <w:color w:val="auto"/>
              </w:rPr>
            </w:pPr>
          </w:p>
        </w:tc>
        <w:tc>
          <w:tcPr>
            <w:tcW w:w="740" w:type="dxa"/>
            <w:vAlign w:val="bottom"/>
            <w:tcBorders>
              <w:bottom w:val="single" w:sz="8" w:color="002E6D"/>
            </w:tcBorders>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shd w:val="clear" w:color="auto" w:fill="445C90"/>
          </w:tcPr>
          <w:p>
            <w:pPr>
              <w:spacing w:after="0"/>
              <w:rPr>
                <w:sz w:val="12"/>
                <w:szCs w:val="12"/>
                <w:color w:val="auto"/>
              </w:rPr>
            </w:pPr>
          </w:p>
        </w:tc>
        <w:tc>
          <w:tcPr>
            <w:tcW w:w="2300" w:type="dxa"/>
            <w:vAlign w:val="bottom"/>
            <w:gridSpan w:val="2"/>
          </w:tcPr>
          <w:p>
            <w:pPr>
              <w:ind w:left="700"/>
              <w:spacing w:after="0" w:line="146" w:lineRule="exact"/>
              <w:rPr>
                <w:sz w:val="20"/>
                <w:szCs w:val="20"/>
                <w:color w:val="auto"/>
              </w:rPr>
            </w:pPr>
            <w:r>
              <w:rPr>
                <w:rFonts w:ascii="Arial" w:cs="Arial" w:eastAsia="Arial" w:hAnsi="Arial"/>
                <w:sz w:val="14"/>
                <w:szCs w:val="14"/>
                <w:b w:val="1"/>
                <w:bCs w:val="1"/>
                <w:color w:val="002E6D"/>
              </w:rPr>
              <w:t xml:space="preserve">James D. Taiclet, </w:t>
            </w:r>
            <w:r>
              <w:rPr>
                <w:rFonts w:ascii="Arial" w:cs="Arial" w:eastAsia="Arial" w:hAnsi="Arial"/>
                <w:sz w:val="14"/>
                <w:szCs w:val="14"/>
                <w:color w:val="002E6D"/>
              </w:rPr>
              <w:t>61</w:t>
            </w:r>
          </w:p>
        </w:tc>
        <w:tc>
          <w:tcPr>
            <w:tcW w:w="2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shd w:val="clear" w:color="auto" w:fill="445C90"/>
          </w:tcPr>
          <w:p>
            <w:pPr>
              <w:spacing w:after="0"/>
              <w:rPr>
                <w:sz w:val="18"/>
                <w:szCs w:val="18"/>
                <w:color w:val="auto"/>
              </w:rPr>
            </w:pPr>
          </w:p>
        </w:tc>
        <w:tc>
          <w:tcPr>
            <w:tcW w:w="4980" w:type="dxa"/>
            <w:vAlign w:val="bottom"/>
            <w:gridSpan w:val="3"/>
          </w:tcPr>
          <w:p>
            <w:pPr>
              <w:ind w:left="700"/>
              <w:spacing w:after="0"/>
              <w:rPr>
                <w:sz w:val="20"/>
                <w:szCs w:val="20"/>
                <w:color w:val="auto"/>
              </w:rPr>
            </w:pPr>
            <w:r>
              <w:rPr>
                <w:rFonts w:ascii="Arial" w:cs="Arial" w:eastAsia="Arial" w:hAnsi="Arial"/>
                <w:sz w:val="14"/>
                <w:szCs w:val="14"/>
                <w:color w:val="auto"/>
              </w:rPr>
              <w:t>Chairman, President &amp; CEO, Lockheed Martin Corporation</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2018</w:t>
            </w: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340" w:type="dxa"/>
            <w:vAlign w:val="bottom"/>
            <w:tcBorders>
              <w:bottom w:val="single" w:sz="8" w:color="BCBEC0"/>
            </w:tcBorders>
          </w:tcPr>
          <w:p>
            <w:pPr>
              <w:spacing w:after="0"/>
              <w:rPr>
                <w:sz w:val="20"/>
                <w:szCs w:val="20"/>
                <w:color w:val="auto"/>
              </w:rPr>
            </w:pPr>
          </w:p>
        </w:tc>
        <w:tc>
          <w:tcPr>
            <w:tcW w:w="320" w:type="dxa"/>
            <w:vAlign w:val="bottom"/>
            <w:tcBorders>
              <w:bottom w:val="single" w:sz="8" w:color="002E6D"/>
            </w:tcBorders>
          </w:tcPr>
          <w:p>
            <w:pPr>
              <w:spacing w:after="0"/>
              <w:rPr>
                <w:sz w:val="20"/>
                <w:szCs w:val="20"/>
                <w:color w:val="auto"/>
              </w:rPr>
            </w:pPr>
          </w:p>
        </w:tc>
        <w:tc>
          <w:tcPr>
            <w:tcW w:w="320" w:type="dxa"/>
            <w:vAlign w:val="bottom"/>
            <w:tcBorders>
              <w:bottom w:val="single" w:sz="8" w:color="445C90"/>
            </w:tcBorders>
            <w:shd w:val="clear" w:color="auto" w:fill="445C90"/>
          </w:tcPr>
          <w:p>
            <w:pPr>
              <w:spacing w:after="0"/>
              <w:rPr>
                <w:sz w:val="20"/>
                <w:szCs w:val="20"/>
                <w:color w:val="auto"/>
              </w:rPr>
            </w:pPr>
          </w:p>
        </w:tc>
        <w:tc>
          <w:tcPr>
            <w:tcW w:w="4980" w:type="dxa"/>
            <w:vAlign w:val="bottom"/>
            <w:tcBorders>
              <w:bottom w:val="single" w:sz="8" w:color="959595"/>
            </w:tcBorders>
            <w:gridSpan w:val="3"/>
          </w:tcPr>
          <w:p>
            <w:pPr>
              <w:spacing w:after="0"/>
              <w:rPr>
                <w:sz w:val="20"/>
                <w:szCs w:val="20"/>
                <w:color w:val="auto"/>
              </w:rPr>
            </w:pPr>
          </w:p>
        </w:tc>
        <w:tc>
          <w:tcPr>
            <w:tcW w:w="720" w:type="dxa"/>
            <w:vAlign w:val="bottom"/>
            <w:tcBorders>
              <w:bottom w:val="single" w:sz="8" w:color="959595"/>
            </w:tcBorders>
          </w:tcPr>
          <w:p>
            <w:pPr>
              <w:spacing w:after="0"/>
              <w:rPr>
                <w:sz w:val="20"/>
                <w:szCs w:val="20"/>
                <w:color w:val="auto"/>
              </w:rPr>
            </w:pPr>
          </w:p>
        </w:tc>
        <w:tc>
          <w:tcPr>
            <w:tcW w:w="320" w:type="dxa"/>
            <w:vAlign w:val="bottom"/>
            <w:tcBorders>
              <w:bottom w:val="single" w:sz="8" w:color="959595"/>
            </w:tcBorders>
          </w:tcPr>
          <w:p>
            <w:pPr>
              <w:spacing w:after="0"/>
              <w:rPr>
                <w:sz w:val="20"/>
                <w:szCs w:val="20"/>
                <w:color w:val="auto"/>
              </w:rPr>
            </w:pPr>
          </w:p>
        </w:tc>
        <w:tc>
          <w:tcPr>
            <w:tcW w:w="740" w:type="dxa"/>
            <w:vAlign w:val="bottom"/>
            <w:tcBorders>
              <w:bottom w:val="single" w:sz="8" w:color="959595"/>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0" w:type="dxa"/>
            <w:vAlign w:val="bottom"/>
            <w:shd w:val="clear" w:color="auto" w:fill="BCBEC0"/>
          </w:tcPr>
          <w:p>
            <w:pPr>
              <w:spacing w:after="0"/>
              <w:rPr>
                <w:sz w:val="20"/>
                <w:szCs w:val="20"/>
                <w:color w:val="auto"/>
              </w:rPr>
            </w:pPr>
          </w:p>
        </w:tc>
        <w:tc>
          <w:tcPr>
            <w:tcW w:w="320" w:type="dxa"/>
            <w:vAlign w:val="bottom"/>
            <w:shd w:val="clear" w:color="auto" w:fill="002E6D"/>
          </w:tcPr>
          <w:p>
            <w:pPr>
              <w:spacing w:after="0"/>
              <w:rPr>
                <w:sz w:val="20"/>
                <w:szCs w:val="20"/>
                <w:color w:val="auto"/>
              </w:rPr>
            </w:pPr>
          </w:p>
        </w:tc>
        <w:tc>
          <w:tcPr>
            <w:tcW w:w="320" w:type="dxa"/>
            <w:vAlign w:val="bottom"/>
            <w:shd w:val="clear" w:color="auto" w:fill="445C90"/>
          </w:tcPr>
          <w:p>
            <w:pPr>
              <w:spacing w:after="0"/>
              <w:rPr>
                <w:sz w:val="20"/>
                <w:szCs w:val="20"/>
                <w:color w:val="auto"/>
              </w:rPr>
            </w:pPr>
          </w:p>
        </w:tc>
        <w:tc>
          <w:tcPr>
            <w:tcW w:w="4980" w:type="dxa"/>
            <w:vAlign w:val="bottom"/>
            <w:gridSpan w:val="3"/>
          </w:tcPr>
          <w:p>
            <w:pPr>
              <w:ind w:left="700"/>
              <w:spacing w:after="0"/>
              <w:rPr>
                <w:sz w:val="20"/>
                <w:szCs w:val="20"/>
                <w:color w:val="auto"/>
              </w:rPr>
            </w:pPr>
            <w:r>
              <w:rPr>
                <w:rFonts w:ascii="Arial" w:cs="Arial" w:eastAsia="Arial" w:hAnsi="Arial"/>
                <w:sz w:val="14"/>
                <w:szCs w:val="14"/>
                <w:b w:val="1"/>
                <w:bCs w:val="1"/>
                <w:color w:val="002E6D"/>
              </w:rPr>
              <w:t xml:space="preserve">Daniel F. Akerson, </w:t>
            </w:r>
            <w:r>
              <w:rPr>
                <w:rFonts w:ascii="Arial" w:cs="Arial" w:eastAsia="Arial" w:hAnsi="Arial"/>
                <w:sz w:val="14"/>
                <w:szCs w:val="14"/>
                <w:color w:val="002E6D"/>
              </w:rPr>
              <w:t>73,</w:t>
            </w:r>
            <w:r>
              <w:rPr>
                <w:rFonts w:ascii="Arial" w:cs="Arial" w:eastAsia="Arial" w:hAnsi="Arial"/>
                <w:sz w:val="14"/>
                <w:szCs w:val="14"/>
                <w:b w:val="1"/>
                <w:bCs w:val="1"/>
                <w:color w:val="002E6D"/>
              </w:rPr>
              <w:t xml:space="preserve"> Independent Lead Director</w:t>
            </w: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2014</w:t>
            </w:r>
          </w:p>
        </w:tc>
        <w:tc>
          <w:tcPr>
            <w:tcW w:w="320" w:type="dxa"/>
            <w:vAlign w:val="bottom"/>
          </w:tcPr>
          <w:p>
            <w:pPr>
              <w:spacing w:after="0"/>
              <w:rPr>
                <w:sz w:val="20"/>
                <w:szCs w:val="20"/>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003478"/>
              </w:rPr>
              <w:t>N*</w:t>
            </w:r>
          </w:p>
        </w:tc>
        <w:tc>
          <w:tcPr>
            <w:tcW w:w="0" w:type="dxa"/>
            <w:vAlign w:val="bottom"/>
          </w:tcPr>
          <w:p>
            <w:pPr>
              <w:spacing w:after="0"/>
              <w:rPr>
                <w:sz w:val="1"/>
                <w:szCs w:val="1"/>
                <w:color w:val="auto"/>
              </w:rPr>
            </w:pPr>
          </w:p>
        </w:tc>
      </w:tr>
      <w:tr>
        <w:trPr>
          <w:trHeight w:val="175"/>
        </w:trPr>
        <w:tc>
          <w:tcPr>
            <w:tcW w:w="340" w:type="dxa"/>
            <w:vAlign w:val="bottom"/>
            <w:shd w:val="clear" w:color="auto" w:fill="BCBEC0"/>
          </w:tcPr>
          <w:p>
            <w:pPr>
              <w:spacing w:after="0"/>
              <w:rPr>
                <w:sz w:val="15"/>
                <w:szCs w:val="15"/>
                <w:color w:val="auto"/>
              </w:rPr>
            </w:pPr>
          </w:p>
        </w:tc>
        <w:tc>
          <w:tcPr>
            <w:tcW w:w="320" w:type="dxa"/>
            <w:vAlign w:val="bottom"/>
            <w:shd w:val="clear" w:color="auto" w:fill="002E6D"/>
          </w:tcPr>
          <w:p>
            <w:pPr>
              <w:spacing w:after="0"/>
              <w:rPr>
                <w:sz w:val="15"/>
                <w:szCs w:val="15"/>
                <w:color w:val="auto"/>
              </w:rPr>
            </w:pPr>
          </w:p>
        </w:tc>
        <w:tc>
          <w:tcPr>
            <w:tcW w:w="320" w:type="dxa"/>
            <w:vAlign w:val="bottom"/>
            <w:shd w:val="clear" w:color="auto" w:fill="445C90"/>
          </w:tcPr>
          <w:p>
            <w:pPr>
              <w:spacing w:after="0"/>
              <w:rPr>
                <w:sz w:val="15"/>
                <w:szCs w:val="15"/>
                <w:color w:val="auto"/>
              </w:rPr>
            </w:pPr>
          </w:p>
        </w:tc>
        <w:tc>
          <w:tcPr>
            <w:tcW w:w="4980" w:type="dxa"/>
            <w:vAlign w:val="bottom"/>
            <w:gridSpan w:val="3"/>
          </w:tcPr>
          <w:p>
            <w:pPr>
              <w:ind w:left="700"/>
              <w:spacing w:after="0"/>
              <w:rPr>
                <w:sz w:val="20"/>
                <w:szCs w:val="20"/>
                <w:color w:val="auto"/>
              </w:rPr>
            </w:pPr>
            <w:r>
              <w:rPr>
                <w:rFonts w:ascii="Arial" w:cs="Arial" w:eastAsia="Arial" w:hAnsi="Arial"/>
                <w:sz w:val="14"/>
                <w:szCs w:val="14"/>
                <w:color w:val="auto"/>
              </w:rPr>
              <w:t>Retired Chairman &amp; CEO, General Motors Company</w:t>
            </w:r>
          </w:p>
        </w:tc>
        <w:tc>
          <w:tcPr>
            <w:tcW w:w="7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40" w:type="dxa"/>
            <w:vAlign w:val="bottom"/>
            <w:tcBorders>
              <w:bottom w:val="single" w:sz="8" w:color="BCBEC0"/>
            </w:tcBorders>
            <w:shd w:val="clear" w:color="auto" w:fill="BCBEC0"/>
          </w:tcPr>
          <w:p>
            <w:pPr>
              <w:spacing w:after="0"/>
              <w:rPr>
                <w:sz w:val="19"/>
                <w:szCs w:val="19"/>
                <w:color w:val="auto"/>
              </w:rPr>
            </w:pPr>
          </w:p>
        </w:tc>
        <w:tc>
          <w:tcPr>
            <w:tcW w:w="320" w:type="dxa"/>
            <w:vAlign w:val="bottom"/>
            <w:tcBorders>
              <w:bottom w:val="single" w:sz="8" w:color="002E6D"/>
            </w:tcBorders>
            <w:shd w:val="clear" w:color="auto" w:fill="002E6D"/>
          </w:tcPr>
          <w:p>
            <w:pPr>
              <w:spacing w:after="0"/>
              <w:rPr>
                <w:sz w:val="19"/>
                <w:szCs w:val="19"/>
                <w:color w:val="auto"/>
              </w:rPr>
            </w:pPr>
          </w:p>
        </w:tc>
        <w:tc>
          <w:tcPr>
            <w:tcW w:w="320" w:type="dxa"/>
            <w:vAlign w:val="bottom"/>
            <w:shd w:val="clear" w:color="auto" w:fill="445C90"/>
          </w:tcPr>
          <w:p>
            <w:pPr>
              <w:spacing w:after="0"/>
              <w:rPr>
                <w:sz w:val="19"/>
                <w:szCs w:val="19"/>
                <w:color w:val="auto"/>
              </w:rPr>
            </w:pPr>
          </w:p>
        </w:tc>
        <w:tc>
          <w:tcPr>
            <w:tcW w:w="2300" w:type="dxa"/>
            <w:vAlign w:val="bottom"/>
            <w:tcBorders>
              <w:bottom w:val="single" w:sz="8" w:color="959595"/>
            </w:tcBorders>
            <w:gridSpan w:val="2"/>
          </w:tcPr>
          <w:p>
            <w:pPr>
              <w:spacing w:after="0"/>
              <w:rPr>
                <w:sz w:val="19"/>
                <w:szCs w:val="19"/>
                <w:color w:val="auto"/>
              </w:rPr>
            </w:pPr>
          </w:p>
        </w:tc>
        <w:tc>
          <w:tcPr>
            <w:tcW w:w="2680" w:type="dxa"/>
            <w:vAlign w:val="bottom"/>
            <w:tcBorders>
              <w:bottom w:val="single" w:sz="8" w:color="959595"/>
            </w:tcBorders>
          </w:tcPr>
          <w:p>
            <w:pPr>
              <w:spacing w:after="0"/>
              <w:rPr>
                <w:sz w:val="19"/>
                <w:szCs w:val="19"/>
                <w:color w:val="auto"/>
              </w:rPr>
            </w:pPr>
          </w:p>
        </w:tc>
        <w:tc>
          <w:tcPr>
            <w:tcW w:w="720" w:type="dxa"/>
            <w:vAlign w:val="bottom"/>
            <w:tcBorders>
              <w:bottom w:val="single" w:sz="8" w:color="959595"/>
            </w:tcBorders>
          </w:tcPr>
          <w:p>
            <w:pPr>
              <w:spacing w:after="0"/>
              <w:rPr>
                <w:sz w:val="19"/>
                <w:szCs w:val="19"/>
                <w:color w:val="auto"/>
              </w:rPr>
            </w:pPr>
          </w:p>
        </w:tc>
        <w:tc>
          <w:tcPr>
            <w:tcW w:w="320" w:type="dxa"/>
            <w:vAlign w:val="bottom"/>
            <w:tcBorders>
              <w:bottom w:val="single" w:sz="8" w:color="959595"/>
            </w:tcBorders>
          </w:tcPr>
          <w:p>
            <w:pPr>
              <w:spacing w:after="0"/>
              <w:rPr>
                <w:sz w:val="19"/>
                <w:szCs w:val="19"/>
                <w:color w:val="auto"/>
              </w:rPr>
            </w:pPr>
          </w:p>
        </w:tc>
        <w:tc>
          <w:tcPr>
            <w:tcW w:w="740" w:type="dxa"/>
            <w:vAlign w:val="bottom"/>
            <w:tcBorders>
              <w:bottom w:val="single" w:sz="8" w:color="959595"/>
            </w:tcBorders>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340" w:type="dxa"/>
            <w:vAlign w:val="bottom"/>
            <w:shd w:val="clear" w:color="auto" w:fill="BCBEC0"/>
          </w:tcPr>
          <w:p>
            <w:pPr>
              <w:spacing w:after="0"/>
              <w:rPr>
                <w:sz w:val="16"/>
                <w:szCs w:val="16"/>
                <w:color w:val="auto"/>
              </w:rPr>
            </w:pPr>
          </w:p>
        </w:tc>
        <w:tc>
          <w:tcPr>
            <w:tcW w:w="320" w:type="dxa"/>
            <w:vAlign w:val="bottom"/>
            <w:shd w:val="clear" w:color="auto" w:fill="002E6D"/>
          </w:tcPr>
          <w:p>
            <w:pPr>
              <w:spacing w:after="0"/>
              <w:rPr>
                <w:sz w:val="16"/>
                <w:szCs w:val="16"/>
                <w:color w:val="auto"/>
              </w:rPr>
            </w:pPr>
          </w:p>
        </w:tc>
        <w:tc>
          <w:tcPr>
            <w:tcW w:w="320" w:type="dxa"/>
            <w:vAlign w:val="bottom"/>
          </w:tcPr>
          <w:p>
            <w:pPr>
              <w:spacing w:after="0"/>
              <w:rPr>
                <w:sz w:val="16"/>
                <w:szCs w:val="16"/>
                <w:color w:val="auto"/>
              </w:rPr>
            </w:pPr>
          </w:p>
        </w:tc>
        <w:tc>
          <w:tcPr>
            <w:tcW w:w="2300" w:type="dxa"/>
            <w:vAlign w:val="bottom"/>
            <w:gridSpan w:val="2"/>
          </w:tcPr>
          <w:p>
            <w:pPr>
              <w:ind w:left="700"/>
              <w:spacing w:after="0"/>
              <w:rPr>
                <w:sz w:val="20"/>
                <w:szCs w:val="20"/>
                <w:color w:val="auto"/>
              </w:rPr>
            </w:pPr>
            <w:r>
              <w:rPr>
                <w:rFonts w:ascii="Arial" w:cs="Arial" w:eastAsia="Arial" w:hAnsi="Arial"/>
                <w:sz w:val="14"/>
                <w:szCs w:val="14"/>
                <w:b w:val="1"/>
                <w:bCs w:val="1"/>
                <w:color w:val="002E6D"/>
              </w:rPr>
              <w:t xml:space="preserve">James O. Ellis, Jr., </w:t>
            </w:r>
            <w:r>
              <w:rPr>
                <w:rFonts w:ascii="Arial" w:cs="Arial" w:eastAsia="Arial" w:hAnsi="Arial"/>
                <w:sz w:val="14"/>
                <w:szCs w:val="14"/>
                <w:color w:val="002E6D"/>
              </w:rPr>
              <w:t>74</w:t>
            </w:r>
          </w:p>
        </w:tc>
        <w:tc>
          <w:tcPr>
            <w:tcW w:w="2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40" w:type="dxa"/>
            <w:vAlign w:val="bottom"/>
            <w:shd w:val="clear" w:color="auto" w:fill="BCBEC0"/>
          </w:tcPr>
          <w:p>
            <w:pPr>
              <w:spacing w:after="0"/>
              <w:rPr>
                <w:sz w:val="11"/>
                <w:szCs w:val="11"/>
                <w:color w:val="auto"/>
              </w:rPr>
            </w:pPr>
          </w:p>
        </w:tc>
        <w:tc>
          <w:tcPr>
            <w:tcW w:w="320" w:type="dxa"/>
            <w:vAlign w:val="bottom"/>
            <w:shd w:val="clear" w:color="auto" w:fill="002E6D"/>
          </w:tcPr>
          <w:p>
            <w:pPr>
              <w:spacing w:after="0"/>
              <w:rPr>
                <w:sz w:val="11"/>
                <w:szCs w:val="11"/>
                <w:color w:val="auto"/>
              </w:rPr>
            </w:pPr>
          </w:p>
        </w:tc>
        <w:tc>
          <w:tcPr>
            <w:tcW w:w="320" w:type="dxa"/>
            <w:vAlign w:val="bottom"/>
          </w:tcPr>
          <w:p>
            <w:pPr>
              <w:spacing w:after="0"/>
              <w:rPr>
                <w:sz w:val="11"/>
                <w:szCs w:val="11"/>
                <w:color w:val="auto"/>
              </w:rPr>
            </w:pPr>
          </w:p>
        </w:tc>
        <w:tc>
          <w:tcPr>
            <w:tcW w:w="4980" w:type="dxa"/>
            <w:vAlign w:val="bottom"/>
            <w:gridSpan w:val="3"/>
          </w:tcPr>
          <w:p>
            <w:pPr>
              <w:ind w:left="700"/>
              <w:spacing w:after="0" w:line="135" w:lineRule="exact"/>
              <w:rPr>
                <w:sz w:val="20"/>
                <w:szCs w:val="20"/>
                <w:color w:val="auto"/>
              </w:rPr>
            </w:pPr>
            <w:r>
              <w:rPr>
                <w:rFonts w:ascii="Arial" w:cs="Arial" w:eastAsia="Arial" w:hAnsi="Arial"/>
                <w:sz w:val="14"/>
                <w:szCs w:val="14"/>
                <w:color w:val="auto"/>
              </w:rPr>
              <w:t>Retired President &amp; CEO, Institute of Nuclear</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003478"/>
              </w:rPr>
              <w:t>A</w:t>
            </w:r>
          </w:p>
        </w:tc>
        <w:tc>
          <w:tcPr>
            <w:tcW w:w="0" w:type="dxa"/>
            <w:vAlign w:val="bottom"/>
          </w:tcPr>
          <w:p>
            <w:pPr>
              <w:spacing w:after="0"/>
              <w:rPr>
                <w:sz w:val="1"/>
                <w:szCs w:val="1"/>
                <w:color w:val="auto"/>
              </w:rPr>
            </w:pPr>
          </w:p>
        </w:tc>
      </w:tr>
      <w:tr>
        <w:trPr>
          <w:trHeight w:val="103"/>
        </w:trPr>
        <w:tc>
          <w:tcPr>
            <w:tcW w:w="340" w:type="dxa"/>
            <w:vAlign w:val="bottom"/>
            <w:shd w:val="clear" w:color="auto" w:fill="BCBEC0"/>
          </w:tcPr>
          <w:p>
            <w:pPr>
              <w:spacing w:after="0"/>
              <w:rPr>
                <w:sz w:val="8"/>
                <w:szCs w:val="8"/>
                <w:color w:val="auto"/>
              </w:rPr>
            </w:pPr>
          </w:p>
        </w:tc>
        <w:tc>
          <w:tcPr>
            <w:tcW w:w="320" w:type="dxa"/>
            <w:vAlign w:val="bottom"/>
            <w:shd w:val="clear" w:color="auto" w:fill="002E6D"/>
          </w:tcPr>
          <w:p>
            <w:pPr>
              <w:spacing w:after="0"/>
              <w:rPr>
                <w:sz w:val="8"/>
                <w:szCs w:val="8"/>
                <w:color w:val="auto"/>
              </w:rPr>
            </w:pPr>
          </w:p>
        </w:tc>
        <w:tc>
          <w:tcPr>
            <w:tcW w:w="320" w:type="dxa"/>
            <w:vAlign w:val="bottom"/>
          </w:tcPr>
          <w:p>
            <w:pPr>
              <w:spacing w:after="0"/>
              <w:rPr>
                <w:sz w:val="8"/>
                <w:szCs w:val="8"/>
                <w:color w:val="auto"/>
              </w:rPr>
            </w:pPr>
          </w:p>
        </w:tc>
        <w:tc>
          <w:tcPr>
            <w:tcW w:w="1980" w:type="dxa"/>
            <w:vAlign w:val="bottom"/>
            <w:vMerge w:val="restart"/>
          </w:tcPr>
          <w:p>
            <w:pPr>
              <w:ind w:left="700"/>
              <w:spacing w:after="0" w:line="130" w:lineRule="exact"/>
              <w:rPr>
                <w:sz w:val="20"/>
                <w:szCs w:val="20"/>
                <w:color w:val="auto"/>
              </w:rPr>
            </w:pPr>
            <w:r>
              <w:rPr>
                <w:rFonts w:ascii="Arial" w:cs="Arial" w:eastAsia="Arial" w:hAnsi="Arial"/>
                <w:sz w:val="14"/>
                <w:szCs w:val="14"/>
                <w:color w:val="auto"/>
              </w:rPr>
              <w:t>Power Operations</w:t>
            </w:r>
          </w:p>
        </w:tc>
        <w:tc>
          <w:tcPr>
            <w:tcW w:w="3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720" w:type="dxa"/>
            <w:vAlign w:val="bottom"/>
            <w:vMerge w:val="restart"/>
          </w:tcPr>
          <w:p>
            <w:pPr>
              <w:jc w:val="right"/>
              <w:ind w:right="29"/>
              <w:spacing w:after="0" w:line="130" w:lineRule="exact"/>
              <w:rPr>
                <w:sz w:val="20"/>
                <w:szCs w:val="20"/>
                <w:color w:val="auto"/>
              </w:rPr>
            </w:pPr>
            <w:r>
              <w:rPr>
                <w:rFonts w:ascii="Arial" w:cs="Arial" w:eastAsia="Arial" w:hAnsi="Arial"/>
                <w:sz w:val="14"/>
                <w:szCs w:val="14"/>
                <w:color w:val="auto"/>
              </w:rPr>
              <w:t>2004</w:t>
            </w:r>
          </w:p>
        </w:tc>
        <w:tc>
          <w:tcPr>
            <w:tcW w:w="3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340" w:type="dxa"/>
            <w:vAlign w:val="bottom"/>
            <w:shd w:val="clear" w:color="auto" w:fill="BCBEC0"/>
          </w:tcPr>
          <w:p>
            <w:pPr>
              <w:spacing w:after="0"/>
              <w:rPr>
                <w:sz w:val="2"/>
                <w:szCs w:val="2"/>
                <w:color w:val="auto"/>
              </w:rPr>
            </w:pPr>
          </w:p>
        </w:tc>
        <w:tc>
          <w:tcPr>
            <w:tcW w:w="320" w:type="dxa"/>
            <w:vAlign w:val="bottom"/>
            <w:shd w:val="clear" w:color="auto" w:fill="002E6D"/>
          </w:tcPr>
          <w:p>
            <w:pPr>
              <w:spacing w:after="0"/>
              <w:rPr>
                <w:sz w:val="2"/>
                <w:szCs w:val="2"/>
                <w:color w:val="auto"/>
              </w:rPr>
            </w:pPr>
          </w:p>
        </w:tc>
        <w:tc>
          <w:tcPr>
            <w:tcW w:w="320" w:type="dxa"/>
            <w:vAlign w:val="bottom"/>
          </w:tcPr>
          <w:p>
            <w:pPr>
              <w:spacing w:after="0"/>
              <w:rPr>
                <w:sz w:val="2"/>
                <w:szCs w:val="2"/>
                <w:color w:val="auto"/>
              </w:rPr>
            </w:pPr>
          </w:p>
        </w:tc>
        <w:tc>
          <w:tcPr>
            <w:tcW w:w="198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003478"/>
              </w:rPr>
              <w:t>C *</w:t>
            </w:r>
          </w:p>
        </w:tc>
        <w:tc>
          <w:tcPr>
            <w:tcW w:w="0" w:type="dxa"/>
            <w:vAlign w:val="bottom"/>
          </w:tcPr>
          <w:p>
            <w:pPr>
              <w:spacing w:after="0" w:line="20" w:lineRule="exact"/>
              <w:rPr>
                <w:sz w:val="1"/>
                <w:szCs w:val="1"/>
                <w:color w:val="auto"/>
              </w:rPr>
            </w:pPr>
          </w:p>
        </w:tc>
      </w:tr>
      <w:tr>
        <w:trPr>
          <w:trHeight w:val="134"/>
        </w:trPr>
        <w:tc>
          <w:tcPr>
            <w:tcW w:w="340" w:type="dxa"/>
            <w:vAlign w:val="bottom"/>
            <w:shd w:val="clear" w:color="auto" w:fill="BCBEC0"/>
          </w:tcPr>
          <w:p>
            <w:pPr>
              <w:spacing w:after="0"/>
              <w:rPr>
                <w:sz w:val="11"/>
                <w:szCs w:val="11"/>
                <w:color w:val="auto"/>
              </w:rPr>
            </w:pPr>
          </w:p>
        </w:tc>
        <w:tc>
          <w:tcPr>
            <w:tcW w:w="320" w:type="dxa"/>
            <w:vAlign w:val="bottom"/>
            <w:shd w:val="clear" w:color="auto" w:fill="002E6D"/>
          </w:tcPr>
          <w:p>
            <w:pPr>
              <w:spacing w:after="0"/>
              <w:rPr>
                <w:sz w:val="11"/>
                <w:szCs w:val="11"/>
                <w:color w:val="auto"/>
              </w:rPr>
            </w:pPr>
          </w:p>
        </w:tc>
        <w:tc>
          <w:tcPr>
            <w:tcW w:w="320" w:type="dxa"/>
            <w:vAlign w:val="bottom"/>
          </w:tcPr>
          <w:p>
            <w:pPr>
              <w:spacing w:after="0"/>
              <w:rPr>
                <w:sz w:val="11"/>
                <w:szCs w:val="11"/>
                <w:color w:val="auto"/>
              </w:rPr>
            </w:pPr>
          </w:p>
        </w:tc>
        <w:tc>
          <w:tcPr>
            <w:tcW w:w="4980" w:type="dxa"/>
            <w:vAlign w:val="bottom"/>
            <w:gridSpan w:val="3"/>
          </w:tcPr>
          <w:p>
            <w:pPr>
              <w:ind w:left="700"/>
              <w:spacing w:after="0" w:line="135" w:lineRule="exact"/>
              <w:rPr>
                <w:sz w:val="20"/>
                <w:szCs w:val="20"/>
                <w:color w:val="auto"/>
              </w:rPr>
            </w:pPr>
            <w:r>
              <w:rPr>
                <w:rFonts w:ascii="Arial" w:cs="Arial" w:eastAsia="Arial" w:hAnsi="Arial"/>
                <w:sz w:val="14"/>
                <w:szCs w:val="14"/>
                <w:i w:val="1"/>
                <w:iCs w:val="1"/>
                <w:color w:val="auto"/>
              </w:rPr>
              <w:t>Director at Dominion Energy, Inc. (Finance &amp; Risk</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40" w:type="dxa"/>
            <w:vAlign w:val="bottom"/>
            <w:shd w:val="clear" w:color="auto" w:fill="BCBEC0"/>
          </w:tcPr>
          <w:p>
            <w:pPr>
              <w:spacing w:after="0"/>
              <w:rPr>
                <w:sz w:val="16"/>
                <w:szCs w:val="16"/>
                <w:color w:val="auto"/>
              </w:rPr>
            </w:pPr>
          </w:p>
        </w:tc>
        <w:tc>
          <w:tcPr>
            <w:tcW w:w="320" w:type="dxa"/>
            <w:vAlign w:val="bottom"/>
            <w:shd w:val="clear" w:color="auto" w:fill="002E6D"/>
          </w:tcPr>
          <w:p>
            <w:pPr>
              <w:spacing w:after="0"/>
              <w:rPr>
                <w:sz w:val="16"/>
                <w:szCs w:val="16"/>
                <w:color w:val="auto"/>
              </w:rPr>
            </w:pPr>
          </w:p>
        </w:tc>
        <w:tc>
          <w:tcPr>
            <w:tcW w:w="320" w:type="dxa"/>
            <w:vAlign w:val="bottom"/>
          </w:tcPr>
          <w:p>
            <w:pPr>
              <w:spacing w:after="0"/>
              <w:rPr>
                <w:sz w:val="16"/>
                <w:szCs w:val="16"/>
                <w:color w:val="auto"/>
              </w:rPr>
            </w:pPr>
          </w:p>
        </w:tc>
        <w:tc>
          <w:tcPr>
            <w:tcW w:w="4980" w:type="dxa"/>
            <w:vAlign w:val="bottom"/>
            <w:gridSpan w:val="3"/>
          </w:tcPr>
          <w:p>
            <w:pPr>
              <w:ind w:left="700"/>
              <w:spacing w:after="0"/>
              <w:rPr>
                <w:sz w:val="20"/>
                <w:szCs w:val="20"/>
                <w:color w:val="auto"/>
              </w:rPr>
            </w:pPr>
            <w:r>
              <w:rPr>
                <w:rFonts w:ascii="Arial" w:cs="Arial" w:eastAsia="Arial" w:hAnsi="Arial"/>
                <w:sz w:val="14"/>
                <w:szCs w:val="14"/>
                <w:i w:val="1"/>
                <w:iCs w:val="1"/>
                <w:color w:val="auto"/>
              </w:rPr>
              <w:t>Oversight; Audit Chair; Nominating &amp; Governance)</w:t>
            </w: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40" w:type="dxa"/>
            <w:vAlign w:val="bottom"/>
            <w:tcBorders>
              <w:bottom w:val="single" w:sz="8" w:color="BCBEC0"/>
            </w:tcBorders>
            <w:shd w:val="clear" w:color="auto" w:fill="BCBEC0"/>
          </w:tcPr>
          <w:p>
            <w:pPr>
              <w:spacing w:after="0"/>
              <w:rPr>
                <w:sz w:val="10"/>
                <w:szCs w:val="10"/>
                <w:color w:val="auto"/>
              </w:rPr>
            </w:pPr>
          </w:p>
        </w:tc>
        <w:tc>
          <w:tcPr>
            <w:tcW w:w="320" w:type="dxa"/>
            <w:vAlign w:val="bottom"/>
            <w:tcBorders>
              <w:bottom w:val="single" w:sz="8" w:color="002E6D"/>
            </w:tcBorders>
            <w:shd w:val="clear" w:color="auto" w:fill="002E6D"/>
          </w:tcPr>
          <w:p>
            <w:pPr>
              <w:spacing w:after="0"/>
              <w:rPr>
                <w:sz w:val="10"/>
                <w:szCs w:val="10"/>
                <w:color w:val="auto"/>
              </w:rPr>
            </w:pPr>
          </w:p>
        </w:tc>
        <w:tc>
          <w:tcPr>
            <w:tcW w:w="320" w:type="dxa"/>
            <w:vAlign w:val="bottom"/>
            <w:tcBorders>
              <w:bottom w:val="single" w:sz="8" w:color="959595"/>
            </w:tcBorders>
          </w:tcPr>
          <w:p>
            <w:pPr>
              <w:spacing w:after="0"/>
              <w:rPr>
                <w:sz w:val="10"/>
                <w:szCs w:val="10"/>
                <w:color w:val="auto"/>
              </w:rPr>
            </w:pPr>
          </w:p>
        </w:tc>
        <w:tc>
          <w:tcPr>
            <w:tcW w:w="1980" w:type="dxa"/>
            <w:vAlign w:val="bottom"/>
            <w:tcBorders>
              <w:bottom w:val="single" w:sz="8" w:color="959595"/>
            </w:tcBorders>
          </w:tcPr>
          <w:p>
            <w:pPr>
              <w:spacing w:after="0"/>
              <w:rPr>
                <w:sz w:val="10"/>
                <w:szCs w:val="10"/>
                <w:color w:val="auto"/>
              </w:rPr>
            </w:pPr>
          </w:p>
        </w:tc>
        <w:tc>
          <w:tcPr>
            <w:tcW w:w="320" w:type="dxa"/>
            <w:vAlign w:val="bottom"/>
            <w:tcBorders>
              <w:bottom w:val="single" w:sz="8" w:color="959595"/>
            </w:tcBorders>
          </w:tcPr>
          <w:p>
            <w:pPr>
              <w:spacing w:after="0"/>
              <w:rPr>
                <w:sz w:val="10"/>
                <w:szCs w:val="10"/>
                <w:color w:val="auto"/>
              </w:rPr>
            </w:pPr>
          </w:p>
        </w:tc>
        <w:tc>
          <w:tcPr>
            <w:tcW w:w="2680" w:type="dxa"/>
            <w:vAlign w:val="bottom"/>
            <w:tcBorders>
              <w:bottom w:val="single" w:sz="8" w:color="959595"/>
            </w:tcBorders>
          </w:tcPr>
          <w:p>
            <w:pPr>
              <w:spacing w:after="0"/>
              <w:rPr>
                <w:sz w:val="10"/>
                <w:szCs w:val="10"/>
                <w:color w:val="auto"/>
              </w:rPr>
            </w:pPr>
          </w:p>
        </w:tc>
        <w:tc>
          <w:tcPr>
            <w:tcW w:w="720" w:type="dxa"/>
            <w:vAlign w:val="bottom"/>
            <w:tcBorders>
              <w:bottom w:val="single" w:sz="8" w:color="959595"/>
            </w:tcBorders>
          </w:tcPr>
          <w:p>
            <w:pPr>
              <w:spacing w:after="0"/>
              <w:rPr>
                <w:sz w:val="10"/>
                <w:szCs w:val="10"/>
                <w:color w:val="auto"/>
              </w:rPr>
            </w:pPr>
          </w:p>
        </w:tc>
        <w:tc>
          <w:tcPr>
            <w:tcW w:w="320" w:type="dxa"/>
            <w:vAlign w:val="bottom"/>
            <w:tcBorders>
              <w:bottom w:val="single" w:sz="8" w:color="959595"/>
            </w:tcBorders>
          </w:tcPr>
          <w:p>
            <w:pPr>
              <w:spacing w:after="0"/>
              <w:rPr>
                <w:sz w:val="10"/>
                <w:szCs w:val="10"/>
                <w:color w:val="auto"/>
              </w:rPr>
            </w:pPr>
          </w:p>
        </w:tc>
        <w:tc>
          <w:tcPr>
            <w:tcW w:w="740" w:type="dxa"/>
            <w:vAlign w:val="bottom"/>
            <w:tcBorders>
              <w:bottom w:val="single" w:sz="8" w:color="959595"/>
            </w:tcBorders>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40" w:type="dxa"/>
            <w:vAlign w:val="bottom"/>
            <w:shd w:val="clear" w:color="auto" w:fill="BCBEC0"/>
          </w:tcPr>
          <w:p>
            <w:pPr>
              <w:spacing w:after="0"/>
              <w:rPr>
                <w:sz w:val="20"/>
                <w:szCs w:val="20"/>
                <w:color w:val="auto"/>
              </w:rPr>
            </w:pPr>
          </w:p>
        </w:tc>
        <w:tc>
          <w:tcPr>
            <w:tcW w:w="320" w:type="dxa"/>
            <w:vAlign w:val="bottom"/>
            <w:shd w:val="clear" w:color="auto" w:fill="002E6D"/>
          </w:tcPr>
          <w:p>
            <w:pPr>
              <w:spacing w:after="0"/>
              <w:rPr>
                <w:sz w:val="20"/>
                <w:szCs w:val="20"/>
                <w:color w:val="auto"/>
              </w:rPr>
            </w:pPr>
          </w:p>
        </w:tc>
        <w:tc>
          <w:tcPr>
            <w:tcW w:w="320" w:type="dxa"/>
            <w:vAlign w:val="bottom"/>
          </w:tcPr>
          <w:p>
            <w:pPr>
              <w:spacing w:after="0"/>
              <w:rPr>
                <w:sz w:val="20"/>
                <w:szCs w:val="20"/>
                <w:color w:val="auto"/>
              </w:rPr>
            </w:pPr>
          </w:p>
        </w:tc>
        <w:tc>
          <w:tcPr>
            <w:tcW w:w="1980" w:type="dxa"/>
            <w:vAlign w:val="bottom"/>
          </w:tcPr>
          <w:p>
            <w:pPr>
              <w:ind w:left="700"/>
              <w:spacing w:after="0"/>
              <w:rPr>
                <w:sz w:val="20"/>
                <w:szCs w:val="20"/>
                <w:color w:val="auto"/>
              </w:rPr>
            </w:pPr>
            <w:r>
              <w:rPr>
                <w:rFonts w:ascii="Arial" w:cs="Arial" w:eastAsia="Arial" w:hAnsi="Arial"/>
                <w:sz w:val="14"/>
                <w:szCs w:val="14"/>
                <w:b w:val="1"/>
                <w:bCs w:val="1"/>
                <w:color w:val="002E6D"/>
              </w:rPr>
              <w:t xml:space="preserve">Thomas J. Falk, </w:t>
            </w:r>
            <w:r>
              <w:rPr>
                <w:rFonts w:ascii="Arial" w:cs="Arial" w:eastAsia="Arial" w:hAnsi="Arial"/>
                <w:sz w:val="14"/>
                <w:szCs w:val="14"/>
                <w:color w:val="002E6D"/>
              </w:rPr>
              <w:t>63</w:t>
            </w: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2010</w:t>
            </w:r>
          </w:p>
        </w:tc>
        <w:tc>
          <w:tcPr>
            <w:tcW w:w="320" w:type="dxa"/>
            <w:vAlign w:val="bottom"/>
          </w:tcPr>
          <w:p>
            <w:pPr>
              <w:spacing w:after="0"/>
              <w:rPr>
                <w:sz w:val="20"/>
                <w:szCs w:val="20"/>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003478"/>
              </w:rPr>
              <w:t>A*</w:t>
            </w:r>
          </w:p>
        </w:tc>
        <w:tc>
          <w:tcPr>
            <w:tcW w:w="0" w:type="dxa"/>
            <w:vAlign w:val="bottom"/>
          </w:tcPr>
          <w:p>
            <w:pPr>
              <w:spacing w:after="0"/>
              <w:rPr>
                <w:sz w:val="1"/>
                <w:szCs w:val="1"/>
                <w:color w:val="auto"/>
              </w:rPr>
            </w:pPr>
          </w:p>
        </w:tc>
      </w:tr>
      <w:tr>
        <w:trPr>
          <w:trHeight w:val="52"/>
        </w:trPr>
        <w:tc>
          <w:tcPr>
            <w:tcW w:w="340" w:type="dxa"/>
            <w:vAlign w:val="bottom"/>
            <w:shd w:val="clear" w:color="auto" w:fill="BCBEC0"/>
          </w:tcPr>
          <w:p>
            <w:pPr>
              <w:spacing w:after="0"/>
              <w:rPr>
                <w:sz w:val="4"/>
                <w:szCs w:val="4"/>
                <w:color w:val="auto"/>
              </w:rPr>
            </w:pPr>
          </w:p>
        </w:tc>
        <w:tc>
          <w:tcPr>
            <w:tcW w:w="320" w:type="dxa"/>
            <w:vAlign w:val="bottom"/>
            <w:shd w:val="clear" w:color="auto" w:fill="002E6D"/>
          </w:tcPr>
          <w:p>
            <w:pPr>
              <w:spacing w:after="0"/>
              <w:rPr>
                <w:sz w:val="4"/>
                <w:szCs w:val="4"/>
                <w:color w:val="auto"/>
              </w:rPr>
            </w:pPr>
          </w:p>
        </w:tc>
        <w:tc>
          <w:tcPr>
            <w:tcW w:w="320" w:type="dxa"/>
            <w:vAlign w:val="bottom"/>
          </w:tcPr>
          <w:p>
            <w:pPr>
              <w:spacing w:after="0"/>
              <w:rPr>
                <w:sz w:val="4"/>
                <w:szCs w:val="4"/>
                <w:color w:val="auto"/>
              </w:rPr>
            </w:pPr>
          </w:p>
        </w:tc>
        <w:tc>
          <w:tcPr>
            <w:tcW w:w="4980" w:type="dxa"/>
            <w:vAlign w:val="bottom"/>
            <w:gridSpan w:val="3"/>
            <w:vMerge w:val="restart"/>
          </w:tcPr>
          <w:p>
            <w:pPr>
              <w:ind w:left="700"/>
              <w:spacing w:after="0"/>
              <w:rPr>
                <w:sz w:val="20"/>
                <w:szCs w:val="20"/>
                <w:color w:val="auto"/>
              </w:rPr>
            </w:pPr>
            <w:r>
              <w:rPr>
                <w:rFonts w:ascii="Arial" w:cs="Arial" w:eastAsia="Arial" w:hAnsi="Arial"/>
                <w:sz w:val="14"/>
                <w:szCs w:val="14"/>
                <w:color w:val="auto"/>
              </w:rPr>
              <w:t>Retired Chairman &amp; CEO, Kimberly-Clark Corporation</w:t>
            </w:r>
          </w:p>
        </w:tc>
        <w:tc>
          <w:tcPr>
            <w:tcW w:w="72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340" w:type="dxa"/>
            <w:vAlign w:val="bottom"/>
            <w:shd w:val="clear" w:color="auto" w:fill="BCBEC0"/>
          </w:tcPr>
          <w:p>
            <w:pPr>
              <w:spacing w:after="0"/>
              <w:rPr>
                <w:sz w:val="10"/>
                <w:szCs w:val="10"/>
                <w:color w:val="auto"/>
              </w:rPr>
            </w:pPr>
          </w:p>
        </w:tc>
        <w:tc>
          <w:tcPr>
            <w:tcW w:w="320" w:type="dxa"/>
            <w:vAlign w:val="bottom"/>
            <w:shd w:val="clear" w:color="auto" w:fill="002E6D"/>
          </w:tcPr>
          <w:p>
            <w:pPr>
              <w:spacing w:after="0"/>
              <w:rPr>
                <w:sz w:val="10"/>
                <w:szCs w:val="10"/>
                <w:color w:val="auto"/>
              </w:rPr>
            </w:pPr>
          </w:p>
        </w:tc>
        <w:tc>
          <w:tcPr>
            <w:tcW w:w="320" w:type="dxa"/>
            <w:vAlign w:val="bottom"/>
          </w:tcPr>
          <w:p>
            <w:pPr>
              <w:spacing w:after="0"/>
              <w:rPr>
                <w:sz w:val="10"/>
                <w:szCs w:val="10"/>
                <w:color w:val="auto"/>
              </w:rPr>
            </w:pPr>
          </w:p>
        </w:tc>
        <w:tc>
          <w:tcPr>
            <w:tcW w:w="4980" w:type="dxa"/>
            <w:vAlign w:val="bottom"/>
            <w:gridSpan w:val="3"/>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003478"/>
              </w:rPr>
              <w:t>M</w:t>
            </w:r>
          </w:p>
        </w:tc>
        <w:tc>
          <w:tcPr>
            <w:tcW w:w="0" w:type="dxa"/>
            <w:vAlign w:val="bottom"/>
          </w:tcPr>
          <w:p>
            <w:pPr>
              <w:spacing w:after="0"/>
              <w:rPr>
                <w:sz w:val="1"/>
                <w:szCs w:val="1"/>
                <w:color w:val="auto"/>
              </w:rPr>
            </w:pPr>
          </w:p>
        </w:tc>
      </w:tr>
      <w:tr>
        <w:trPr>
          <w:trHeight w:val="67"/>
        </w:trPr>
        <w:tc>
          <w:tcPr>
            <w:tcW w:w="340" w:type="dxa"/>
            <w:vAlign w:val="bottom"/>
            <w:shd w:val="clear" w:color="auto" w:fill="BCBEC0"/>
          </w:tcPr>
          <w:p>
            <w:pPr>
              <w:spacing w:after="0"/>
              <w:rPr>
                <w:sz w:val="5"/>
                <w:szCs w:val="5"/>
                <w:color w:val="auto"/>
              </w:rPr>
            </w:pPr>
          </w:p>
        </w:tc>
        <w:tc>
          <w:tcPr>
            <w:tcW w:w="320" w:type="dxa"/>
            <w:vAlign w:val="bottom"/>
            <w:shd w:val="clear" w:color="auto" w:fill="002E6D"/>
          </w:tcPr>
          <w:p>
            <w:pPr>
              <w:spacing w:after="0"/>
              <w:rPr>
                <w:sz w:val="5"/>
                <w:szCs w:val="5"/>
                <w:color w:val="auto"/>
              </w:rPr>
            </w:pPr>
          </w:p>
        </w:tc>
        <w:tc>
          <w:tcPr>
            <w:tcW w:w="3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340" w:type="dxa"/>
            <w:vAlign w:val="bottom"/>
            <w:tcBorders>
              <w:bottom w:val="single" w:sz="8" w:color="BCBEC0"/>
            </w:tcBorders>
            <w:shd w:val="clear" w:color="auto" w:fill="BCBEC0"/>
          </w:tcPr>
          <w:p>
            <w:pPr>
              <w:spacing w:after="0"/>
              <w:rPr>
                <w:sz w:val="13"/>
                <w:szCs w:val="13"/>
                <w:color w:val="auto"/>
              </w:rPr>
            </w:pPr>
          </w:p>
        </w:tc>
        <w:tc>
          <w:tcPr>
            <w:tcW w:w="320" w:type="dxa"/>
            <w:vAlign w:val="bottom"/>
            <w:tcBorders>
              <w:bottom w:val="single" w:sz="8" w:color="002E6D"/>
            </w:tcBorders>
            <w:shd w:val="clear" w:color="auto" w:fill="002E6D"/>
          </w:tcPr>
          <w:p>
            <w:pPr>
              <w:spacing w:after="0"/>
              <w:rPr>
                <w:sz w:val="13"/>
                <w:szCs w:val="13"/>
                <w:color w:val="auto"/>
              </w:rPr>
            </w:pPr>
          </w:p>
        </w:tc>
        <w:tc>
          <w:tcPr>
            <w:tcW w:w="320" w:type="dxa"/>
            <w:vAlign w:val="bottom"/>
            <w:tcBorders>
              <w:bottom w:val="single" w:sz="8" w:color="959595"/>
            </w:tcBorders>
          </w:tcPr>
          <w:p>
            <w:pPr>
              <w:spacing w:after="0"/>
              <w:rPr>
                <w:sz w:val="13"/>
                <w:szCs w:val="13"/>
                <w:color w:val="auto"/>
              </w:rPr>
            </w:pPr>
          </w:p>
        </w:tc>
        <w:tc>
          <w:tcPr>
            <w:tcW w:w="2300" w:type="dxa"/>
            <w:vAlign w:val="bottom"/>
            <w:tcBorders>
              <w:bottom w:val="single" w:sz="8" w:color="959595"/>
            </w:tcBorders>
            <w:gridSpan w:val="2"/>
          </w:tcPr>
          <w:p>
            <w:pPr>
              <w:spacing w:after="0"/>
              <w:rPr>
                <w:sz w:val="13"/>
                <w:szCs w:val="13"/>
                <w:color w:val="auto"/>
              </w:rPr>
            </w:pPr>
          </w:p>
        </w:tc>
        <w:tc>
          <w:tcPr>
            <w:tcW w:w="2680" w:type="dxa"/>
            <w:vAlign w:val="bottom"/>
            <w:tcBorders>
              <w:bottom w:val="single" w:sz="8" w:color="959595"/>
            </w:tcBorders>
          </w:tcPr>
          <w:p>
            <w:pPr>
              <w:spacing w:after="0"/>
              <w:rPr>
                <w:sz w:val="13"/>
                <w:szCs w:val="13"/>
                <w:color w:val="auto"/>
              </w:rPr>
            </w:pPr>
          </w:p>
        </w:tc>
        <w:tc>
          <w:tcPr>
            <w:tcW w:w="720" w:type="dxa"/>
            <w:vAlign w:val="bottom"/>
            <w:tcBorders>
              <w:bottom w:val="single" w:sz="8" w:color="959595"/>
            </w:tcBorders>
          </w:tcPr>
          <w:p>
            <w:pPr>
              <w:spacing w:after="0"/>
              <w:rPr>
                <w:sz w:val="13"/>
                <w:szCs w:val="13"/>
                <w:color w:val="auto"/>
              </w:rPr>
            </w:pPr>
          </w:p>
        </w:tc>
        <w:tc>
          <w:tcPr>
            <w:tcW w:w="320" w:type="dxa"/>
            <w:vAlign w:val="bottom"/>
            <w:tcBorders>
              <w:bottom w:val="single" w:sz="8" w:color="959595"/>
            </w:tcBorders>
          </w:tcPr>
          <w:p>
            <w:pPr>
              <w:spacing w:after="0"/>
              <w:rPr>
                <w:sz w:val="13"/>
                <w:szCs w:val="13"/>
                <w:color w:val="auto"/>
              </w:rPr>
            </w:pPr>
          </w:p>
        </w:tc>
        <w:tc>
          <w:tcPr>
            <w:tcW w:w="740" w:type="dxa"/>
            <w:vAlign w:val="bottom"/>
            <w:tcBorders>
              <w:bottom w:val="single" w:sz="8" w:color="959595"/>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40" w:type="dxa"/>
            <w:vAlign w:val="bottom"/>
            <w:shd w:val="clear" w:color="auto" w:fill="BCBEC0"/>
          </w:tcPr>
          <w:p>
            <w:pPr>
              <w:spacing w:after="0"/>
              <w:rPr>
                <w:sz w:val="16"/>
                <w:szCs w:val="16"/>
                <w:color w:val="auto"/>
              </w:rPr>
            </w:pPr>
          </w:p>
        </w:tc>
        <w:tc>
          <w:tcPr>
            <w:tcW w:w="320" w:type="dxa"/>
            <w:vAlign w:val="bottom"/>
            <w:shd w:val="clear" w:color="auto" w:fill="002E6D"/>
          </w:tcPr>
          <w:p>
            <w:pPr>
              <w:spacing w:after="0"/>
              <w:rPr>
                <w:sz w:val="16"/>
                <w:szCs w:val="16"/>
                <w:color w:val="auto"/>
              </w:rPr>
            </w:pPr>
          </w:p>
        </w:tc>
        <w:tc>
          <w:tcPr>
            <w:tcW w:w="320" w:type="dxa"/>
            <w:vAlign w:val="bottom"/>
          </w:tcPr>
          <w:p>
            <w:pPr>
              <w:spacing w:after="0"/>
              <w:rPr>
                <w:sz w:val="16"/>
                <w:szCs w:val="16"/>
                <w:color w:val="auto"/>
              </w:rPr>
            </w:pPr>
          </w:p>
        </w:tc>
        <w:tc>
          <w:tcPr>
            <w:tcW w:w="2300" w:type="dxa"/>
            <w:vAlign w:val="bottom"/>
            <w:gridSpan w:val="2"/>
          </w:tcPr>
          <w:p>
            <w:pPr>
              <w:ind w:left="700"/>
              <w:spacing w:after="0"/>
              <w:rPr>
                <w:sz w:val="20"/>
                <w:szCs w:val="20"/>
                <w:color w:val="auto"/>
              </w:rPr>
            </w:pPr>
            <w:r>
              <w:rPr>
                <w:rFonts w:ascii="Arial" w:cs="Arial" w:eastAsia="Arial" w:hAnsi="Arial"/>
                <w:sz w:val="14"/>
                <w:szCs w:val="14"/>
                <w:b w:val="1"/>
                <w:bCs w:val="1"/>
                <w:color w:val="002E6D"/>
              </w:rPr>
              <w:t xml:space="preserve">Ilene S. Gordon, </w:t>
            </w:r>
            <w:r>
              <w:rPr>
                <w:rFonts w:ascii="Arial" w:cs="Arial" w:eastAsia="Arial" w:hAnsi="Arial"/>
                <w:sz w:val="14"/>
                <w:szCs w:val="14"/>
                <w:color w:val="002E6D"/>
              </w:rPr>
              <w:t>68</w:t>
            </w:r>
          </w:p>
        </w:tc>
        <w:tc>
          <w:tcPr>
            <w:tcW w:w="2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40" w:type="dxa"/>
            <w:vAlign w:val="bottom"/>
            <w:shd w:val="clear" w:color="auto" w:fill="BCBEC0"/>
          </w:tcPr>
          <w:p>
            <w:pPr>
              <w:spacing w:after="0"/>
              <w:rPr>
                <w:sz w:val="11"/>
                <w:szCs w:val="11"/>
                <w:color w:val="auto"/>
              </w:rPr>
            </w:pPr>
          </w:p>
        </w:tc>
        <w:tc>
          <w:tcPr>
            <w:tcW w:w="320" w:type="dxa"/>
            <w:vAlign w:val="bottom"/>
            <w:shd w:val="clear" w:color="auto" w:fill="002E6D"/>
          </w:tcPr>
          <w:p>
            <w:pPr>
              <w:spacing w:after="0"/>
              <w:rPr>
                <w:sz w:val="11"/>
                <w:szCs w:val="11"/>
                <w:color w:val="auto"/>
              </w:rPr>
            </w:pPr>
          </w:p>
        </w:tc>
        <w:tc>
          <w:tcPr>
            <w:tcW w:w="320" w:type="dxa"/>
            <w:vAlign w:val="bottom"/>
          </w:tcPr>
          <w:p>
            <w:pPr>
              <w:spacing w:after="0"/>
              <w:rPr>
                <w:sz w:val="11"/>
                <w:szCs w:val="11"/>
                <w:color w:val="auto"/>
              </w:rPr>
            </w:pPr>
          </w:p>
        </w:tc>
        <w:tc>
          <w:tcPr>
            <w:tcW w:w="4980" w:type="dxa"/>
            <w:vAlign w:val="bottom"/>
            <w:gridSpan w:val="3"/>
          </w:tcPr>
          <w:p>
            <w:pPr>
              <w:ind w:left="700"/>
              <w:spacing w:after="0" w:line="130" w:lineRule="exact"/>
              <w:rPr>
                <w:sz w:val="20"/>
                <w:szCs w:val="20"/>
                <w:color w:val="auto"/>
              </w:rPr>
            </w:pPr>
            <w:r>
              <w:rPr>
                <w:rFonts w:ascii="Arial" w:cs="Arial" w:eastAsia="Arial" w:hAnsi="Arial"/>
                <w:sz w:val="14"/>
                <w:szCs w:val="14"/>
                <w:color w:val="auto"/>
              </w:rPr>
              <w:t>Retired Chairman &amp; CEO, Ingredion Incorporated</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003478"/>
              </w:rPr>
              <w:t>A</w:t>
            </w:r>
          </w:p>
        </w:tc>
        <w:tc>
          <w:tcPr>
            <w:tcW w:w="0" w:type="dxa"/>
            <w:vAlign w:val="bottom"/>
          </w:tcPr>
          <w:p>
            <w:pPr>
              <w:spacing w:after="0"/>
              <w:rPr>
                <w:sz w:val="1"/>
                <w:szCs w:val="1"/>
                <w:color w:val="auto"/>
              </w:rPr>
            </w:pPr>
          </w:p>
        </w:tc>
      </w:tr>
      <w:tr>
        <w:trPr>
          <w:trHeight w:val="134"/>
        </w:trPr>
        <w:tc>
          <w:tcPr>
            <w:tcW w:w="340" w:type="dxa"/>
            <w:vAlign w:val="bottom"/>
            <w:shd w:val="clear" w:color="auto" w:fill="BCBEC0"/>
          </w:tcPr>
          <w:p>
            <w:pPr>
              <w:spacing w:after="0"/>
              <w:rPr>
                <w:sz w:val="11"/>
                <w:szCs w:val="11"/>
                <w:color w:val="auto"/>
              </w:rPr>
            </w:pPr>
          </w:p>
        </w:tc>
        <w:tc>
          <w:tcPr>
            <w:tcW w:w="320" w:type="dxa"/>
            <w:vAlign w:val="bottom"/>
            <w:shd w:val="clear" w:color="auto" w:fill="002E6D"/>
          </w:tcPr>
          <w:p>
            <w:pPr>
              <w:spacing w:after="0"/>
              <w:rPr>
                <w:sz w:val="11"/>
                <w:szCs w:val="11"/>
                <w:color w:val="auto"/>
              </w:rPr>
            </w:pPr>
          </w:p>
        </w:tc>
        <w:tc>
          <w:tcPr>
            <w:tcW w:w="320" w:type="dxa"/>
            <w:vAlign w:val="bottom"/>
          </w:tcPr>
          <w:p>
            <w:pPr>
              <w:spacing w:after="0"/>
              <w:rPr>
                <w:sz w:val="11"/>
                <w:szCs w:val="11"/>
                <w:color w:val="auto"/>
              </w:rPr>
            </w:pPr>
          </w:p>
        </w:tc>
        <w:tc>
          <w:tcPr>
            <w:tcW w:w="4980" w:type="dxa"/>
            <w:vAlign w:val="bottom"/>
            <w:gridSpan w:val="3"/>
          </w:tcPr>
          <w:p>
            <w:pPr>
              <w:ind w:left="700"/>
              <w:spacing w:after="0" w:line="135" w:lineRule="exact"/>
              <w:rPr>
                <w:sz w:val="20"/>
                <w:szCs w:val="20"/>
                <w:color w:val="auto"/>
              </w:rPr>
            </w:pPr>
            <w:r>
              <w:rPr>
                <w:rFonts w:ascii="Arial" w:cs="Arial" w:eastAsia="Arial" w:hAnsi="Arial"/>
                <w:sz w:val="14"/>
                <w:szCs w:val="14"/>
                <w:i w:val="1"/>
                <w:iCs w:val="1"/>
                <w:color w:val="auto"/>
              </w:rPr>
              <w:t>Director at International Paper Company (Presiding</w:t>
            </w: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2016</w:t>
            </w:r>
          </w:p>
        </w:tc>
        <w:tc>
          <w:tcPr>
            <w:tcW w:w="3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40" w:type="dxa"/>
            <w:vAlign w:val="bottom"/>
            <w:shd w:val="clear" w:color="auto" w:fill="BCBEC0"/>
          </w:tcPr>
          <w:p>
            <w:pPr>
              <w:spacing w:after="0"/>
              <w:rPr>
                <w:sz w:val="11"/>
                <w:szCs w:val="11"/>
                <w:color w:val="auto"/>
              </w:rPr>
            </w:pPr>
          </w:p>
        </w:tc>
        <w:tc>
          <w:tcPr>
            <w:tcW w:w="320" w:type="dxa"/>
            <w:vAlign w:val="bottom"/>
            <w:shd w:val="clear" w:color="auto" w:fill="002E6D"/>
          </w:tcPr>
          <w:p>
            <w:pPr>
              <w:spacing w:after="0"/>
              <w:rPr>
                <w:sz w:val="11"/>
                <w:szCs w:val="11"/>
                <w:color w:val="auto"/>
              </w:rPr>
            </w:pPr>
          </w:p>
        </w:tc>
        <w:tc>
          <w:tcPr>
            <w:tcW w:w="320" w:type="dxa"/>
            <w:vAlign w:val="bottom"/>
          </w:tcPr>
          <w:p>
            <w:pPr>
              <w:spacing w:after="0"/>
              <w:rPr>
                <w:sz w:val="11"/>
                <w:szCs w:val="11"/>
                <w:color w:val="auto"/>
              </w:rPr>
            </w:pPr>
          </w:p>
        </w:tc>
        <w:tc>
          <w:tcPr>
            <w:tcW w:w="4980" w:type="dxa"/>
            <w:vAlign w:val="bottom"/>
            <w:gridSpan w:val="3"/>
          </w:tcPr>
          <w:p>
            <w:pPr>
              <w:ind w:left="700"/>
              <w:spacing w:after="0" w:line="135" w:lineRule="exact"/>
              <w:rPr>
                <w:sz w:val="20"/>
                <w:szCs w:val="20"/>
                <w:color w:val="auto"/>
              </w:rPr>
            </w:pPr>
            <w:r>
              <w:rPr>
                <w:rFonts w:ascii="Arial" w:cs="Arial" w:eastAsia="Arial" w:hAnsi="Arial"/>
                <w:sz w:val="14"/>
                <w:szCs w:val="14"/>
                <w:i w:val="1"/>
                <w:iCs w:val="1"/>
                <w:color w:val="auto"/>
              </w:rPr>
              <w:t>Director; Governance Chair; Executive; Management</w:t>
            </w:r>
          </w:p>
        </w:tc>
        <w:tc>
          <w:tcPr>
            <w:tcW w:w="7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003478"/>
              </w:rPr>
              <w:t>M*</w:t>
            </w:r>
          </w:p>
        </w:tc>
        <w:tc>
          <w:tcPr>
            <w:tcW w:w="0" w:type="dxa"/>
            <w:vAlign w:val="bottom"/>
          </w:tcPr>
          <w:p>
            <w:pPr>
              <w:spacing w:after="0"/>
              <w:rPr>
                <w:sz w:val="1"/>
                <w:szCs w:val="1"/>
                <w:color w:val="auto"/>
              </w:rPr>
            </w:pPr>
          </w:p>
        </w:tc>
      </w:tr>
      <w:tr>
        <w:trPr>
          <w:trHeight w:val="96"/>
        </w:trPr>
        <w:tc>
          <w:tcPr>
            <w:tcW w:w="340" w:type="dxa"/>
            <w:vAlign w:val="bottom"/>
            <w:shd w:val="clear" w:color="auto" w:fill="BCBEC0"/>
          </w:tcPr>
          <w:p>
            <w:pPr>
              <w:spacing w:after="0"/>
              <w:rPr>
                <w:sz w:val="8"/>
                <w:szCs w:val="8"/>
                <w:color w:val="auto"/>
              </w:rPr>
            </w:pPr>
          </w:p>
        </w:tc>
        <w:tc>
          <w:tcPr>
            <w:tcW w:w="320" w:type="dxa"/>
            <w:vAlign w:val="bottom"/>
            <w:shd w:val="clear" w:color="auto" w:fill="002E6D"/>
          </w:tcPr>
          <w:p>
            <w:pPr>
              <w:spacing w:after="0"/>
              <w:rPr>
                <w:sz w:val="8"/>
                <w:szCs w:val="8"/>
                <w:color w:val="auto"/>
              </w:rPr>
            </w:pPr>
          </w:p>
        </w:tc>
        <w:tc>
          <w:tcPr>
            <w:tcW w:w="320" w:type="dxa"/>
            <w:vAlign w:val="bottom"/>
          </w:tcPr>
          <w:p>
            <w:pPr>
              <w:spacing w:after="0"/>
              <w:rPr>
                <w:sz w:val="8"/>
                <w:szCs w:val="8"/>
                <w:color w:val="auto"/>
              </w:rPr>
            </w:pPr>
          </w:p>
        </w:tc>
        <w:tc>
          <w:tcPr>
            <w:tcW w:w="4980" w:type="dxa"/>
            <w:vAlign w:val="bottom"/>
            <w:gridSpan w:val="3"/>
            <w:vMerge w:val="restart"/>
          </w:tcPr>
          <w:p>
            <w:pPr>
              <w:ind w:left="700"/>
              <w:spacing w:after="0" w:line="135" w:lineRule="exact"/>
              <w:rPr>
                <w:sz w:val="20"/>
                <w:szCs w:val="20"/>
                <w:color w:val="auto"/>
              </w:rPr>
            </w:pPr>
            <w:r>
              <w:rPr>
                <w:rFonts w:ascii="Arial" w:cs="Arial" w:eastAsia="Arial" w:hAnsi="Arial"/>
                <w:sz w:val="14"/>
                <w:szCs w:val="14"/>
                <w:i w:val="1"/>
                <w:iCs w:val="1"/>
                <w:color w:val="auto"/>
              </w:rPr>
              <w:t>Development &amp; Compensation); International Flavors &amp;</w:t>
            </w: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340" w:type="dxa"/>
            <w:vAlign w:val="bottom"/>
            <w:shd w:val="clear" w:color="auto" w:fill="BCBEC0"/>
          </w:tcPr>
          <w:p>
            <w:pPr>
              <w:spacing w:after="0"/>
              <w:rPr>
                <w:sz w:val="3"/>
                <w:szCs w:val="3"/>
                <w:color w:val="auto"/>
              </w:rPr>
            </w:pPr>
          </w:p>
        </w:tc>
        <w:tc>
          <w:tcPr>
            <w:tcW w:w="320" w:type="dxa"/>
            <w:vAlign w:val="bottom"/>
            <w:shd w:val="clear" w:color="auto" w:fill="002E6D"/>
          </w:tcPr>
          <w:p>
            <w:pPr>
              <w:spacing w:after="0"/>
              <w:rPr>
                <w:sz w:val="3"/>
                <w:szCs w:val="3"/>
                <w:color w:val="auto"/>
              </w:rPr>
            </w:pPr>
          </w:p>
        </w:tc>
        <w:tc>
          <w:tcPr>
            <w:tcW w:w="320" w:type="dxa"/>
            <w:vAlign w:val="bottom"/>
          </w:tcPr>
          <w:p>
            <w:pPr>
              <w:spacing w:after="0"/>
              <w:rPr>
                <w:sz w:val="3"/>
                <w:szCs w:val="3"/>
                <w:color w:val="auto"/>
              </w:rPr>
            </w:pPr>
          </w:p>
        </w:tc>
        <w:tc>
          <w:tcPr>
            <w:tcW w:w="4980" w:type="dxa"/>
            <w:vAlign w:val="bottom"/>
            <w:gridSpan w:val="3"/>
            <w:vMerge w:val="continue"/>
          </w:tcPr>
          <w:p>
            <w:pPr>
              <w:spacing w:after="0"/>
              <w:rPr>
                <w:sz w:val="3"/>
                <w:szCs w:val="3"/>
                <w:color w:val="auto"/>
              </w:rPr>
            </w:pPr>
          </w:p>
        </w:tc>
        <w:tc>
          <w:tcPr>
            <w:tcW w:w="7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340" w:type="dxa"/>
            <w:vAlign w:val="bottom"/>
            <w:shd w:val="clear" w:color="auto" w:fill="BCBEC0"/>
          </w:tcPr>
          <w:p>
            <w:pPr>
              <w:spacing w:after="0"/>
              <w:rPr>
                <w:sz w:val="16"/>
                <w:szCs w:val="16"/>
                <w:color w:val="auto"/>
              </w:rPr>
            </w:pPr>
          </w:p>
        </w:tc>
        <w:tc>
          <w:tcPr>
            <w:tcW w:w="320" w:type="dxa"/>
            <w:vAlign w:val="bottom"/>
            <w:shd w:val="clear" w:color="auto" w:fill="002E6D"/>
          </w:tcPr>
          <w:p>
            <w:pPr>
              <w:spacing w:after="0"/>
              <w:rPr>
                <w:sz w:val="16"/>
                <w:szCs w:val="16"/>
                <w:color w:val="auto"/>
              </w:rPr>
            </w:pPr>
          </w:p>
        </w:tc>
        <w:tc>
          <w:tcPr>
            <w:tcW w:w="320" w:type="dxa"/>
            <w:vAlign w:val="bottom"/>
          </w:tcPr>
          <w:p>
            <w:pPr>
              <w:spacing w:after="0"/>
              <w:rPr>
                <w:sz w:val="16"/>
                <w:szCs w:val="16"/>
                <w:color w:val="auto"/>
              </w:rPr>
            </w:pPr>
          </w:p>
        </w:tc>
        <w:tc>
          <w:tcPr>
            <w:tcW w:w="4980" w:type="dxa"/>
            <w:vAlign w:val="bottom"/>
            <w:gridSpan w:val="3"/>
          </w:tcPr>
          <w:p>
            <w:pPr>
              <w:ind w:left="700"/>
              <w:spacing w:after="0"/>
              <w:rPr>
                <w:sz w:val="20"/>
                <w:szCs w:val="20"/>
                <w:color w:val="auto"/>
              </w:rPr>
            </w:pPr>
            <w:r>
              <w:rPr>
                <w:rFonts w:ascii="Arial" w:cs="Arial" w:eastAsia="Arial" w:hAnsi="Arial"/>
                <w:sz w:val="14"/>
                <w:szCs w:val="14"/>
                <w:i w:val="1"/>
                <w:iCs w:val="1"/>
                <w:color w:val="auto"/>
              </w:rPr>
              <w:t>Fragrances, Inc. (Human Capital &amp; Compensation)</w:t>
            </w: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340" w:type="dxa"/>
            <w:vAlign w:val="bottom"/>
            <w:tcBorders>
              <w:bottom w:val="single" w:sz="8" w:color="BCBEC0"/>
            </w:tcBorders>
            <w:shd w:val="clear" w:color="auto" w:fill="BCBEC0"/>
          </w:tcPr>
          <w:p>
            <w:pPr>
              <w:spacing w:after="0"/>
              <w:rPr>
                <w:sz w:val="11"/>
                <w:szCs w:val="11"/>
                <w:color w:val="auto"/>
              </w:rPr>
            </w:pPr>
          </w:p>
        </w:tc>
        <w:tc>
          <w:tcPr>
            <w:tcW w:w="320" w:type="dxa"/>
            <w:vAlign w:val="bottom"/>
            <w:shd w:val="clear" w:color="auto" w:fill="002E6D"/>
          </w:tcPr>
          <w:p>
            <w:pPr>
              <w:spacing w:after="0"/>
              <w:rPr>
                <w:sz w:val="11"/>
                <w:szCs w:val="11"/>
                <w:color w:val="auto"/>
              </w:rPr>
            </w:pPr>
          </w:p>
        </w:tc>
        <w:tc>
          <w:tcPr>
            <w:tcW w:w="320" w:type="dxa"/>
            <w:vAlign w:val="bottom"/>
            <w:tcBorders>
              <w:bottom w:val="single" w:sz="8" w:color="959595"/>
            </w:tcBorders>
          </w:tcPr>
          <w:p>
            <w:pPr>
              <w:spacing w:after="0"/>
              <w:rPr>
                <w:sz w:val="11"/>
                <w:szCs w:val="11"/>
                <w:color w:val="auto"/>
              </w:rPr>
            </w:pPr>
          </w:p>
        </w:tc>
        <w:tc>
          <w:tcPr>
            <w:tcW w:w="2300" w:type="dxa"/>
            <w:vAlign w:val="bottom"/>
            <w:tcBorders>
              <w:bottom w:val="single" w:sz="8" w:color="959595"/>
            </w:tcBorders>
            <w:gridSpan w:val="2"/>
          </w:tcPr>
          <w:p>
            <w:pPr>
              <w:spacing w:after="0"/>
              <w:rPr>
                <w:sz w:val="11"/>
                <w:szCs w:val="11"/>
                <w:color w:val="auto"/>
              </w:rPr>
            </w:pPr>
          </w:p>
        </w:tc>
        <w:tc>
          <w:tcPr>
            <w:tcW w:w="2680" w:type="dxa"/>
            <w:vAlign w:val="bottom"/>
            <w:tcBorders>
              <w:bottom w:val="single" w:sz="8" w:color="959595"/>
            </w:tcBorders>
          </w:tcPr>
          <w:p>
            <w:pPr>
              <w:spacing w:after="0"/>
              <w:rPr>
                <w:sz w:val="11"/>
                <w:szCs w:val="11"/>
                <w:color w:val="auto"/>
              </w:rPr>
            </w:pPr>
          </w:p>
        </w:tc>
        <w:tc>
          <w:tcPr>
            <w:tcW w:w="720" w:type="dxa"/>
            <w:vAlign w:val="bottom"/>
            <w:tcBorders>
              <w:bottom w:val="single" w:sz="8" w:color="959595"/>
            </w:tcBorders>
          </w:tcPr>
          <w:p>
            <w:pPr>
              <w:spacing w:after="0"/>
              <w:rPr>
                <w:sz w:val="11"/>
                <w:szCs w:val="11"/>
                <w:color w:val="auto"/>
              </w:rPr>
            </w:pPr>
          </w:p>
        </w:tc>
        <w:tc>
          <w:tcPr>
            <w:tcW w:w="320" w:type="dxa"/>
            <w:vAlign w:val="bottom"/>
            <w:tcBorders>
              <w:bottom w:val="single" w:sz="8" w:color="959595"/>
            </w:tcBorders>
          </w:tcPr>
          <w:p>
            <w:pPr>
              <w:spacing w:after="0"/>
              <w:rPr>
                <w:sz w:val="11"/>
                <w:szCs w:val="11"/>
                <w:color w:val="auto"/>
              </w:rPr>
            </w:pPr>
          </w:p>
        </w:tc>
        <w:tc>
          <w:tcPr>
            <w:tcW w:w="740" w:type="dxa"/>
            <w:vAlign w:val="bottom"/>
            <w:tcBorders>
              <w:bottom w:val="single" w:sz="8" w:color="959595"/>
            </w:tcBorders>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340" w:type="dxa"/>
            <w:vAlign w:val="bottom"/>
            <w:shd w:val="clear" w:color="auto" w:fill="BCBEC0"/>
          </w:tcPr>
          <w:p>
            <w:pPr>
              <w:spacing w:after="0"/>
              <w:rPr>
                <w:sz w:val="22"/>
                <w:szCs w:val="22"/>
                <w:color w:val="auto"/>
              </w:rPr>
            </w:pPr>
          </w:p>
        </w:tc>
        <w:tc>
          <w:tcPr>
            <w:tcW w:w="3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300" w:type="dxa"/>
            <w:vAlign w:val="bottom"/>
            <w:gridSpan w:val="2"/>
          </w:tcPr>
          <w:p>
            <w:pPr>
              <w:ind w:left="700"/>
              <w:spacing w:after="0"/>
              <w:rPr>
                <w:sz w:val="20"/>
                <w:szCs w:val="20"/>
                <w:color w:val="auto"/>
              </w:rPr>
            </w:pPr>
            <w:r>
              <w:rPr>
                <w:rFonts w:ascii="Arial" w:cs="Arial" w:eastAsia="Arial" w:hAnsi="Arial"/>
                <w:sz w:val="14"/>
                <w:szCs w:val="14"/>
                <w:b w:val="1"/>
                <w:bCs w:val="1"/>
                <w:color w:val="002E6D"/>
              </w:rPr>
              <w:t xml:space="preserve">David B. Burritt, </w:t>
            </w:r>
            <w:r>
              <w:rPr>
                <w:rFonts w:ascii="Arial" w:cs="Arial" w:eastAsia="Arial" w:hAnsi="Arial"/>
                <w:sz w:val="14"/>
                <w:szCs w:val="14"/>
                <w:color w:val="002E6D"/>
              </w:rPr>
              <w:t>66</w:t>
            </w:r>
          </w:p>
        </w:tc>
        <w:tc>
          <w:tcPr>
            <w:tcW w:w="2680" w:type="dxa"/>
            <w:vAlign w:val="bottom"/>
          </w:tcPr>
          <w:p>
            <w:pPr>
              <w:spacing w:after="0"/>
              <w:rPr>
                <w:sz w:val="22"/>
                <w:szCs w:val="22"/>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2008</w:t>
            </w:r>
          </w:p>
        </w:tc>
        <w:tc>
          <w:tcPr>
            <w:tcW w:w="320" w:type="dxa"/>
            <w:vAlign w:val="bottom"/>
          </w:tcPr>
          <w:p>
            <w:pPr>
              <w:spacing w:after="0"/>
              <w:rPr>
                <w:sz w:val="22"/>
                <w:szCs w:val="22"/>
                <w:color w:val="auto"/>
              </w:rPr>
            </w:pPr>
          </w:p>
        </w:tc>
        <w:tc>
          <w:tcPr>
            <w:tcW w:w="740" w:type="dxa"/>
            <w:vAlign w:val="bottom"/>
          </w:tcPr>
          <w:p>
            <w:pPr>
              <w:ind w:left="100"/>
              <w:spacing w:after="0"/>
              <w:rPr>
                <w:sz w:val="20"/>
                <w:szCs w:val="20"/>
                <w:color w:val="auto"/>
              </w:rPr>
            </w:pPr>
            <w:r>
              <w:rPr>
                <w:rFonts w:ascii="Arial" w:cs="Arial" w:eastAsia="Arial" w:hAnsi="Arial"/>
                <w:sz w:val="14"/>
                <w:szCs w:val="14"/>
                <w:b w:val="1"/>
                <w:bCs w:val="1"/>
                <w:color w:val="003478"/>
              </w:rPr>
              <w:t>A</w:t>
            </w:r>
          </w:p>
        </w:tc>
        <w:tc>
          <w:tcPr>
            <w:tcW w:w="0" w:type="dxa"/>
            <w:vAlign w:val="bottom"/>
          </w:tcPr>
          <w:p>
            <w:pPr>
              <w:spacing w:after="0"/>
              <w:rPr>
                <w:sz w:val="1"/>
                <w:szCs w:val="1"/>
                <w:color w:val="auto"/>
              </w:rPr>
            </w:pPr>
          </w:p>
        </w:tc>
      </w:tr>
      <w:tr>
        <w:trPr>
          <w:trHeight w:val="130"/>
        </w:trPr>
        <w:tc>
          <w:tcPr>
            <w:tcW w:w="340" w:type="dxa"/>
            <w:vAlign w:val="bottom"/>
            <w:shd w:val="clear" w:color="auto" w:fill="BCBEC0"/>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980" w:type="dxa"/>
            <w:vAlign w:val="bottom"/>
            <w:gridSpan w:val="3"/>
          </w:tcPr>
          <w:p>
            <w:pPr>
              <w:ind w:left="700"/>
              <w:spacing w:after="0" w:line="130" w:lineRule="exact"/>
              <w:rPr>
                <w:sz w:val="20"/>
                <w:szCs w:val="20"/>
                <w:color w:val="auto"/>
              </w:rPr>
            </w:pPr>
            <w:r>
              <w:rPr>
                <w:rFonts w:ascii="Arial" w:cs="Arial" w:eastAsia="Arial" w:hAnsi="Arial"/>
                <w:sz w:val="14"/>
                <w:szCs w:val="14"/>
                <w:color w:val="auto"/>
              </w:rPr>
              <w:t>President &amp; CEO, United States Steel Corporation (U.S. Steel)</w:t>
            </w:r>
          </w:p>
        </w:tc>
        <w:tc>
          <w:tcPr>
            <w:tcW w:w="7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003478"/>
              </w:rPr>
              <w:t>N</w:t>
            </w:r>
          </w:p>
        </w:tc>
        <w:tc>
          <w:tcPr>
            <w:tcW w:w="0" w:type="dxa"/>
            <w:vAlign w:val="bottom"/>
          </w:tcPr>
          <w:p>
            <w:pPr>
              <w:spacing w:after="0"/>
              <w:rPr>
                <w:sz w:val="1"/>
                <w:szCs w:val="1"/>
                <w:color w:val="auto"/>
              </w:rPr>
            </w:pPr>
          </w:p>
        </w:tc>
      </w:tr>
      <w:tr>
        <w:trPr>
          <w:trHeight w:val="123"/>
        </w:trPr>
        <w:tc>
          <w:tcPr>
            <w:tcW w:w="340" w:type="dxa"/>
            <w:vAlign w:val="bottom"/>
            <w:shd w:val="clear" w:color="auto" w:fill="BCBEC0"/>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980" w:type="dxa"/>
            <w:vAlign w:val="bottom"/>
            <w:gridSpan w:val="3"/>
            <w:vMerge w:val="restart"/>
          </w:tcPr>
          <w:p>
            <w:pPr>
              <w:ind w:left="700"/>
              <w:spacing w:after="0"/>
              <w:rPr>
                <w:sz w:val="20"/>
                <w:szCs w:val="20"/>
                <w:color w:val="auto"/>
              </w:rPr>
            </w:pPr>
            <w:r>
              <w:rPr>
                <w:rFonts w:ascii="Arial" w:cs="Arial" w:eastAsia="Arial" w:hAnsi="Arial"/>
                <w:sz w:val="14"/>
                <w:szCs w:val="14"/>
                <w:i w:val="1"/>
                <w:iCs w:val="1"/>
                <w:color w:val="auto"/>
              </w:rPr>
              <w:t>Director at U.S. Steel (Executive)</w:t>
            </w: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340" w:type="dxa"/>
            <w:vAlign w:val="bottom"/>
            <w:shd w:val="clear" w:color="auto" w:fill="BCBEC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980" w:type="dxa"/>
            <w:vAlign w:val="bottom"/>
            <w:gridSpan w:val="3"/>
            <w:vMerge w:val="continue"/>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340" w:type="dxa"/>
            <w:vAlign w:val="bottom"/>
            <w:tcBorders>
              <w:bottom w:val="single" w:sz="8" w:color="BCBEC0"/>
            </w:tcBorders>
            <w:shd w:val="clear" w:color="auto" w:fill="BCBEC0"/>
          </w:tcPr>
          <w:p>
            <w:pPr>
              <w:spacing w:after="0"/>
              <w:rPr>
                <w:sz w:val="9"/>
                <w:szCs w:val="9"/>
                <w:color w:val="auto"/>
              </w:rPr>
            </w:pPr>
          </w:p>
        </w:tc>
        <w:tc>
          <w:tcPr>
            <w:tcW w:w="320" w:type="dxa"/>
            <w:vAlign w:val="bottom"/>
            <w:tcBorders>
              <w:bottom w:val="single" w:sz="8" w:color="959595"/>
            </w:tcBorders>
          </w:tcPr>
          <w:p>
            <w:pPr>
              <w:spacing w:after="0"/>
              <w:rPr>
                <w:sz w:val="9"/>
                <w:szCs w:val="9"/>
                <w:color w:val="auto"/>
              </w:rPr>
            </w:pPr>
          </w:p>
        </w:tc>
        <w:tc>
          <w:tcPr>
            <w:tcW w:w="320" w:type="dxa"/>
            <w:vAlign w:val="bottom"/>
            <w:tcBorders>
              <w:bottom w:val="single" w:sz="8" w:color="959595"/>
            </w:tcBorders>
          </w:tcPr>
          <w:p>
            <w:pPr>
              <w:spacing w:after="0"/>
              <w:rPr>
                <w:sz w:val="9"/>
                <w:szCs w:val="9"/>
                <w:color w:val="auto"/>
              </w:rPr>
            </w:pPr>
          </w:p>
        </w:tc>
        <w:tc>
          <w:tcPr>
            <w:tcW w:w="2300" w:type="dxa"/>
            <w:vAlign w:val="bottom"/>
            <w:tcBorders>
              <w:bottom w:val="single" w:sz="8" w:color="959595"/>
            </w:tcBorders>
            <w:gridSpan w:val="2"/>
          </w:tcPr>
          <w:p>
            <w:pPr>
              <w:spacing w:after="0"/>
              <w:rPr>
                <w:sz w:val="9"/>
                <w:szCs w:val="9"/>
                <w:color w:val="auto"/>
              </w:rPr>
            </w:pPr>
          </w:p>
        </w:tc>
        <w:tc>
          <w:tcPr>
            <w:tcW w:w="2680" w:type="dxa"/>
            <w:vAlign w:val="bottom"/>
            <w:tcBorders>
              <w:bottom w:val="single" w:sz="8" w:color="959595"/>
            </w:tcBorders>
          </w:tcPr>
          <w:p>
            <w:pPr>
              <w:spacing w:after="0"/>
              <w:rPr>
                <w:sz w:val="9"/>
                <w:szCs w:val="9"/>
                <w:color w:val="auto"/>
              </w:rPr>
            </w:pPr>
          </w:p>
        </w:tc>
        <w:tc>
          <w:tcPr>
            <w:tcW w:w="720" w:type="dxa"/>
            <w:vAlign w:val="bottom"/>
            <w:tcBorders>
              <w:bottom w:val="single" w:sz="8" w:color="959595"/>
            </w:tcBorders>
          </w:tcPr>
          <w:p>
            <w:pPr>
              <w:spacing w:after="0"/>
              <w:rPr>
                <w:sz w:val="9"/>
                <w:szCs w:val="9"/>
                <w:color w:val="auto"/>
              </w:rPr>
            </w:pPr>
          </w:p>
        </w:tc>
        <w:tc>
          <w:tcPr>
            <w:tcW w:w="320" w:type="dxa"/>
            <w:vAlign w:val="bottom"/>
            <w:tcBorders>
              <w:bottom w:val="single" w:sz="8" w:color="959595"/>
            </w:tcBorders>
          </w:tcPr>
          <w:p>
            <w:pPr>
              <w:spacing w:after="0"/>
              <w:rPr>
                <w:sz w:val="9"/>
                <w:szCs w:val="9"/>
                <w:color w:val="auto"/>
              </w:rPr>
            </w:pPr>
          </w:p>
        </w:tc>
        <w:tc>
          <w:tcPr>
            <w:tcW w:w="740" w:type="dxa"/>
            <w:vAlign w:val="bottom"/>
            <w:tcBorders>
              <w:bottom w:val="single" w:sz="8" w:color="959595"/>
            </w:tcBorders>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340" w:type="dxa"/>
            <w:vAlign w:val="bottom"/>
            <w:shd w:val="clear" w:color="auto" w:fill="BCBEC0"/>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00" w:type="dxa"/>
            <w:vAlign w:val="bottom"/>
            <w:gridSpan w:val="2"/>
          </w:tcPr>
          <w:p>
            <w:pPr>
              <w:ind w:left="700"/>
              <w:spacing w:after="0"/>
              <w:rPr>
                <w:sz w:val="20"/>
                <w:szCs w:val="20"/>
                <w:color w:val="auto"/>
              </w:rPr>
            </w:pPr>
            <w:r>
              <w:rPr>
                <w:rFonts w:ascii="Arial" w:cs="Arial" w:eastAsia="Arial" w:hAnsi="Arial"/>
                <w:sz w:val="14"/>
                <w:szCs w:val="14"/>
                <w:b w:val="1"/>
                <w:bCs w:val="1"/>
                <w:color w:val="002E6D"/>
              </w:rPr>
              <w:t xml:space="preserve">Bruce A. Carlson, </w:t>
            </w:r>
            <w:r>
              <w:rPr>
                <w:rFonts w:ascii="Arial" w:cs="Arial" w:eastAsia="Arial" w:hAnsi="Arial"/>
                <w:sz w:val="14"/>
                <w:szCs w:val="14"/>
                <w:color w:val="002E6D"/>
              </w:rPr>
              <w:t>72</w:t>
            </w:r>
          </w:p>
        </w:tc>
        <w:tc>
          <w:tcPr>
            <w:tcW w:w="2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003478"/>
              </w:rPr>
              <w:t>C</w:t>
            </w:r>
          </w:p>
        </w:tc>
        <w:tc>
          <w:tcPr>
            <w:tcW w:w="0" w:type="dxa"/>
            <w:vAlign w:val="bottom"/>
          </w:tcPr>
          <w:p>
            <w:pPr>
              <w:spacing w:after="0"/>
              <w:rPr>
                <w:sz w:val="1"/>
                <w:szCs w:val="1"/>
                <w:color w:val="auto"/>
              </w:rPr>
            </w:pPr>
          </w:p>
        </w:tc>
      </w:tr>
      <w:tr>
        <w:trPr>
          <w:trHeight w:val="130"/>
        </w:trPr>
        <w:tc>
          <w:tcPr>
            <w:tcW w:w="340" w:type="dxa"/>
            <w:vAlign w:val="bottom"/>
            <w:shd w:val="clear" w:color="auto" w:fill="BCBEC0"/>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980" w:type="dxa"/>
            <w:vAlign w:val="bottom"/>
            <w:gridSpan w:val="3"/>
          </w:tcPr>
          <w:p>
            <w:pPr>
              <w:ind w:left="700"/>
              <w:spacing w:after="0" w:line="130" w:lineRule="exact"/>
              <w:rPr>
                <w:sz w:val="20"/>
                <w:szCs w:val="20"/>
                <w:color w:val="auto"/>
              </w:rPr>
            </w:pPr>
            <w:r>
              <w:rPr>
                <w:rFonts w:ascii="Arial" w:cs="Arial" w:eastAsia="Arial" w:hAnsi="Arial"/>
                <w:sz w:val="14"/>
                <w:szCs w:val="14"/>
                <w:color w:val="auto"/>
              </w:rPr>
              <w:t>Retired United States Air Force General</w:t>
            </w: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2015</w:t>
            </w:r>
          </w:p>
        </w:tc>
        <w:tc>
          <w:tcPr>
            <w:tcW w:w="3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340" w:type="dxa"/>
            <w:vAlign w:val="bottom"/>
            <w:shd w:val="clear" w:color="auto" w:fill="BCBEC0"/>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003478"/>
              </w:rPr>
              <w:t>N</w:t>
            </w:r>
          </w:p>
        </w:tc>
        <w:tc>
          <w:tcPr>
            <w:tcW w:w="0" w:type="dxa"/>
            <w:vAlign w:val="bottom"/>
          </w:tcPr>
          <w:p>
            <w:pPr>
              <w:spacing w:after="0"/>
              <w:rPr>
                <w:sz w:val="1"/>
                <w:szCs w:val="1"/>
                <w:color w:val="auto"/>
              </w:rPr>
            </w:pPr>
          </w:p>
        </w:tc>
      </w:tr>
      <w:tr>
        <w:trPr>
          <w:trHeight w:val="94"/>
        </w:trPr>
        <w:tc>
          <w:tcPr>
            <w:tcW w:w="340" w:type="dxa"/>
            <w:vAlign w:val="bottom"/>
            <w:shd w:val="clear" w:color="auto" w:fill="BCBEC0"/>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340" w:type="dxa"/>
            <w:vAlign w:val="bottom"/>
            <w:tcBorders>
              <w:bottom w:val="single" w:sz="8" w:color="BCBEC0"/>
            </w:tcBorders>
            <w:shd w:val="clear" w:color="auto" w:fill="BCBEC0"/>
          </w:tcPr>
          <w:p>
            <w:pPr>
              <w:spacing w:after="0"/>
              <w:rPr>
                <w:sz w:val="12"/>
                <w:szCs w:val="12"/>
                <w:color w:val="auto"/>
              </w:rPr>
            </w:pPr>
          </w:p>
        </w:tc>
        <w:tc>
          <w:tcPr>
            <w:tcW w:w="320" w:type="dxa"/>
            <w:vAlign w:val="bottom"/>
            <w:tcBorders>
              <w:bottom w:val="single" w:sz="8" w:color="959595"/>
            </w:tcBorders>
          </w:tcPr>
          <w:p>
            <w:pPr>
              <w:spacing w:after="0"/>
              <w:rPr>
                <w:sz w:val="12"/>
                <w:szCs w:val="12"/>
                <w:color w:val="auto"/>
              </w:rPr>
            </w:pPr>
          </w:p>
        </w:tc>
        <w:tc>
          <w:tcPr>
            <w:tcW w:w="320" w:type="dxa"/>
            <w:vAlign w:val="bottom"/>
            <w:tcBorders>
              <w:bottom w:val="single" w:sz="8" w:color="959595"/>
            </w:tcBorders>
          </w:tcPr>
          <w:p>
            <w:pPr>
              <w:spacing w:after="0"/>
              <w:rPr>
                <w:sz w:val="12"/>
                <w:szCs w:val="12"/>
                <w:color w:val="auto"/>
              </w:rPr>
            </w:pPr>
          </w:p>
        </w:tc>
        <w:tc>
          <w:tcPr>
            <w:tcW w:w="2300" w:type="dxa"/>
            <w:vAlign w:val="bottom"/>
            <w:tcBorders>
              <w:bottom w:val="single" w:sz="8" w:color="959595"/>
            </w:tcBorders>
            <w:gridSpan w:val="2"/>
          </w:tcPr>
          <w:p>
            <w:pPr>
              <w:spacing w:after="0"/>
              <w:rPr>
                <w:sz w:val="12"/>
                <w:szCs w:val="12"/>
                <w:color w:val="auto"/>
              </w:rPr>
            </w:pPr>
          </w:p>
        </w:tc>
        <w:tc>
          <w:tcPr>
            <w:tcW w:w="2680" w:type="dxa"/>
            <w:vAlign w:val="bottom"/>
            <w:tcBorders>
              <w:bottom w:val="single" w:sz="8" w:color="959595"/>
            </w:tcBorders>
          </w:tcPr>
          <w:p>
            <w:pPr>
              <w:spacing w:after="0"/>
              <w:rPr>
                <w:sz w:val="12"/>
                <w:szCs w:val="12"/>
                <w:color w:val="auto"/>
              </w:rPr>
            </w:pPr>
          </w:p>
        </w:tc>
        <w:tc>
          <w:tcPr>
            <w:tcW w:w="720" w:type="dxa"/>
            <w:vAlign w:val="bottom"/>
            <w:tcBorders>
              <w:bottom w:val="single" w:sz="8" w:color="959595"/>
            </w:tcBorders>
          </w:tcPr>
          <w:p>
            <w:pPr>
              <w:spacing w:after="0"/>
              <w:rPr>
                <w:sz w:val="12"/>
                <w:szCs w:val="12"/>
                <w:color w:val="auto"/>
              </w:rPr>
            </w:pPr>
          </w:p>
        </w:tc>
        <w:tc>
          <w:tcPr>
            <w:tcW w:w="320" w:type="dxa"/>
            <w:vAlign w:val="bottom"/>
            <w:tcBorders>
              <w:bottom w:val="single" w:sz="8" w:color="959595"/>
            </w:tcBorders>
          </w:tcPr>
          <w:p>
            <w:pPr>
              <w:spacing w:after="0"/>
              <w:rPr>
                <w:sz w:val="12"/>
                <w:szCs w:val="12"/>
                <w:color w:val="auto"/>
              </w:rPr>
            </w:pPr>
          </w:p>
        </w:tc>
        <w:tc>
          <w:tcPr>
            <w:tcW w:w="740" w:type="dxa"/>
            <w:vAlign w:val="bottom"/>
            <w:tcBorders>
              <w:bottom w:val="single" w:sz="8" w:color="959595"/>
            </w:tcBorders>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340" w:type="dxa"/>
            <w:vAlign w:val="bottom"/>
            <w:shd w:val="clear" w:color="auto" w:fill="BCBEC0"/>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00" w:type="dxa"/>
            <w:vAlign w:val="bottom"/>
            <w:gridSpan w:val="2"/>
          </w:tcPr>
          <w:p>
            <w:pPr>
              <w:ind w:left="700"/>
              <w:spacing w:after="0"/>
              <w:rPr>
                <w:sz w:val="20"/>
                <w:szCs w:val="20"/>
                <w:color w:val="auto"/>
              </w:rPr>
            </w:pPr>
            <w:r>
              <w:rPr>
                <w:rFonts w:ascii="Arial" w:cs="Arial" w:eastAsia="Arial" w:hAnsi="Arial"/>
                <w:sz w:val="14"/>
                <w:szCs w:val="14"/>
                <w:b w:val="1"/>
                <w:bCs w:val="1"/>
                <w:color w:val="002E6D"/>
              </w:rPr>
              <w:t xml:space="preserve">John M. Donovan, </w:t>
            </w:r>
            <w:r>
              <w:rPr>
                <w:rFonts w:ascii="Arial" w:cs="Arial" w:eastAsia="Arial" w:hAnsi="Arial"/>
                <w:sz w:val="14"/>
                <w:szCs w:val="14"/>
                <w:color w:val="002E6D"/>
              </w:rPr>
              <w:t>61</w:t>
            </w:r>
          </w:p>
        </w:tc>
        <w:tc>
          <w:tcPr>
            <w:tcW w:w="2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003478"/>
              </w:rPr>
              <w:t>C</w:t>
            </w:r>
          </w:p>
        </w:tc>
        <w:tc>
          <w:tcPr>
            <w:tcW w:w="0" w:type="dxa"/>
            <w:vAlign w:val="bottom"/>
          </w:tcPr>
          <w:p>
            <w:pPr>
              <w:spacing w:after="0"/>
              <w:rPr>
                <w:sz w:val="1"/>
                <w:szCs w:val="1"/>
                <w:color w:val="auto"/>
              </w:rPr>
            </w:pPr>
          </w:p>
        </w:tc>
      </w:tr>
      <w:tr>
        <w:trPr>
          <w:trHeight w:val="134"/>
        </w:trPr>
        <w:tc>
          <w:tcPr>
            <w:tcW w:w="340" w:type="dxa"/>
            <w:vAlign w:val="bottom"/>
            <w:shd w:val="clear" w:color="auto" w:fill="BCBEC0"/>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980" w:type="dxa"/>
            <w:vAlign w:val="bottom"/>
            <w:gridSpan w:val="3"/>
          </w:tcPr>
          <w:p>
            <w:pPr>
              <w:ind w:left="700"/>
              <w:spacing w:after="0" w:line="135" w:lineRule="exact"/>
              <w:rPr>
                <w:sz w:val="20"/>
                <w:szCs w:val="20"/>
                <w:color w:val="auto"/>
              </w:rPr>
            </w:pPr>
            <w:r>
              <w:rPr>
                <w:rFonts w:ascii="Arial" w:cs="Arial" w:eastAsia="Arial" w:hAnsi="Arial"/>
                <w:sz w:val="14"/>
                <w:szCs w:val="14"/>
                <w:color w:val="auto"/>
              </w:rPr>
              <w:t>Retired CEO, AT&amp;T Communications, LLC</w:t>
            </w:r>
          </w:p>
        </w:tc>
        <w:tc>
          <w:tcPr>
            <w:tcW w:w="720" w:type="dxa"/>
            <w:vAlign w:val="bottom"/>
          </w:tcPr>
          <w:p>
            <w:pPr>
              <w:jc w:val="right"/>
              <w:ind w:right="29"/>
              <w:spacing w:after="0" w:line="135" w:lineRule="exact"/>
              <w:rPr>
                <w:sz w:val="20"/>
                <w:szCs w:val="20"/>
                <w:color w:val="auto"/>
              </w:rPr>
            </w:pPr>
            <w:r>
              <w:rPr>
                <w:rFonts w:ascii="Arial" w:cs="Arial" w:eastAsia="Arial" w:hAnsi="Arial"/>
                <w:sz w:val="14"/>
                <w:szCs w:val="14"/>
                <w:color w:val="auto"/>
              </w:rPr>
              <w:t>2021</w:t>
            </w:r>
          </w:p>
        </w:tc>
        <w:tc>
          <w:tcPr>
            <w:tcW w:w="3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40" w:type="dxa"/>
            <w:vAlign w:val="bottom"/>
            <w:shd w:val="clear" w:color="auto" w:fill="BCBEC0"/>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980" w:type="dxa"/>
            <w:vAlign w:val="bottom"/>
            <w:gridSpan w:val="3"/>
          </w:tcPr>
          <w:p>
            <w:pPr>
              <w:ind w:left="700"/>
              <w:spacing w:after="0" w:line="130" w:lineRule="exact"/>
              <w:rPr>
                <w:sz w:val="20"/>
                <w:szCs w:val="20"/>
                <w:color w:val="auto"/>
              </w:rPr>
            </w:pPr>
            <w:r>
              <w:rPr>
                <w:rFonts w:ascii="Arial" w:cs="Arial" w:eastAsia="Arial" w:hAnsi="Arial"/>
                <w:sz w:val="14"/>
                <w:szCs w:val="14"/>
                <w:i w:val="1"/>
                <w:iCs w:val="1"/>
                <w:color w:val="auto"/>
              </w:rPr>
              <w:t>Palo Alto Networks (Lead Independent Director; Nominating &amp;</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40" w:type="dxa"/>
            <w:vAlign w:val="bottom"/>
            <w:shd w:val="clear" w:color="auto" w:fill="BCBEC0"/>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980" w:type="dxa"/>
            <w:vAlign w:val="bottom"/>
            <w:gridSpan w:val="3"/>
          </w:tcPr>
          <w:p>
            <w:pPr>
              <w:ind w:left="700"/>
              <w:spacing w:after="0"/>
              <w:rPr>
                <w:sz w:val="20"/>
                <w:szCs w:val="20"/>
                <w:color w:val="auto"/>
              </w:rPr>
            </w:pPr>
            <w:r>
              <w:rPr>
                <w:rFonts w:ascii="Arial" w:cs="Arial" w:eastAsia="Arial" w:hAnsi="Arial"/>
                <w:sz w:val="14"/>
                <w:szCs w:val="14"/>
                <w:i w:val="1"/>
                <w:iCs w:val="1"/>
                <w:color w:val="auto"/>
              </w:rPr>
              <w:t>Governance Chair; Compensation and People; Security)</w:t>
            </w: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
        </w:trPr>
        <w:tc>
          <w:tcPr>
            <w:tcW w:w="340" w:type="dxa"/>
            <w:vAlign w:val="bottom"/>
            <w:tcBorders>
              <w:bottom w:val="single" w:sz="8" w:color="BCBEC0"/>
            </w:tcBorders>
            <w:shd w:val="clear" w:color="auto" w:fill="BCBEC0"/>
          </w:tcPr>
          <w:p>
            <w:pPr>
              <w:spacing w:after="0"/>
              <w:rPr>
                <w:sz w:val="8"/>
                <w:szCs w:val="8"/>
                <w:color w:val="auto"/>
              </w:rPr>
            </w:pPr>
          </w:p>
        </w:tc>
        <w:tc>
          <w:tcPr>
            <w:tcW w:w="320" w:type="dxa"/>
            <w:vAlign w:val="bottom"/>
            <w:tcBorders>
              <w:bottom w:val="single" w:sz="8" w:color="959595"/>
            </w:tcBorders>
          </w:tcPr>
          <w:p>
            <w:pPr>
              <w:spacing w:after="0"/>
              <w:rPr>
                <w:sz w:val="8"/>
                <w:szCs w:val="8"/>
                <w:color w:val="auto"/>
              </w:rPr>
            </w:pPr>
          </w:p>
        </w:tc>
        <w:tc>
          <w:tcPr>
            <w:tcW w:w="320" w:type="dxa"/>
            <w:vAlign w:val="bottom"/>
            <w:tcBorders>
              <w:bottom w:val="single" w:sz="8" w:color="959595"/>
            </w:tcBorders>
          </w:tcPr>
          <w:p>
            <w:pPr>
              <w:spacing w:after="0"/>
              <w:rPr>
                <w:sz w:val="8"/>
                <w:szCs w:val="8"/>
                <w:color w:val="auto"/>
              </w:rPr>
            </w:pPr>
          </w:p>
        </w:tc>
        <w:tc>
          <w:tcPr>
            <w:tcW w:w="4980" w:type="dxa"/>
            <w:vAlign w:val="bottom"/>
            <w:tcBorders>
              <w:bottom w:val="single" w:sz="8" w:color="959595"/>
            </w:tcBorders>
            <w:gridSpan w:val="3"/>
          </w:tcPr>
          <w:p>
            <w:pPr>
              <w:spacing w:after="0"/>
              <w:rPr>
                <w:sz w:val="8"/>
                <w:szCs w:val="8"/>
                <w:color w:val="auto"/>
              </w:rPr>
            </w:pPr>
          </w:p>
        </w:tc>
        <w:tc>
          <w:tcPr>
            <w:tcW w:w="720" w:type="dxa"/>
            <w:vAlign w:val="bottom"/>
            <w:tcBorders>
              <w:bottom w:val="single" w:sz="8" w:color="959595"/>
            </w:tcBorders>
          </w:tcPr>
          <w:p>
            <w:pPr>
              <w:spacing w:after="0"/>
              <w:rPr>
                <w:sz w:val="8"/>
                <w:szCs w:val="8"/>
                <w:color w:val="auto"/>
              </w:rPr>
            </w:pPr>
          </w:p>
        </w:tc>
        <w:tc>
          <w:tcPr>
            <w:tcW w:w="320" w:type="dxa"/>
            <w:vAlign w:val="bottom"/>
            <w:tcBorders>
              <w:bottom w:val="single" w:sz="8" w:color="959595"/>
            </w:tcBorders>
          </w:tcPr>
          <w:p>
            <w:pPr>
              <w:spacing w:after="0"/>
              <w:rPr>
                <w:sz w:val="8"/>
                <w:szCs w:val="8"/>
                <w:color w:val="auto"/>
              </w:rPr>
            </w:pPr>
          </w:p>
        </w:tc>
        <w:tc>
          <w:tcPr>
            <w:tcW w:w="740" w:type="dxa"/>
            <w:vAlign w:val="bottom"/>
            <w:tcBorders>
              <w:bottom w:val="single" w:sz="8" w:color="959595"/>
            </w:tcBorders>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340" w:type="dxa"/>
            <w:vAlign w:val="bottom"/>
            <w:shd w:val="clear" w:color="auto" w:fill="BCBEC0"/>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980" w:type="dxa"/>
            <w:vAlign w:val="bottom"/>
            <w:gridSpan w:val="3"/>
          </w:tcPr>
          <w:p>
            <w:pPr>
              <w:ind w:left="700"/>
              <w:spacing w:after="0"/>
              <w:rPr>
                <w:sz w:val="20"/>
                <w:szCs w:val="20"/>
                <w:color w:val="auto"/>
              </w:rPr>
            </w:pPr>
            <w:r>
              <w:rPr>
                <w:rFonts w:ascii="Arial" w:cs="Arial" w:eastAsia="Arial" w:hAnsi="Arial"/>
                <w:sz w:val="14"/>
                <w:szCs w:val="14"/>
                <w:b w:val="1"/>
                <w:bCs w:val="1"/>
                <w:color w:val="002E6D"/>
              </w:rPr>
              <w:t xml:space="preserve">Joseph F. Dunford, Jr., </w:t>
            </w:r>
            <w:r>
              <w:rPr>
                <w:rFonts w:ascii="Arial" w:cs="Arial" w:eastAsia="Arial" w:hAnsi="Arial"/>
                <w:sz w:val="14"/>
                <w:szCs w:val="14"/>
                <w:color w:val="002E6D"/>
              </w:rPr>
              <w:t>66</w:t>
            </w: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003478"/>
              </w:rPr>
              <w:t>C</w:t>
            </w:r>
          </w:p>
        </w:tc>
        <w:tc>
          <w:tcPr>
            <w:tcW w:w="0" w:type="dxa"/>
            <w:vAlign w:val="bottom"/>
          </w:tcPr>
          <w:p>
            <w:pPr>
              <w:spacing w:after="0"/>
              <w:rPr>
                <w:sz w:val="1"/>
                <w:szCs w:val="1"/>
                <w:color w:val="auto"/>
              </w:rPr>
            </w:pPr>
          </w:p>
        </w:tc>
      </w:tr>
      <w:tr>
        <w:trPr>
          <w:trHeight w:val="134"/>
        </w:trPr>
        <w:tc>
          <w:tcPr>
            <w:tcW w:w="340" w:type="dxa"/>
            <w:vAlign w:val="bottom"/>
            <w:shd w:val="clear" w:color="auto" w:fill="BCBEC0"/>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980" w:type="dxa"/>
            <w:vAlign w:val="bottom"/>
            <w:gridSpan w:val="3"/>
          </w:tcPr>
          <w:p>
            <w:pPr>
              <w:ind w:left="700"/>
              <w:spacing w:after="0" w:line="135" w:lineRule="exact"/>
              <w:rPr>
                <w:sz w:val="20"/>
                <w:szCs w:val="20"/>
                <w:color w:val="auto"/>
              </w:rPr>
            </w:pPr>
            <w:r>
              <w:rPr>
                <w:rFonts w:ascii="Arial" w:cs="Arial" w:eastAsia="Arial" w:hAnsi="Arial"/>
                <w:sz w:val="14"/>
                <w:szCs w:val="14"/>
                <w:color w:val="auto"/>
              </w:rPr>
              <w:t>Senior Managing Director &amp; Partner of Liberty Strategic Capital;</w:t>
            </w: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2020</w:t>
            </w:r>
          </w:p>
        </w:tc>
        <w:tc>
          <w:tcPr>
            <w:tcW w:w="3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340" w:type="dxa"/>
            <w:vAlign w:val="bottom"/>
            <w:shd w:val="clear" w:color="auto" w:fill="BCBEC0"/>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980" w:type="dxa"/>
            <w:vAlign w:val="bottom"/>
            <w:gridSpan w:val="3"/>
          </w:tcPr>
          <w:p>
            <w:pPr>
              <w:ind w:left="700"/>
              <w:spacing w:after="0" w:line="135" w:lineRule="exact"/>
              <w:rPr>
                <w:sz w:val="20"/>
                <w:szCs w:val="20"/>
                <w:color w:val="auto"/>
              </w:rPr>
            </w:pPr>
            <w:r>
              <w:rPr>
                <w:rFonts w:ascii="Arial" w:cs="Arial" w:eastAsia="Arial" w:hAnsi="Arial"/>
                <w:sz w:val="14"/>
                <w:szCs w:val="14"/>
                <w:color w:val="auto"/>
              </w:rPr>
              <w:t>Retired United States Marine Corps General;</w:t>
            </w:r>
          </w:p>
        </w:tc>
        <w:tc>
          <w:tcPr>
            <w:tcW w:w="7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003478"/>
              </w:rPr>
              <w:t>N</w:t>
            </w:r>
          </w:p>
        </w:tc>
        <w:tc>
          <w:tcPr>
            <w:tcW w:w="0" w:type="dxa"/>
            <w:vAlign w:val="bottom"/>
          </w:tcPr>
          <w:p>
            <w:pPr>
              <w:spacing w:after="0"/>
              <w:rPr>
                <w:sz w:val="1"/>
                <w:szCs w:val="1"/>
                <w:color w:val="auto"/>
              </w:rPr>
            </w:pPr>
          </w:p>
        </w:tc>
      </w:tr>
      <w:tr>
        <w:trPr>
          <w:trHeight w:val="130"/>
        </w:trPr>
        <w:tc>
          <w:tcPr>
            <w:tcW w:w="340" w:type="dxa"/>
            <w:vAlign w:val="bottom"/>
            <w:shd w:val="clear" w:color="auto" w:fill="BCBEC0"/>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980" w:type="dxa"/>
            <w:vAlign w:val="bottom"/>
            <w:gridSpan w:val="3"/>
          </w:tcPr>
          <w:p>
            <w:pPr>
              <w:ind w:left="700"/>
              <w:spacing w:after="0" w:line="130" w:lineRule="exact"/>
              <w:rPr>
                <w:sz w:val="20"/>
                <w:szCs w:val="20"/>
                <w:color w:val="auto"/>
              </w:rPr>
            </w:pPr>
            <w:r>
              <w:rPr>
                <w:rFonts w:ascii="Arial" w:cs="Arial" w:eastAsia="Arial" w:hAnsi="Arial"/>
                <w:sz w:val="14"/>
                <w:szCs w:val="14"/>
                <w:color w:val="auto"/>
              </w:rPr>
              <w:t>Former Chairman of the Joint Chiefs of Staff</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40" w:type="dxa"/>
            <w:vAlign w:val="bottom"/>
            <w:shd w:val="clear" w:color="auto" w:fill="BCBEC0"/>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00" w:type="dxa"/>
            <w:vAlign w:val="bottom"/>
            <w:gridSpan w:val="2"/>
          </w:tcPr>
          <w:p>
            <w:pPr>
              <w:ind w:left="700"/>
              <w:spacing w:after="0"/>
              <w:rPr>
                <w:sz w:val="20"/>
                <w:szCs w:val="20"/>
                <w:color w:val="auto"/>
              </w:rPr>
            </w:pPr>
            <w:r>
              <w:rPr>
                <w:rFonts w:ascii="Arial" w:cs="Arial" w:eastAsia="Arial" w:hAnsi="Arial"/>
                <w:sz w:val="14"/>
                <w:szCs w:val="14"/>
                <w:i w:val="1"/>
                <w:iCs w:val="1"/>
                <w:color w:val="auto"/>
              </w:rPr>
              <w:t>Director at Satellogic Inc.</w:t>
            </w:r>
          </w:p>
        </w:tc>
        <w:tc>
          <w:tcPr>
            <w:tcW w:w="2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
        </w:trPr>
        <w:tc>
          <w:tcPr>
            <w:tcW w:w="340" w:type="dxa"/>
            <w:vAlign w:val="bottom"/>
            <w:tcBorders>
              <w:bottom w:val="single" w:sz="8" w:color="BCBEC0"/>
            </w:tcBorders>
            <w:shd w:val="clear" w:color="auto" w:fill="BCBEC0"/>
          </w:tcPr>
          <w:p>
            <w:pPr>
              <w:spacing w:after="0"/>
              <w:rPr>
                <w:sz w:val="4"/>
                <w:szCs w:val="4"/>
                <w:color w:val="auto"/>
              </w:rPr>
            </w:pPr>
          </w:p>
        </w:tc>
        <w:tc>
          <w:tcPr>
            <w:tcW w:w="320" w:type="dxa"/>
            <w:vAlign w:val="bottom"/>
            <w:tcBorders>
              <w:bottom w:val="single" w:sz="8" w:color="959595"/>
            </w:tcBorders>
          </w:tcPr>
          <w:p>
            <w:pPr>
              <w:spacing w:after="0"/>
              <w:rPr>
                <w:sz w:val="4"/>
                <w:szCs w:val="4"/>
                <w:color w:val="auto"/>
              </w:rPr>
            </w:pPr>
          </w:p>
        </w:tc>
        <w:tc>
          <w:tcPr>
            <w:tcW w:w="320" w:type="dxa"/>
            <w:vAlign w:val="bottom"/>
            <w:tcBorders>
              <w:bottom w:val="single" w:sz="8" w:color="959595"/>
            </w:tcBorders>
          </w:tcPr>
          <w:p>
            <w:pPr>
              <w:spacing w:after="0"/>
              <w:rPr>
                <w:sz w:val="4"/>
                <w:szCs w:val="4"/>
                <w:color w:val="auto"/>
              </w:rPr>
            </w:pPr>
          </w:p>
        </w:tc>
        <w:tc>
          <w:tcPr>
            <w:tcW w:w="1980" w:type="dxa"/>
            <w:vAlign w:val="bottom"/>
            <w:tcBorders>
              <w:bottom w:val="single" w:sz="8" w:color="959595"/>
            </w:tcBorders>
          </w:tcPr>
          <w:p>
            <w:pPr>
              <w:spacing w:after="0"/>
              <w:rPr>
                <w:sz w:val="4"/>
                <w:szCs w:val="4"/>
                <w:color w:val="auto"/>
              </w:rPr>
            </w:pPr>
          </w:p>
        </w:tc>
        <w:tc>
          <w:tcPr>
            <w:tcW w:w="320" w:type="dxa"/>
            <w:vAlign w:val="bottom"/>
            <w:tcBorders>
              <w:bottom w:val="single" w:sz="8" w:color="959595"/>
            </w:tcBorders>
          </w:tcPr>
          <w:p>
            <w:pPr>
              <w:spacing w:after="0"/>
              <w:rPr>
                <w:sz w:val="4"/>
                <w:szCs w:val="4"/>
                <w:color w:val="auto"/>
              </w:rPr>
            </w:pPr>
          </w:p>
        </w:tc>
        <w:tc>
          <w:tcPr>
            <w:tcW w:w="2680" w:type="dxa"/>
            <w:vAlign w:val="bottom"/>
            <w:tcBorders>
              <w:bottom w:val="single" w:sz="8" w:color="959595"/>
            </w:tcBorders>
          </w:tcPr>
          <w:p>
            <w:pPr>
              <w:spacing w:after="0"/>
              <w:rPr>
                <w:sz w:val="4"/>
                <w:szCs w:val="4"/>
                <w:color w:val="auto"/>
              </w:rPr>
            </w:pPr>
          </w:p>
        </w:tc>
        <w:tc>
          <w:tcPr>
            <w:tcW w:w="720" w:type="dxa"/>
            <w:vAlign w:val="bottom"/>
            <w:tcBorders>
              <w:bottom w:val="single" w:sz="8" w:color="959595"/>
            </w:tcBorders>
          </w:tcPr>
          <w:p>
            <w:pPr>
              <w:spacing w:after="0"/>
              <w:rPr>
                <w:sz w:val="4"/>
                <w:szCs w:val="4"/>
                <w:color w:val="auto"/>
              </w:rPr>
            </w:pPr>
          </w:p>
        </w:tc>
        <w:tc>
          <w:tcPr>
            <w:tcW w:w="320" w:type="dxa"/>
            <w:vAlign w:val="bottom"/>
            <w:tcBorders>
              <w:bottom w:val="single" w:sz="8" w:color="959595"/>
            </w:tcBorders>
          </w:tcPr>
          <w:p>
            <w:pPr>
              <w:spacing w:after="0"/>
              <w:rPr>
                <w:sz w:val="4"/>
                <w:szCs w:val="4"/>
                <w:color w:val="auto"/>
              </w:rPr>
            </w:pPr>
          </w:p>
        </w:tc>
        <w:tc>
          <w:tcPr>
            <w:tcW w:w="740" w:type="dxa"/>
            <w:vAlign w:val="bottom"/>
            <w:tcBorders>
              <w:bottom w:val="single" w:sz="8" w:color="959595"/>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340" w:type="dxa"/>
            <w:vAlign w:val="bottom"/>
            <w:shd w:val="clear" w:color="auto" w:fill="BCBEC0"/>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80" w:type="dxa"/>
            <w:vAlign w:val="bottom"/>
          </w:tcPr>
          <w:p>
            <w:pPr>
              <w:ind w:left="700"/>
              <w:spacing w:after="0"/>
              <w:rPr>
                <w:sz w:val="20"/>
                <w:szCs w:val="20"/>
                <w:color w:val="auto"/>
              </w:rPr>
            </w:pPr>
            <w:r>
              <w:rPr>
                <w:rFonts w:ascii="Arial" w:cs="Arial" w:eastAsia="Arial" w:hAnsi="Arial"/>
                <w:sz w:val="14"/>
                <w:szCs w:val="14"/>
                <w:b w:val="1"/>
                <w:bCs w:val="1"/>
                <w:color w:val="002E6D"/>
              </w:rPr>
              <w:t xml:space="preserve">Vicki A. Hollub, </w:t>
            </w:r>
            <w:r>
              <w:rPr>
                <w:rFonts w:ascii="Arial" w:cs="Arial" w:eastAsia="Arial" w:hAnsi="Arial"/>
                <w:sz w:val="14"/>
                <w:szCs w:val="14"/>
                <w:color w:val="002E6D"/>
              </w:rPr>
              <w:t>62</w:t>
            </w:r>
          </w:p>
        </w:tc>
        <w:tc>
          <w:tcPr>
            <w:tcW w:w="3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2018</w:t>
            </w:r>
          </w:p>
        </w:tc>
        <w:tc>
          <w:tcPr>
            <w:tcW w:w="320" w:type="dxa"/>
            <w:vAlign w:val="bottom"/>
          </w:tcPr>
          <w:p>
            <w:pPr>
              <w:spacing w:after="0"/>
              <w:rPr>
                <w:sz w:val="20"/>
                <w:szCs w:val="20"/>
                <w:color w:val="auto"/>
              </w:rPr>
            </w:pPr>
          </w:p>
        </w:tc>
        <w:tc>
          <w:tcPr>
            <w:tcW w:w="740" w:type="dxa"/>
            <w:vAlign w:val="bottom"/>
          </w:tcPr>
          <w:p>
            <w:pPr>
              <w:ind w:left="100"/>
              <w:spacing w:after="0"/>
              <w:rPr>
                <w:sz w:val="20"/>
                <w:szCs w:val="20"/>
                <w:color w:val="auto"/>
              </w:rPr>
            </w:pPr>
            <w:r>
              <w:rPr>
                <w:rFonts w:ascii="Arial" w:cs="Arial" w:eastAsia="Arial" w:hAnsi="Arial"/>
                <w:sz w:val="14"/>
                <w:szCs w:val="14"/>
                <w:b w:val="1"/>
                <w:bCs w:val="1"/>
                <w:color w:val="003478"/>
              </w:rPr>
              <w:t>M</w:t>
            </w:r>
          </w:p>
        </w:tc>
        <w:tc>
          <w:tcPr>
            <w:tcW w:w="0" w:type="dxa"/>
            <w:vAlign w:val="bottom"/>
          </w:tcPr>
          <w:p>
            <w:pPr>
              <w:spacing w:after="0"/>
              <w:rPr>
                <w:sz w:val="1"/>
                <w:szCs w:val="1"/>
                <w:color w:val="auto"/>
              </w:rPr>
            </w:pPr>
          </w:p>
        </w:tc>
      </w:tr>
      <w:tr>
        <w:trPr>
          <w:trHeight w:val="130"/>
        </w:trPr>
        <w:tc>
          <w:tcPr>
            <w:tcW w:w="340" w:type="dxa"/>
            <w:vAlign w:val="bottom"/>
            <w:shd w:val="clear" w:color="auto" w:fill="BCBEC0"/>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980" w:type="dxa"/>
            <w:vAlign w:val="bottom"/>
            <w:gridSpan w:val="3"/>
          </w:tcPr>
          <w:p>
            <w:pPr>
              <w:ind w:left="700"/>
              <w:spacing w:after="0" w:line="130" w:lineRule="exact"/>
              <w:rPr>
                <w:sz w:val="20"/>
                <w:szCs w:val="20"/>
                <w:color w:val="auto"/>
              </w:rPr>
            </w:pPr>
            <w:r>
              <w:rPr>
                <w:rFonts w:ascii="Arial" w:cs="Arial" w:eastAsia="Arial" w:hAnsi="Arial"/>
                <w:sz w:val="14"/>
                <w:szCs w:val="14"/>
                <w:color w:val="auto"/>
              </w:rPr>
              <w:t>President &amp; CEO, Occidental Petroleum Corporation</w:t>
            </w:r>
          </w:p>
        </w:tc>
        <w:tc>
          <w:tcPr>
            <w:tcW w:w="7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003478"/>
              </w:rPr>
              <w:t>N</w:t>
            </w:r>
          </w:p>
        </w:tc>
        <w:tc>
          <w:tcPr>
            <w:tcW w:w="0" w:type="dxa"/>
            <w:vAlign w:val="bottom"/>
          </w:tcPr>
          <w:p>
            <w:pPr>
              <w:spacing w:after="0"/>
              <w:rPr>
                <w:sz w:val="1"/>
                <w:szCs w:val="1"/>
                <w:color w:val="auto"/>
              </w:rPr>
            </w:pPr>
          </w:p>
        </w:tc>
      </w:tr>
      <w:tr>
        <w:trPr>
          <w:trHeight w:val="123"/>
        </w:trPr>
        <w:tc>
          <w:tcPr>
            <w:tcW w:w="340" w:type="dxa"/>
            <w:vAlign w:val="bottom"/>
            <w:shd w:val="clear" w:color="auto" w:fill="BCBEC0"/>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300" w:type="dxa"/>
            <w:vAlign w:val="bottom"/>
            <w:gridSpan w:val="2"/>
            <w:vMerge w:val="restart"/>
          </w:tcPr>
          <w:p>
            <w:pPr>
              <w:ind w:left="700"/>
              <w:spacing w:after="0"/>
              <w:rPr>
                <w:sz w:val="20"/>
                <w:szCs w:val="20"/>
                <w:color w:val="auto"/>
              </w:rPr>
            </w:pPr>
            <w:r>
              <w:rPr>
                <w:rFonts w:ascii="Arial" w:cs="Arial" w:eastAsia="Arial" w:hAnsi="Arial"/>
                <w:sz w:val="14"/>
                <w:szCs w:val="14"/>
                <w:i w:val="1"/>
                <w:iCs w:val="1"/>
                <w:color w:val="auto"/>
              </w:rPr>
              <w:t>Director at Occidental</w:t>
            </w:r>
          </w:p>
        </w:tc>
        <w:tc>
          <w:tcPr>
            <w:tcW w:w="26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340" w:type="dxa"/>
            <w:vAlign w:val="bottom"/>
            <w:shd w:val="clear" w:color="auto" w:fill="BCBEC0"/>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300" w:type="dxa"/>
            <w:vAlign w:val="bottom"/>
            <w:gridSpan w:val="2"/>
            <w:vMerge w:val="continue"/>
          </w:tcPr>
          <w:p>
            <w:pPr>
              <w:spacing w:after="0"/>
              <w:rPr>
                <w:sz w:val="5"/>
                <w:szCs w:val="5"/>
                <w:color w:val="auto"/>
              </w:rPr>
            </w:pPr>
          </w:p>
        </w:tc>
        <w:tc>
          <w:tcPr>
            <w:tcW w:w="2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340" w:type="dxa"/>
            <w:vAlign w:val="bottom"/>
            <w:tcBorders>
              <w:bottom w:val="single" w:sz="8" w:color="BCBEC0"/>
            </w:tcBorders>
            <w:shd w:val="clear" w:color="auto" w:fill="BCBEC0"/>
          </w:tcPr>
          <w:p>
            <w:pPr>
              <w:spacing w:after="0"/>
              <w:rPr>
                <w:sz w:val="8"/>
                <w:szCs w:val="8"/>
                <w:color w:val="auto"/>
              </w:rPr>
            </w:pPr>
          </w:p>
        </w:tc>
        <w:tc>
          <w:tcPr>
            <w:tcW w:w="320" w:type="dxa"/>
            <w:vAlign w:val="bottom"/>
            <w:tcBorders>
              <w:bottom w:val="single" w:sz="8" w:color="959595"/>
            </w:tcBorders>
          </w:tcPr>
          <w:p>
            <w:pPr>
              <w:spacing w:after="0"/>
              <w:rPr>
                <w:sz w:val="8"/>
                <w:szCs w:val="8"/>
                <w:color w:val="auto"/>
              </w:rPr>
            </w:pPr>
          </w:p>
        </w:tc>
        <w:tc>
          <w:tcPr>
            <w:tcW w:w="320" w:type="dxa"/>
            <w:vAlign w:val="bottom"/>
            <w:tcBorders>
              <w:bottom w:val="single" w:sz="8" w:color="959595"/>
            </w:tcBorders>
          </w:tcPr>
          <w:p>
            <w:pPr>
              <w:spacing w:after="0"/>
              <w:rPr>
                <w:sz w:val="8"/>
                <w:szCs w:val="8"/>
                <w:color w:val="auto"/>
              </w:rPr>
            </w:pPr>
          </w:p>
        </w:tc>
        <w:tc>
          <w:tcPr>
            <w:tcW w:w="2300" w:type="dxa"/>
            <w:vAlign w:val="bottom"/>
            <w:tcBorders>
              <w:bottom w:val="single" w:sz="8" w:color="959595"/>
            </w:tcBorders>
            <w:gridSpan w:val="2"/>
          </w:tcPr>
          <w:p>
            <w:pPr>
              <w:spacing w:after="0"/>
              <w:rPr>
                <w:sz w:val="8"/>
                <w:szCs w:val="8"/>
                <w:color w:val="auto"/>
              </w:rPr>
            </w:pPr>
          </w:p>
        </w:tc>
        <w:tc>
          <w:tcPr>
            <w:tcW w:w="2680" w:type="dxa"/>
            <w:vAlign w:val="bottom"/>
            <w:tcBorders>
              <w:bottom w:val="single" w:sz="8" w:color="959595"/>
            </w:tcBorders>
          </w:tcPr>
          <w:p>
            <w:pPr>
              <w:spacing w:after="0"/>
              <w:rPr>
                <w:sz w:val="8"/>
                <w:szCs w:val="8"/>
                <w:color w:val="auto"/>
              </w:rPr>
            </w:pPr>
          </w:p>
        </w:tc>
        <w:tc>
          <w:tcPr>
            <w:tcW w:w="720" w:type="dxa"/>
            <w:vAlign w:val="bottom"/>
            <w:tcBorders>
              <w:bottom w:val="single" w:sz="8" w:color="959595"/>
            </w:tcBorders>
          </w:tcPr>
          <w:p>
            <w:pPr>
              <w:spacing w:after="0"/>
              <w:rPr>
                <w:sz w:val="8"/>
                <w:szCs w:val="8"/>
                <w:color w:val="auto"/>
              </w:rPr>
            </w:pPr>
          </w:p>
        </w:tc>
        <w:tc>
          <w:tcPr>
            <w:tcW w:w="320" w:type="dxa"/>
            <w:vAlign w:val="bottom"/>
            <w:tcBorders>
              <w:bottom w:val="single" w:sz="8" w:color="959595"/>
            </w:tcBorders>
          </w:tcPr>
          <w:p>
            <w:pPr>
              <w:spacing w:after="0"/>
              <w:rPr>
                <w:sz w:val="8"/>
                <w:szCs w:val="8"/>
                <w:color w:val="auto"/>
              </w:rPr>
            </w:pPr>
          </w:p>
        </w:tc>
        <w:tc>
          <w:tcPr>
            <w:tcW w:w="740" w:type="dxa"/>
            <w:vAlign w:val="bottom"/>
            <w:tcBorders>
              <w:bottom w:val="single" w:sz="8" w:color="959595"/>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340" w:type="dxa"/>
            <w:vAlign w:val="bottom"/>
            <w:shd w:val="clear" w:color="auto" w:fill="BCBEC0"/>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300" w:type="dxa"/>
            <w:vAlign w:val="bottom"/>
            <w:gridSpan w:val="2"/>
          </w:tcPr>
          <w:p>
            <w:pPr>
              <w:ind w:left="700"/>
              <w:spacing w:after="0"/>
              <w:rPr>
                <w:sz w:val="20"/>
                <w:szCs w:val="20"/>
                <w:color w:val="auto"/>
              </w:rPr>
            </w:pPr>
            <w:r>
              <w:rPr>
                <w:rFonts w:ascii="Arial" w:cs="Arial" w:eastAsia="Arial" w:hAnsi="Arial"/>
                <w:sz w:val="14"/>
                <w:szCs w:val="14"/>
                <w:b w:val="1"/>
                <w:bCs w:val="1"/>
                <w:color w:val="002E6D"/>
              </w:rPr>
              <w:t xml:space="preserve">Jeh C. Johnson, </w:t>
            </w:r>
            <w:r>
              <w:rPr>
                <w:rFonts w:ascii="Arial" w:cs="Arial" w:eastAsia="Arial" w:hAnsi="Arial"/>
                <w:sz w:val="14"/>
                <w:szCs w:val="14"/>
                <w:color w:val="002E6D"/>
              </w:rPr>
              <w:t>64</w:t>
            </w:r>
          </w:p>
        </w:tc>
        <w:tc>
          <w:tcPr>
            <w:tcW w:w="2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003478"/>
              </w:rPr>
              <w:t>C</w:t>
            </w:r>
          </w:p>
        </w:tc>
        <w:tc>
          <w:tcPr>
            <w:tcW w:w="0" w:type="dxa"/>
            <w:vAlign w:val="bottom"/>
          </w:tcPr>
          <w:p>
            <w:pPr>
              <w:spacing w:after="0"/>
              <w:rPr>
                <w:sz w:val="1"/>
                <w:szCs w:val="1"/>
                <w:color w:val="auto"/>
              </w:rPr>
            </w:pPr>
          </w:p>
        </w:tc>
      </w:tr>
      <w:tr>
        <w:trPr>
          <w:trHeight w:val="134"/>
        </w:trPr>
        <w:tc>
          <w:tcPr>
            <w:tcW w:w="340" w:type="dxa"/>
            <w:vAlign w:val="bottom"/>
            <w:shd w:val="clear" w:color="auto" w:fill="BCBEC0"/>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980" w:type="dxa"/>
            <w:vAlign w:val="bottom"/>
            <w:gridSpan w:val="3"/>
          </w:tcPr>
          <w:p>
            <w:pPr>
              <w:ind w:left="700"/>
              <w:spacing w:after="0" w:line="135" w:lineRule="exact"/>
              <w:rPr>
                <w:sz w:val="20"/>
                <w:szCs w:val="20"/>
                <w:color w:val="auto"/>
              </w:rPr>
            </w:pPr>
            <w:r>
              <w:rPr>
                <w:rFonts w:ascii="Arial" w:cs="Arial" w:eastAsia="Arial" w:hAnsi="Arial"/>
                <w:sz w:val="14"/>
                <w:szCs w:val="14"/>
                <w:color w:val="auto"/>
              </w:rPr>
              <w:t>Partner at Paul, Weiss, Rifkind, Wharton &amp; Garrison LLP;</w:t>
            </w: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2018</w:t>
            </w:r>
          </w:p>
        </w:tc>
        <w:tc>
          <w:tcPr>
            <w:tcW w:w="3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40" w:type="dxa"/>
            <w:vAlign w:val="bottom"/>
            <w:shd w:val="clear" w:color="auto" w:fill="BCBEC0"/>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980" w:type="dxa"/>
            <w:vAlign w:val="bottom"/>
            <w:gridSpan w:val="3"/>
          </w:tcPr>
          <w:p>
            <w:pPr>
              <w:ind w:left="700"/>
              <w:spacing w:after="0" w:line="130" w:lineRule="exact"/>
              <w:rPr>
                <w:sz w:val="20"/>
                <w:szCs w:val="20"/>
                <w:color w:val="auto"/>
              </w:rPr>
            </w:pPr>
            <w:r>
              <w:rPr>
                <w:rFonts w:ascii="Arial" w:cs="Arial" w:eastAsia="Arial" w:hAnsi="Arial"/>
                <w:sz w:val="14"/>
                <w:szCs w:val="14"/>
                <w:color w:val="auto"/>
              </w:rPr>
              <w:t>Former Secretary of Homeland Security</w:t>
            </w:r>
          </w:p>
        </w:tc>
        <w:tc>
          <w:tcPr>
            <w:tcW w:w="72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003478"/>
              </w:rPr>
              <w:t>N</w:t>
            </w:r>
          </w:p>
        </w:tc>
        <w:tc>
          <w:tcPr>
            <w:tcW w:w="0" w:type="dxa"/>
            <w:vAlign w:val="bottom"/>
          </w:tcPr>
          <w:p>
            <w:pPr>
              <w:spacing w:after="0"/>
              <w:rPr>
                <w:sz w:val="1"/>
                <w:szCs w:val="1"/>
                <w:color w:val="auto"/>
              </w:rPr>
            </w:pPr>
          </w:p>
        </w:tc>
      </w:tr>
      <w:tr>
        <w:trPr>
          <w:trHeight w:val="134"/>
        </w:trPr>
        <w:tc>
          <w:tcPr>
            <w:tcW w:w="340" w:type="dxa"/>
            <w:vAlign w:val="bottom"/>
            <w:shd w:val="clear" w:color="auto" w:fill="BCBEC0"/>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980" w:type="dxa"/>
            <w:vAlign w:val="bottom"/>
            <w:gridSpan w:val="3"/>
          </w:tcPr>
          <w:p>
            <w:pPr>
              <w:ind w:left="700"/>
              <w:spacing w:after="0" w:line="135" w:lineRule="exact"/>
              <w:rPr>
                <w:sz w:val="20"/>
                <w:szCs w:val="20"/>
                <w:color w:val="auto"/>
              </w:rPr>
            </w:pPr>
            <w:r>
              <w:rPr>
                <w:rFonts w:ascii="Arial" w:cs="Arial" w:eastAsia="Arial" w:hAnsi="Arial"/>
                <w:sz w:val="14"/>
                <w:szCs w:val="14"/>
                <w:i w:val="1"/>
                <w:iCs w:val="1"/>
                <w:color w:val="auto"/>
              </w:rPr>
              <w:t>Director at U.S. Steel (Compensation &amp; Organization;</w:t>
            </w: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40" w:type="dxa"/>
            <w:vAlign w:val="bottom"/>
            <w:shd w:val="clear" w:color="auto" w:fill="BCBEC0"/>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980" w:type="dxa"/>
            <w:vAlign w:val="bottom"/>
            <w:gridSpan w:val="3"/>
          </w:tcPr>
          <w:p>
            <w:pPr>
              <w:ind w:left="700"/>
              <w:spacing w:after="0"/>
              <w:rPr>
                <w:sz w:val="20"/>
                <w:szCs w:val="20"/>
                <w:color w:val="auto"/>
              </w:rPr>
            </w:pPr>
            <w:r>
              <w:rPr>
                <w:rFonts w:ascii="Arial" w:cs="Arial" w:eastAsia="Arial" w:hAnsi="Arial"/>
                <w:sz w:val="14"/>
                <w:szCs w:val="14"/>
                <w:i w:val="1"/>
                <w:iCs w:val="1"/>
                <w:color w:val="auto"/>
              </w:rPr>
              <w:t>Corporate Governance &amp; Sustainability)</w:t>
            </w: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340" w:type="dxa"/>
            <w:vAlign w:val="bottom"/>
            <w:tcBorders>
              <w:bottom w:val="single" w:sz="8" w:color="BCBEC0"/>
            </w:tcBorders>
            <w:shd w:val="clear" w:color="auto" w:fill="BCBEC0"/>
          </w:tcPr>
          <w:p>
            <w:pPr>
              <w:spacing w:after="0"/>
              <w:rPr>
                <w:sz w:val="7"/>
                <w:szCs w:val="7"/>
                <w:color w:val="auto"/>
              </w:rPr>
            </w:pPr>
          </w:p>
        </w:tc>
        <w:tc>
          <w:tcPr>
            <w:tcW w:w="320" w:type="dxa"/>
            <w:vAlign w:val="bottom"/>
            <w:tcBorders>
              <w:bottom w:val="single" w:sz="8" w:color="959595"/>
            </w:tcBorders>
          </w:tcPr>
          <w:p>
            <w:pPr>
              <w:spacing w:after="0"/>
              <w:rPr>
                <w:sz w:val="7"/>
                <w:szCs w:val="7"/>
                <w:color w:val="auto"/>
              </w:rPr>
            </w:pPr>
          </w:p>
        </w:tc>
        <w:tc>
          <w:tcPr>
            <w:tcW w:w="320" w:type="dxa"/>
            <w:vAlign w:val="bottom"/>
            <w:tcBorders>
              <w:bottom w:val="single" w:sz="8" w:color="959595"/>
            </w:tcBorders>
          </w:tcPr>
          <w:p>
            <w:pPr>
              <w:spacing w:after="0"/>
              <w:rPr>
                <w:sz w:val="7"/>
                <w:szCs w:val="7"/>
                <w:color w:val="auto"/>
              </w:rPr>
            </w:pPr>
          </w:p>
        </w:tc>
        <w:tc>
          <w:tcPr>
            <w:tcW w:w="4980" w:type="dxa"/>
            <w:vAlign w:val="bottom"/>
            <w:tcBorders>
              <w:bottom w:val="single" w:sz="8" w:color="959595"/>
            </w:tcBorders>
            <w:gridSpan w:val="3"/>
          </w:tcPr>
          <w:p>
            <w:pPr>
              <w:spacing w:after="0"/>
              <w:rPr>
                <w:sz w:val="7"/>
                <w:szCs w:val="7"/>
                <w:color w:val="auto"/>
              </w:rPr>
            </w:pPr>
          </w:p>
        </w:tc>
        <w:tc>
          <w:tcPr>
            <w:tcW w:w="720" w:type="dxa"/>
            <w:vAlign w:val="bottom"/>
            <w:tcBorders>
              <w:bottom w:val="single" w:sz="8" w:color="959595"/>
            </w:tcBorders>
          </w:tcPr>
          <w:p>
            <w:pPr>
              <w:spacing w:after="0"/>
              <w:rPr>
                <w:sz w:val="7"/>
                <w:szCs w:val="7"/>
                <w:color w:val="auto"/>
              </w:rPr>
            </w:pPr>
          </w:p>
        </w:tc>
        <w:tc>
          <w:tcPr>
            <w:tcW w:w="320" w:type="dxa"/>
            <w:vAlign w:val="bottom"/>
            <w:tcBorders>
              <w:bottom w:val="single" w:sz="8" w:color="959595"/>
            </w:tcBorders>
          </w:tcPr>
          <w:p>
            <w:pPr>
              <w:spacing w:after="0"/>
              <w:rPr>
                <w:sz w:val="7"/>
                <w:szCs w:val="7"/>
                <w:color w:val="auto"/>
              </w:rPr>
            </w:pPr>
          </w:p>
        </w:tc>
        <w:tc>
          <w:tcPr>
            <w:tcW w:w="740" w:type="dxa"/>
            <w:vAlign w:val="bottom"/>
            <w:tcBorders>
              <w:bottom w:val="single" w:sz="8" w:color="959595"/>
            </w:tcBorders>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340" w:type="dxa"/>
            <w:vAlign w:val="bottom"/>
            <w:shd w:val="clear" w:color="auto" w:fill="BCBEC0"/>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980" w:type="dxa"/>
            <w:vAlign w:val="bottom"/>
            <w:gridSpan w:val="3"/>
          </w:tcPr>
          <w:p>
            <w:pPr>
              <w:ind w:left="700"/>
              <w:spacing w:after="0"/>
              <w:rPr>
                <w:sz w:val="20"/>
                <w:szCs w:val="20"/>
                <w:color w:val="auto"/>
              </w:rPr>
            </w:pPr>
            <w:r>
              <w:rPr>
                <w:rFonts w:ascii="Arial" w:cs="Arial" w:eastAsia="Arial" w:hAnsi="Arial"/>
                <w:sz w:val="14"/>
                <w:szCs w:val="14"/>
                <w:b w:val="1"/>
                <w:bCs w:val="1"/>
                <w:color w:val="002E6D"/>
              </w:rPr>
              <w:t>Debra L. Reed-Klages</w:t>
            </w:r>
            <w:r>
              <w:rPr>
                <w:rFonts w:ascii="Arial" w:cs="Arial" w:eastAsia="Arial" w:hAnsi="Arial"/>
                <w:sz w:val="14"/>
                <w:szCs w:val="14"/>
                <w:color w:val="002E6D"/>
              </w:rPr>
              <w:t>, 65</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003478"/>
              </w:rPr>
              <w:t>A</w:t>
            </w:r>
          </w:p>
        </w:tc>
        <w:tc>
          <w:tcPr>
            <w:tcW w:w="0" w:type="dxa"/>
            <w:vAlign w:val="bottom"/>
          </w:tcPr>
          <w:p>
            <w:pPr>
              <w:spacing w:after="0"/>
              <w:rPr>
                <w:sz w:val="1"/>
                <w:szCs w:val="1"/>
                <w:color w:val="auto"/>
              </w:rPr>
            </w:pPr>
          </w:p>
        </w:tc>
      </w:tr>
      <w:tr>
        <w:trPr>
          <w:trHeight w:val="130"/>
        </w:trPr>
        <w:tc>
          <w:tcPr>
            <w:tcW w:w="340" w:type="dxa"/>
            <w:vAlign w:val="bottom"/>
            <w:shd w:val="clear" w:color="auto" w:fill="BCBEC0"/>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980" w:type="dxa"/>
            <w:vAlign w:val="bottom"/>
            <w:gridSpan w:val="3"/>
          </w:tcPr>
          <w:p>
            <w:pPr>
              <w:ind w:left="700"/>
              <w:spacing w:after="0" w:line="130" w:lineRule="exact"/>
              <w:rPr>
                <w:sz w:val="20"/>
                <w:szCs w:val="20"/>
                <w:color w:val="auto"/>
              </w:rPr>
            </w:pPr>
            <w:r>
              <w:rPr>
                <w:rFonts w:ascii="Arial" w:cs="Arial" w:eastAsia="Arial" w:hAnsi="Arial"/>
                <w:sz w:val="14"/>
                <w:szCs w:val="14"/>
                <w:color w:val="auto"/>
              </w:rPr>
              <w:t>Retired Chairman, President &amp; CEO, Sempra Energy</w:t>
            </w: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2019</w:t>
            </w:r>
          </w:p>
        </w:tc>
        <w:tc>
          <w:tcPr>
            <w:tcW w:w="3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340" w:type="dxa"/>
            <w:vAlign w:val="bottom"/>
            <w:shd w:val="clear" w:color="auto" w:fill="BCBEC0"/>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980" w:type="dxa"/>
            <w:vAlign w:val="bottom"/>
            <w:gridSpan w:val="3"/>
            <w:vMerge w:val="restart"/>
          </w:tcPr>
          <w:p>
            <w:pPr>
              <w:ind w:left="700"/>
              <w:spacing w:after="0" w:line="139" w:lineRule="exact"/>
              <w:rPr>
                <w:sz w:val="20"/>
                <w:szCs w:val="20"/>
                <w:color w:val="auto"/>
              </w:rPr>
            </w:pPr>
            <w:r>
              <w:rPr>
                <w:rFonts w:ascii="Arial" w:cs="Arial" w:eastAsia="Arial" w:hAnsi="Arial"/>
                <w:sz w:val="14"/>
                <w:szCs w:val="14"/>
                <w:i w:val="1"/>
                <w:iCs w:val="1"/>
                <w:color w:val="auto"/>
              </w:rPr>
              <w:t>Director at Chevron Corporation (Audit Chair); Caterpillar Inc.</w:t>
            </w:r>
          </w:p>
        </w:tc>
        <w:tc>
          <w:tcPr>
            <w:tcW w:w="7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vMerge w:val="restart"/>
          </w:tcPr>
          <w:p>
            <w:pPr>
              <w:ind w:left="100"/>
              <w:spacing w:after="0" w:line="139" w:lineRule="exact"/>
              <w:rPr>
                <w:sz w:val="20"/>
                <w:szCs w:val="20"/>
                <w:color w:val="auto"/>
              </w:rPr>
            </w:pPr>
            <w:r>
              <w:rPr>
                <w:rFonts w:ascii="Arial" w:cs="Arial" w:eastAsia="Arial" w:hAnsi="Arial"/>
                <w:sz w:val="14"/>
                <w:szCs w:val="14"/>
                <w:b w:val="1"/>
                <w:bCs w:val="1"/>
                <w:color w:val="003478"/>
              </w:rPr>
              <w:t>M</w:t>
            </w:r>
          </w:p>
        </w:tc>
        <w:tc>
          <w:tcPr>
            <w:tcW w:w="0" w:type="dxa"/>
            <w:vAlign w:val="bottom"/>
          </w:tcPr>
          <w:p>
            <w:pPr>
              <w:spacing w:after="0"/>
              <w:rPr>
                <w:sz w:val="1"/>
                <w:szCs w:val="1"/>
                <w:color w:val="auto"/>
              </w:rPr>
            </w:pPr>
          </w:p>
        </w:tc>
      </w:tr>
      <w:tr>
        <w:trPr>
          <w:trHeight w:val="30"/>
        </w:trPr>
        <w:tc>
          <w:tcPr>
            <w:tcW w:w="340" w:type="dxa"/>
            <w:vAlign w:val="bottom"/>
            <w:shd w:val="clear" w:color="auto" w:fill="BCBEC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980" w:type="dxa"/>
            <w:vAlign w:val="bottom"/>
            <w:gridSpan w:val="3"/>
            <w:vMerge w:val="continue"/>
          </w:tcPr>
          <w:p>
            <w:pPr>
              <w:spacing w:after="0"/>
              <w:rPr>
                <w:sz w:val="2"/>
                <w:szCs w:val="2"/>
                <w:color w:val="auto"/>
              </w:rPr>
            </w:pPr>
          </w:p>
        </w:tc>
        <w:tc>
          <w:tcPr>
            <w:tcW w:w="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340" w:type="dxa"/>
            <w:vAlign w:val="bottom"/>
            <w:shd w:val="clear" w:color="auto" w:fill="BCBEC0"/>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980" w:type="dxa"/>
            <w:vAlign w:val="bottom"/>
            <w:gridSpan w:val="3"/>
          </w:tcPr>
          <w:p>
            <w:pPr>
              <w:ind w:left="700"/>
              <w:spacing w:after="0"/>
              <w:rPr>
                <w:sz w:val="20"/>
                <w:szCs w:val="20"/>
                <w:color w:val="auto"/>
              </w:rPr>
            </w:pPr>
            <w:r>
              <w:rPr>
                <w:rFonts w:ascii="Arial" w:cs="Arial" w:eastAsia="Arial" w:hAnsi="Arial"/>
                <w:sz w:val="14"/>
                <w:szCs w:val="14"/>
                <w:i w:val="1"/>
                <w:iCs w:val="1"/>
                <w:color w:val="auto"/>
              </w:rPr>
              <w:t>(Compensation &amp; Human Resources)</w:t>
            </w: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340" w:type="dxa"/>
            <w:vAlign w:val="bottom"/>
            <w:tcBorders>
              <w:bottom w:val="single" w:sz="8" w:color="BCBEC0"/>
            </w:tcBorders>
            <w:shd w:val="clear" w:color="auto" w:fill="BCBEC0"/>
          </w:tcPr>
          <w:p>
            <w:pPr>
              <w:spacing w:after="0"/>
              <w:rPr>
                <w:sz w:val="5"/>
                <w:szCs w:val="5"/>
                <w:color w:val="auto"/>
              </w:rPr>
            </w:pPr>
          </w:p>
        </w:tc>
        <w:tc>
          <w:tcPr>
            <w:tcW w:w="320" w:type="dxa"/>
            <w:vAlign w:val="bottom"/>
            <w:tcBorders>
              <w:bottom w:val="single" w:sz="8" w:color="959595"/>
            </w:tcBorders>
          </w:tcPr>
          <w:p>
            <w:pPr>
              <w:spacing w:after="0"/>
              <w:rPr>
                <w:sz w:val="5"/>
                <w:szCs w:val="5"/>
                <w:color w:val="auto"/>
              </w:rPr>
            </w:pPr>
          </w:p>
        </w:tc>
        <w:tc>
          <w:tcPr>
            <w:tcW w:w="320" w:type="dxa"/>
            <w:vAlign w:val="bottom"/>
            <w:tcBorders>
              <w:bottom w:val="single" w:sz="8" w:color="959595"/>
            </w:tcBorders>
          </w:tcPr>
          <w:p>
            <w:pPr>
              <w:spacing w:after="0"/>
              <w:rPr>
                <w:sz w:val="5"/>
                <w:szCs w:val="5"/>
                <w:color w:val="auto"/>
              </w:rPr>
            </w:pPr>
          </w:p>
        </w:tc>
        <w:tc>
          <w:tcPr>
            <w:tcW w:w="4980" w:type="dxa"/>
            <w:vAlign w:val="bottom"/>
            <w:tcBorders>
              <w:bottom w:val="single" w:sz="8" w:color="959595"/>
            </w:tcBorders>
            <w:gridSpan w:val="3"/>
          </w:tcPr>
          <w:p>
            <w:pPr>
              <w:spacing w:after="0"/>
              <w:rPr>
                <w:sz w:val="5"/>
                <w:szCs w:val="5"/>
                <w:color w:val="auto"/>
              </w:rPr>
            </w:pPr>
          </w:p>
        </w:tc>
        <w:tc>
          <w:tcPr>
            <w:tcW w:w="720" w:type="dxa"/>
            <w:vAlign w:val="bottom"/>
            <w:tcBorders>
              <w:bottom w:val="single" w:sz="8" w:color="959595"/>
            </w:tcBorders>
          </w:tcPr>
          <w:p>
            <w:pPr>
              <w:spacing w:after="0"/>
              <w:rPr>
                <w:sz w:val="5"/>
                <w:szCs w:val="5"/>
                <w:color w:val="auto"/>
              </w:rPr>
            </w:pPr>
          </w:p>
        </w:tc>
        <w:tc>
          <w:tcPr>
            <w:tcW w:w="320" w:type="dxa"/>
            <w:vAlign w:val="bottom"/>
            <w:tcBorders>
              <w:bottom w:val="single" w:sz="8" w:color="959595"/>
            </w:tcBorders>
          </w:tcPr>
          <w:p>
            <w:pPr>
              <w:spacing w:after="0"/>
              <w:rPr>
                <w:sz w:val="5"/>
                <w:szCs w:val="5"/>
                <w:color w:val="auto"/>
              </w:rPr>
            </w:pPr>
          </w:p>
        </w:tc>
        <w:tc>
          <w:tcPr>
            <w:tcW w:w="740" w:type="dxa"/>
            <w:vAlign w:val="bottom"/>
            <w:tcBorders>
              <w:bottom w:val="single" w:sz="8" w:color="959595"/>
            </w:tcBorders>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340" w:type="dxa"/>
            <w:vAlign w:val="bottom"/>
            <w:shd w:val="clear" w:color="auto" w:fill="BCBEC0"/>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980" w:type="dxa"/>
            <w:vAlign w:val="bottom"/>
            <w:gridSpan w:val="3"/>
          </w:tcPr>
          <w:p>
            <w:pPr>
              <w:ind w:left="700"/>
              <w:spacing w:after="0"/>
              <w:rPr>
                <w:sz w:val="20"/>
                <w:szCs w:val="20"/>
                <w:color w:val="auto"/>
              </w:rPr>
            </w:pPr>
            <w:r>
              <w:rPr>
                <w:rFonts w:ascii="Arial" w:cs="Arial" w:eastAsia="Arial" w:hAnsi="Arial"/>
                <w:sz w:val="14"/>
                <w:szCs w:val="14"/>
                <w:b w:val="1"/>
                <w:bCs w:val="1"/>
                <w:color w:val="002E6D"/>
              </w:rPr>
              <w:t xml:space="preserve">Patricia E. Yarrington, </w:t>
            </w:r>
            <w:r>
              <w:rPr>
                <w:rFonts w:ascii="Arial" w:cs="Arial" w:eastAsia="Arial" w:hAnsi="Arial"/>
                <w:sz w:val="14"/>
                <w:szCs w:val="14"/>
                <w:color w:val="002E6D"/>
              </w:rPr>
              <w:t>65</w:t>
            </w: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003478"/>
              </w:rPr>
              <w:t>A</w:t>
            </w:r>
          </w:p>
        </w:tc>
        <w:tc>
          <w:tcPr>
            <w:tcW w:w="0" w:type="dxa"/>
            <w:vAlign w:val="bottom"/>
          </w:tcPr>
          <w:p>
            <w:pPr>
              <w:spacing w:after="0"/>
              <w:rPr>
                <w:sz w:val="1"/>
                <w:szCs w:val="1"/>
                <w:color w:val="auto"/>
              </w:rPr>
            </w:pPr>
          </w:p>
        </w:tc>
      </w:tr>
      <w:tr>
        <w:trPr>
          <w:trHeight w:val="130"/>
        </w:trPr>
        <w:tc>
          <w:tcPr>
            <w:tcW w:w="340" w:type="dxa"/>
            <w:vAlign w:val="bottom"/>
            <w:shd w:val="clear" w:color="auto" w:fill="BCBEC0"/>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980" w:type="dxa"/>
            <w:vAlign w:val="bottom"/>
            <w:gridSpan w:val="3"/>
          </w:tcPr>
          <w:p>
            <w:pPr>
              <w:ind w:left="700"/>
              <w:spacing w:after="0" w:line="130" w:lineRule="exact"/>
              <w:rPr>
                <w:sz w:val="20"/>
                <w:szCs w:val="20"/>
                <w:color w:val="auto"/>
              </w:rPr>
            </w:pPr>
            <w:r>
              <w:rPr>
                <w:rFonts w:ascii="Arial" w:cs="Arial" w:eastAsia="Arial" w:hAnsi="Arial"/>
                <w:sz w:val="14"/>
                <w:szCs w:val="14"/>
                <w:color w:val="auto"/>
              </w:rPr>
              <w:t>Retired Chief Financial Officer, Chevron Corporation</w:t>
            </w:r>
          </w:p>
        </w:tc>
        <w:tc>
          <w:tcPr>
            <w:tcW w:w="720" w:type="dxa"/>
            <w:vAlign w:val="bottom"/>
            <w:vMerge w:val="restart"/>
          </w:tcPr>
          <w:p>
            <w:pPr>
              <w:jc w:val="right"/>
              <w:ind w:right="29"/>
              <w:spacing w:after="0"/>
              <w:rPr>
                <w:sz w:val="20"/>
                <w:szCs w:val="20"/>
                <w:color w:val="auto"/>
              </w:rPr>
            </w:pPr>
            <w:r>
              <w:rPr>
                <w:rFonts w:ascii="Arial" w:cs="Arial" w:eastAsia="Arial" w:hAnsi="Arial"/>
                <w:sz w:val="14"/>
                <w:szCs w:val="14"/>
                <w:color w:val="auto"/>
              </w:rPr>
              <w:t>2021</w:t>
            </w:r>
          </w:p>
        </w:tc>
        <w:tc>
          <w:tcPr>
            <w:tcW w:w="32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340" w:type="dxa"/>
            <w:vAlign w:val="bottom"/>
            <w:shd w:val="clear" w:color="auto" w:fill="BCBEC0"/>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003478"/>
              </w:rPr>
              <w:t>M</w:t>
            </w:r>
          </w:p>
        </w:tc>
        <w:tc>
          <w:tcPr>
            <w:tcW w:w="0" w:type="dxa"/>
            <w:vAlign w:val="bottom"/>
          </w:tcPr>
          <w:p>
            <w:pPr>
              <w:spacing w:after="0"/>
              <w:rPr>
                <w:sz w:val="1"/>
                <w:szCs w:val="1"/>
                <w:color w:val="auto"/>
              </w:rPr>
            </w:pPr>
          </w:p>
        </w:tc>
      </w:tr>
      <w:tr>
        <w:trPr>
          <w:trHeight w:val="94"/>
        </w:trPr>
        <w:tc>
          <w:tcPr>
            <w:tcW w:w="340" w:type="dxa"/>
            <w:vAlign w:val="bottom"/>
            <w:shd w:val="clear" w:color="auto" w:fill="BCBEC0"/>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340" w:type="dxa"/>
            <w:vAlign w:val="bottom"/>
            <w:shd w:val="clear" w:color="auto" w:fill="BCBEC0"/>
          </w:tcPr>
          <w:p>
            <w:pPr>
              <w:spacing w:after="0"/>
              <w:rPr>
                <w:sz w:val="13"/>
                <w:szCs w:val="13"/>
                <w:color w:val="auto"/>
              </w:rPr>
            </w:pPr>
          </w:p>
        </w:tc>
        <w:tc>
          <w:tcPr>
            <w:tcW w:w="2620" w:type="dxa"/>
            <w:vAlign w:val="bottom"/>
            <w:tcBorders>
              <w:bottom w:val="single" w:sz="8" w:color="959595"/>
            </w:tcBorders>
            <w:gridSpan w:val="3"/>
          </w:tcPr>
          <w:p>
            <w:pPr>
              <w:spacing w:after="0"/>
              <w:rPr>
                <w:sz w:val="13"/>
                <w:szCs w:val="13"/>
                <w:color w:val="auto"/>
              </w:rPr>
            </w:pPr>
          </w:p>
        </w:tc>
        <w:tc>
          <w:tcPr>
            <w:tcW w:w="320" w:type="dxa"/>
            <w:vAlign w:val="bottom"/>
            <w:tcBorders>
              <w:bottom w:val="single" w:sz="8" w:color="959595"/>
            </w:tcBorders>
          </w:tcPr>
          <w:p>
            <w:pPr>
              <w:spacing w:after="0"/>
              <w:rPr>
                <w:sz w:val="13"/>
                <w:szCs w:val="13"/>
                <w:color w:val="auto"/>
              </w:rPr>
            </w:pPr>
          </w:p>
        </w:tc>
        <w:tc>
          <w:tcPr>
            <w:tcW w:w="3400" w:type="dxa"/>
            <w:vAlign w:val="bottom"/>
            <w:tcBorders>
              <w:bottom w:val="single" w:sz="8" w:color="959595"/>
            </w:tcBorders>
            <w:gridSpan w:val="2"/>
          </w:tcPr>
          <w:p>
            <w:pPr>
              <w:spacing w:after="0"/>
              <w:rPr>
                <w:sz w:val="13"/>
                <w:szCs w:val="13"/>
                <w:color w:val="auto"/>
              </w:rPr>
            </w:pPr>
          </w:p>
        </w:tc>
        <w:tc>
          <w:tcPr>
            <w:tcW w:w="320" w:type="dxa"/>
            <w:vAlign w:val="bottom"/>
            <w:tcBorders>
              <w:bottom w:val="single" w:sz="8" w:color="959595"/>
            </w:tcBorders>
          </w:tcPr>
          <w:p>
            <w:pPr>
              <w:spacing w:after="0"/>
              <w:rPr>
                <w:sz w:val="13"/>
                <w:szCs w:val="13"/>
                <w:color w:val="auto"/>
              </w:rPr>
            </w:pPr>
          </w:p>
        </w:tc>
        <w:tc>
          <w:tcPr>
            <w:tcW w:w="740" w:type="dxa"/>
            <w:vAlign w:val="bottom"/>
            <w:tcBorders>
              <w:bottom w:val="single" w:sz="8" w:color="959595"/>
            </w:tcBorders>
          </w:tcPr>
          <w:p>
            <w:pPr>
              <w:spacing w:after="0"/>
              <w:rPr>
                <w:sz w:val="13"/>
                <w:szCs w:val="13"/>
                <w:color w:val="auto"/>
              </w:rPr>
            </w:pPr>
          </w:p>
        </w:tc>
        <w:tc>
          <w:tcPr>
            <w:tcW w:w="0" w:type="dxa"/>
            <w:vAlign w:val="bottom"/>
          </w:tcPr>
          <w:p>
            <w:pPr>
              <w:spacing w:after="0"/>
              <w:rPr>
                <w:sz w:val="1"/>
                <w:szCs w:val="1"/>
                <w:color w:val="auto"/>
              </w:rPr>
            </w:pPr>
          </w:p>
        </w:tc>
      </w:tr>
      <w:tr>
        <w:trPr>
          <w:trHeight w:val="316"/>
        </w:trPr>
        <w:tc>
          <w:tcPr>
            <w:tcW w:w="340" w:type="dxa"/>
            <w:vAlign w:val="bottom"/>
          </w:tcPr>
          <w:p>
            <w:pPr>
              <w:ind w:left="20"/>
              <w:spacing w:after="0"/>
              <w:rPr>
                <w:sz w:val="20"/>
                <w:szCs w:val="20"/>
                <w:color w:val="auto"/>
              </w:rPr>
            </w:pPr>
            <w:r>
              <w:rPr>
                <w:rFonts w:ascii="Arial" w:cs="Arial" w:eastAsia="Arial" w:hAnsi="Arial"/>
                <w:sz w:val="14"/>
                <w:szCs w:val="14"/>
                <w:b w:val="1"/>
                <w:bCs w:val="1"/>
                <w:color w:val="002E6D"/>
              </w:rPr>
              <w:t>A</w:t>
            </w:r>
          </w:p>
        </w:tc>
        <w:tc>
          <w:tcPr>
            <w:tcW w:w="2620" w:type="dxa"/>
            <w:vAlign w:val="bottom"/>
            <w:gridSpan w:val="3"/>
          </w:tcPr>
          <w:p>
            <w:pPr>
              <w:ind w:left="40"/>
              <w:spacing w:after="0"/>
              <w:rPr>
                <w:sz w:val="20"/>
                <w:szCs w:val="20"/>
                <w:color w:val="auto"/>
              </w:rPr>
            </w:pPr>
            <w:r>
              <w:rPr>
                <w:rFonts w:ascii="Arial" w:cs="Arial" w:eastAsia="Arial" w:hAnsi="Arial"/>
                <w:sz w:val="14"/>
                <w:szCs w:val="14"/>
                <w:color w:val="auto"/>
              </w:rPr>
              <w:t>Audit</w:t>
            </w:r>
          </w:p>
        </w:tc>
        <w:tc>
          <w:tcPr>
            <w:tcW w:w="320" w:type="dxa"/>
            <w:vAlign w:val="bottom"/>
          </w:tcPr>
          <w:p>
            <w:pPr>
              <w:spacing w:after="0"/>
              <w:rPr>
                <w:sz w:val="20"/>
                <w:szCs w:val="20"/>
                <w:color w:val="auto"/>
              </w:rPr>
            </w:pPr>
            <w:r>
              <w:rPr>
                <w:rFonts w:ascii="Arial" w:cs="Arial" w:eastAsia="Arial" w:hAnsi="Arial"/>
                <w:sz w:val="14"/>
                <w:szCs w:val="14"/>
                <w:b w:val="1"/>
                <w:bCs w:val="1"/>
                <w:color w:val="002E6D"/>
              </w:rPr>
              <w:t>M</w:t>
            </w:r>
          </w:p>
        </w:tc>
        <w:tc>
          <w:tcPr>
            <w:tcW w:w="3400" w:type="dxa"/>
            <w:vAlign w:val="bottom"/>
            <w:gridSpan w:val="2"/>
          </w:tcPr>
          <w:p>
            <w:pPr>
              <w:ind w:left="20"/>
              <w:spacing w:after="0"/>
              <w:rPr>
                <w:sz w:val="20"/>
                <w:szCs w:val="20"/>
                <w:color w:val="auto"/>
              </w:rPr>
            </w:pPr>
            <w:r>
              <w:rPr>
                <w:rFonts w:ascii="Arial" w:cs="Arial" w:eastAsia="Arial" w:hAnsi="Arial"/>
                <w:sz w:val="14"/>
                <w:szCs w:val="14"/>
                <w:color w:val="auto"/>
              </w:rPr>
              <w:t>Management Development and Compensation</w:t>
            </w:r>
          </w:p>
        </w:tc>
        <w:tc>
          <w:tcPr>
            <w:tcW w:w="320" w:type="dxa"/>
            <w:vAlign w:val="bottom"/>
          </w:tcPr>
          <w:p>
            <w:pPr>
              <w:jc w:val="right"/>
              <w:ind w:right="13"/>
              <w:spacing w:after="0"/>
              <w:rPr>
                <w:sz w:val="20"/>
                <w:szCs w:val="20"/>
                <w:color w:val="auto"/>
              </w:rPr>
            </w:pPr>
            <w:r>
              <w:rPr>
                <w:rFonts w:ascii="Arial" w:cs="Arial" w:eastAsia="Arial" w:hAnsi="Arial"/>
                <w:sz w:val="14"/>
                <w:szCs w:val="14"/>
                <w:b w:val="1"/>
                <w:bCs w:val="1"/>
                <w:color w:val="002E6D"/>
              </w:rPr>
              <w:t>*</w:t>
            </w:r>
          </w:p>
        </w:tc>
        <w:tc>
          <w:tcPr>
            <w:tcW w:w="740" w:type="dxa"/>
            <w:vAlign w:val="bottom"/>
          </w:tcPr>
          <w:p>
            <w:pPr>
              <w:ind w:left="220"/>
              <w:spacing w:after="0"/>
              <w:rPr>
                <w:sz w:val="20"/>
                <w:szCs w:val="20"/>
                <w:color w:val="auto"/>
              </w:rPr>
            </w:pPr>
            <w:r>
              <w:rPr>
                <w:rFonts w:ascii="Arial" w:cs="Arial" w:eastAsia="Arial" w:hAnsi="Arial"/>
                <w:sz w:val="14"/>
                <w:szCs w:val="14"/>
                <w:color w:val="auto"/>
              </w:rPr>
              <w:t>Chair</w:t>
            </w:r>
          </w:p>
        </w:tc>
        <w:tc>
          <w:tcPr>
            <w:tcW w:w="0" w:type="dxa"/>
            <w:vAlign w:val="bottom"/>
          </w:tcPr>
          <w:p>
            <w:pPr>
              <w:spacing w:after="0"/>
              <w:rPr>
                <w:sz w:val="1"/>
                <w:szCs w:val="1"/>
                <w:color w:val="auto"/>
              </w:rPr>
            </w:pPr>
          </w:p>
        </w:tc>
      </w:tr>
      <w:tr>
        <w:trPr>
          <w:trHeight w:val="190"/>
        </w:trPr>
        <w:tc>
          <w:tcPr>
            <w:tcW w:w="340" w:type="dxa"/>
            <w:vAlign w:val="bottom"/>
          </w:tcPr>
          <w:p>
            <w:pPr>
              <w:ind w:left="20"/>
              <w:spacing w:after="0"/>
              <w:rPr>
                <w:sz w:val="20"/>
                <w:szCs w:val="20"/>
                <w:color w:val="auto"/>
              </w:rPr>
            </w:pPr>
            <w:r>
              <w:rPr>
                <w:rFonts w:ascii="Arial" w:cs="Arial" w:eastAsia="Arial" w:hAnsi="Arial"/>
                <w:sz w:val="14"/>
                <w:szCs w:val="14"/>
                <w:b w:val="1"/>
                <w:bCs w:val="1"/>
                <w:color w:val="002E6D"/>
              </w:rPr>
              <w:t>C</w:t>
            </w:r>
          </w:p>
        </w:tc>
        <w:tc>
          <w:tcPr>
            <w:tcW w:w="2620" w:type="dxa"/>
            <w:vAlign w:val="bottom"/>
            <w:gridSpan w:val="3"/>
          </w:tcPr>
          <w:p>
            <w:pPr>
              <w:ind w:left="40"/>
              <w:spacing w:after="0"/>
              <w:rPr>
                <w:sz w:val="20"/>
                <w:szCs w:val="20"/>
                <w:color w:val="auto"/>
              </w:rPr>
            </w:pPr>
            <w:r>
              <w:rPr>
                <w:rFonts w:ascii="Arial" w:cs="Arial" w:eastAsia="Arial" w:hAnsi="Arial"/>
                <w:sz w:val="14"/>
                <w:szCs w:val="14"/>
                <w:color w:val="auto"/>
              </w:rPr>
              <w:t>Classified Business and Security</w:t>
            </w:r>
          </w:p>
        </w:tc>
        <w:tc>
          <w:tcPr>
            <w:tcW w:w="320" w:type="dxa"/>
            <w:vAlign w:val="bottom"/>
          </w:tcPr>
          <w:p>
            <w:pPr>
              <w:spacing w:after="0"/>
              <w:rPr>
                <w:sz w:val="20"/>
                <w:szCs w:val="20"/>
                <w:color w:val="auto"/>
              </w:rPr>
            </w:pPr>
            <w:r>
              <w:rPr>
                <w:rFonts w:ascii="Arial" w:cs="Arial" w:eastAsia="Arial" w:hAnsi="Arial"/>
                <w:sz w:val="14"/>
                <w:szCs w:val="14"/>
                <w:b w:val="1"/>
                <w:bCs w:val="1"/>
                <w:color w:val="002E6D"/>
              </w:rPr>
              <w:t>N</w:t>
            </w:r>
          </w:p>
        </w:tc>
        <w:tc>
          <w:tcPr>
            <w:tcW w:w="2680" w:type="dxa"/>
            <w:vAlign w:val="bottom"/>
          </w:tcPr>
          <w:p>
            <w:pPr>
              <w:ind w:left="20"/>
              <w:spacing w:after="0"/>
              <w:rPr>
                <w:sz w:val="20"/>
                <w:szCs w:val="20"/>
                <w:color w:val="auto"/>
              </w:rPr>
            </w:pPr>
            <w:r>
              <w:rPr>
                <w:rFonts w:ascii="Arial" w:cs="Arial" w:eastAsia="Arial" w:hAnsi="Arial"/>
                <w:sz w:val="14"/>
                <w:szCs w:val="14"/>
                <w:color w:val="auto"/>
              </w:rPr>
              <w:t>Nominating and Corporate Governance</w:t>
            </w: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26"/>
        </w:trPr>
        <w:tc>
          <w:tcPr>
            <w:tcW w:w="340" w:type="dxa"/>
            <w:vAlign w:val="bottom"/>
          </w:tcPr>
          <w:p>
            <w:pPr>
              <w:ind w:left="20"/>
              <w:spacing w:after="0"/>
              <w:rPr>
                <w:sz w:val="20"/>
                <w:szCs w:val="20"/>
                <w:color w:val="auto"/>
              </w:rPr>
            </w:pPr>
            <w:r>
              <w:rPr>
                <w:rFonts w:ascii="Arial" w:cs="Arial" w:eastAsia="Arial" w:hAnsi="Arial"/>
                <w:sz w:val="14"/>
                <w:szCs w:val="14"/>
                <w:b w:val="1"/>
                <w:bCs w:val="1"/>
                <w:color w:val="808080"/>
              </w:rPr>
              <w:t>3</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5030470</wp:posOffset>
            </wp:positionH>
            <wp:positionV relativeFrom="paragraph">
              <wp:posOffset>-7278370</wp:posOffset>
            </wp:positionV>
            <wp:extent cx="2115820" cy="6492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15820" cy="649287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-7107555</wp:posOffset>
            </wp:positionV>
            <wp:extent cx="895985" cy="62198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95985" cy="621982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-196850</wp:posOffset>
            </wp:positionV>
            <wp:extent cx="963930" cy="2216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ectPr>
          <w:pgSz w:w="11900" w:h="16838" w:orient="portrait"/>
          <w:cols w:equalWidth="0" w:num="1">
            <w:col w:w="10900"/>
          </w:cols>
          <w:pgMar w:left="320" w:top="254" w:right="67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003478"/>
        </w:rPr>
        <w:t>Proxy Statement Summary</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5"/>
          <w:szCs w:val="25"/>
          <w:color w:val="818EB4"/>
        </w:rPr>
        <w:t>Board Effectiveness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Our Board takes a multi-faceted approach to continually assess Board composition and evaluate effectiveness.</w:t>
      </w:r>
    </w:p>
    <w:p>
      <w:pPr>
        <w:spacing w:after="0" w:line="86" w:lineRule="exact"/>
        <w:rPr>
          <w:sz w:val="20"/>
          <w:szCs w:val="20"/>
          <w:color w:val="auto"/>
        </w:rPr>
      </w:pPr>
    </w:p>
    <w:tbl>
      <w:tblPr>
        <w:tblLayout w:type="fixed"/>
        <w:tblInd w:w="10" w:type="dxa"/>
        <w:tblCellMar>
          <w:top w:w="0" w:type="dxa"/>
          <w:left w:w="0" w:type="dxa"/>
          <w:bottom w:w="0" w:type="dxa"/>
          <w:right w:w="0" w:type="dxa"/>
        </w:tblCellMar>
      </w:tblPr>
      <w:tr>
        <w:trPr>
          <w:trHeight w:val="237"/>
        </w:trPr>
        <w:tc>
          <w:tcPr>
            <w:tcW w:w="120" w:type="dxa"/>
            <w:vAlign w:val="bottom"/>
            <w:tcBorders>
              <w:top w:val="single" w:sz="8" w:color="002E6D"/>
              <w:left w:val="single" w:sz="8" w:color="002E6D"/>
            </w:tcBorders>
          </w:tcPr>
          <w:p>
            <w:pPr>
              <w:spacing w:after="0"/>
              <w:rPr>
                <w:sz w:val="20"/>
                <w:szCs w:val="20"/>
                <w:color w:val="auto"/>
              </w:rPr>
            </w:pPr>
          </w:p>
        </w:tc>
        <w:tc>
          <w:tcPr>
            <w:tcW w:w="5920" w:type="dxa"/>
            <w:vAlign w:val="bottom"/>
            <w:tcBorders>
              <w:top w:val="single" w:sz="8" w:color="002E6D"/>
              <w:right w:val="single" w:sz="8" w:color="002E6D"/>
            </w:tcBorders>
            <w:vMerge w:val="restart"/>
          </w:tcPr>
          <w:p>
            <w:pPr>
              <w:ind w:left="20"/>
              <w:spacing w:after="0"/>
              <w:rPr>
                <w:sz w:val="20"/>
                <w:szCs w:val="20"/>
                <w:color w:val="auto"/>
              </w:rPr>
            </w:pPr>
            <w:r>
              <w:rPr>
                <w:rFonts w:ascii="Arial" w:cs="Arial" w:eastAsia="Arial" w:hAnsi="Arial"/>
                <w:sz w:val="17"/>
                <w:szCs w:val="17"/>
                <w:b w:val="1"/>
                <w:bCs w:val="1"/>
                <w:color w:val="002E6D"/>
              </w:rPr>
              <w:t>Practices contributing to board effectiveness</w:t>
            </w:r>
          </w:p>
        </w:tc>
        <w:tc>
          <w:tcPr>
            <w:tcW w:w="5220" w:type="dxa"/>
            <w:vAlign w:val="bottom"/>
            <w:tcBorders>
              <w:top w:val="single" w:sz="8" w:color="002E6D"/>
              <w:right w:val="single" w:sz="8" w:color="002E6D"/>
            </w:tcBorders>
          </w:tcPr>
          <w:p>
            <w:pPr>
              <w:ind w:left="140"/>
              <w:spacing w:after="0"/>
              <w:rPr>
                <w:sz w:val="20"/>
                <w:szCs w:val="20"/>
                <w:color w:val="auto"/>
              </w:rPr>
            </w:pPr>
            <w:r>
              <w:rPr>
                <w:rFonts w:ascii="Arial" w:cs="Arial" w:eastAsia="Arial" w:hAnsi="Arial"/>
                <w:sz w:val="17"/>
                <w:szCs w:val="17"/>
                <w:b w:val="1"/>
                <w:bCs w:val="1"/>
                <w:color w:val="002E6D"/>
              </w:rPr>
              <w:t>Skills enhanced in the past 5 Years:</w:t>
            </w:r>
          </w:p>
        </w:tc>
        <w:tc>
          <w:tcPr>
            <w:tcW w:w="0" w:type="dxa"/>
            <w:vAlign w:val="bottom"/>
          </w:tcPr>
          <w:p>
            <w:pPr>
              <w:spacing w:after="0"/>
              <w:rPr>
                <w:sz w:val="1"/>
                <w:szCs w:val="1"/>
                <w:color w:val="auto"/>
              </w:rPr>
            </w:pPr>
          </w:p>
        </w:tc>
      </w:tr>
      <w:tr>
        <w:trPr>
          <w:trHeight w:val="108"/>
        </w:trPr>
        <w:tc>
          <w:tcPr>
            <w:tcW w:w="120" w:type="dxa"/>
            <w:vAlign w:val="bottom"/>
            <w:tcBorders>
              <w:left w:val="single" w:sz="8" w:color="002E6D"/>
            </w:tcBorders>
          </w:tcPr>
          <w:p>
            <w:pPr>
              <w:spacing w:after="0"/>
              <w:rPr>
                <w:sz w:val="9"/>
                <w:szCs w:val="9"/>
                <w:color w:val="auto"/>
              </w:rPr>
            </w:pPr>
          </w:p>
        </w:tc>
        <w:tc>
          <w:tcPr>
            <w:tcW w:w="5920" w:type="dxa"/>
            <w:vAlign w:val="bottom"/>
            <w:tcBorders>
              <w:right w:val="single" w:sz="8" w:color="002E6D"/>
            </w:tcBorders>
            <w:vMerge w:val="continue"/>
          </w:tcPr>
          <w:p>
            <w:pPr>
              <w:spacing w:after="0"/>
              <w:rPr>
                <w:sz w:val="9"/>
                <w:szCs w:val="9"/>
                <w:color w:val="auto"/>
              </w:rPr>
            </w:pPr>
          </w:p>
        </w:tc>
        <w:tc>
          <w:tcPr>
            <w:tcW w:w="5220" w:type="dxa"/>
            <w:vAlign w:val="bottom"/>
            <w:tcBorders>
              <w:right w:val="single" w:sz="8" w:color="002E6D"/>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120" w:type="dxa"/>
            <w:vAlign w:val="bottom"/>
            <w:tcBorders>
              <w:left w:val="single" w:sz="8" w:color="002E6D"/>
            </w:tcBorders>
          </w:tcPr>
          <w:p>
            <w:pPr>
              <w:spacing w:after="0"/>
              <w:rPr>
                <w:sz w:val="24"/>
                <w:szCs w:val="24"/>
                <w:color w:val="auto"/>
              </w:rPr>
            </w:pPr>
          </w:p>
        </w:tc>
        <w:tc>
          <w:tcPr>
            <w:tcW w:w="5920" w:type="dxa"/>
            <w:vAlign w:val="bottom"/>
            <w:tcBorders>
              <w:right w:val="single" w:sz="8" w:color="002E6D"/>
            </w:tcBorders>
          </w:tcPr>
          <w:p>
            <w:pPr>
              <w:ind w:left="200"/>
              <w:spacing w:after="0"/>
              <w:rPr>
                <w:sz w:val="20"/>
                <w:szCs w:val="20"/>
                <w:color w:val="auto"/>
              </w:rPr>
            </w:pPr>
            <w:r>
              <w:rPr>
                <w:rFonts w:ascii="Arial" w:cs="Arial" w:eastAsia="Arial" w:hAnsi="Arial"/>
                <w:sz w:val="17"/>
                <w:szCs w:val="17"/>
                <w:color w:val="auto"/>
              </w:rPr>
              <w:t>Identification of Diverse Board Candidates</w:t>
            </w:r>
          </w:p>
        </w:tc>
        <w:tc>
          <w:tcPr>
            <w:tcW w:w="5220" w:type="dxa"/>
            <w:vAlign w:val="bottom"/>
            <w:tcBorders>
              <w:right w:val="single" w:sz="8" w:color="002E6D"/>
            </w:tcBorders>
          </w:tcPr>
          <w:p>
            <w:pPr>
              <w:ind w:left="620"/>
              <w:spacing w:after="0"/>
              <w:rPr>
                <w:sz w:val="20"/>
                <w:szCs w:val="20"/>
                <w:color w:val="auto"/>
              </w:rPr>
            </w:pPr>
            <w:r>
              <w:rPr>
                <w:rFonts w:ascii="Arial" w:cs="Arial" w:eastAsia="Arial" w:hAnsi="Arial"/>
                <w:sz w:val="17"/>
                <w:szCs w:val="17"/>
                <w:color w:val="auto"/>
              </w:rPr>
              <w:t>Innovation, information technology and cybersecurity</w:t>
            </w:r>
          </w:p>
        </w:tc>
        <w:tc>
          <w:tcPr>
            <w:tcW w:w="0" w:type="dxa"/>
            <w:vAlign w:val="bottom"/>
          </w:tcPr>
          <w:p>
            <w:pPr>
              <w:spacing w:after="0"/>
              <w:rPr>
                <w:sz w:val="1"/>
                <w:szCs w:val="1"/>
                <w:color w:val="auto"/>
              </w:rPr>
            </w:pPr>
          </w:p>
        </w:tc>
      </w:tr>
      <w:tr>
        <w:trPr>
          <w:trHeight w:val="282"/>
        </w:trPr>
        <w:tc>
          <w:tcPr>
            <w:tcW w:w="120" w:type="dxa"/>
            <w:vAlign w:val="bottom"/>
            <w:tcBorders>
              <w:left w:val="single" w:sz="8" w:color="002E6D"/>
            </w:tcBorders>
          </w:tcPr>
          <w:p>
            <w:pPr>
              <w:spacing w:after="0"/>
              <w:rPr>
                <w:sz w:val="24"/>
                <w:szCs w:val="24"/>
                <w:color w:val="auto"/>
              </w:rPr>
            </w:pPr>
          </w:p>
        </w:tc>
        <w:tc>
          <w:tcPr>
            <w:tcW w:w="5920" w:type="dxa"/>
            <w:vAlign w:val="bottom"/>
            <w:tcBorders>
              <w:right w:val="single" w:sz="8" w:color="002E6D"/>
            </w:tcBorders>
          </w:tcPr>
          <w:p>
            <w:pPr>
              <w:ind w:left="200"/>
              <w:spacing w:after="0"/>
              <w:rPr>
                <w:sz w:val="20"/>
                <w:szCs w:val="20"/>
                <w:color w:val="auto"/>
              </w:rPr>
            </w:pPr>
            <w:r>
              <w:rPr>
                <w:rFonts w:ascii="Arial" w:cs="Arial" w:eastAsia="Arial" w:hAnsi="Arial"/>
                <w:sz w:val="17"/>
                <w:szCs w:val="17"/>
                <w:color w:val="auto"/>
              </w:rPr>
              <w:t>Rotation of Board Committee Assignments</w:t>
            </w:r>
          </w:p>
        </w:tc>
        <w:tc>
          <w:tcPr>
            <w:tcW w:w="5220" w:type="dxa"/>
            <w:vAlign w:val="bottom"/>
            <w:tcBorders>
              <w:right w:val="single" w:sz="8" w:color="002E6D"/>
            </w:tcBorders>
            <w:vMerge w:val="restart"/>
          </w:tcPr>
          <w:p>
            <w:pPr>
              <w:ind w:left="620"/>
              <w:spacing w:after="0"/>
              <w:rPr>
                <w:sz w:val="20"/>
                <w:szCs w:val="20"/>
                <w:color w:val="auto"/>
              </w:rPr>
            </w:pPr>
            <w:r>
              <w:rPr>
                <w:rFonts w:ascii="Arial" w:cs="Arial" w:eastAsia="Arial" w:hAnsi="Arial"/>
                <w:sz w:val="17"/>
                <w:szCs w:val="17"/>
                <w:color w:val="auto"/>
              </w:rPr>
              <w:t>Industry and customer experience</w:t>
            </w:r>
          </w:p>
        </w:tc>
        <w:tc>
          <w:tcPr>
            <w:tcW w:w="0" w:type="dxa"/>
            <w:vAlign w:val="bottom"/>
          </w:tcPr>
          <w:p>
            <w:pPr>
              <w:spacing w:after="0"/>
              <w:rPr>
                <w:sz w:val="1"/>
                <w:szCs w:val="1"/>
                <w:color w:val="auto"/>
              </w:rPr>
            </w:pPr>
          </w:p>
        </w:tc>
      </w:tr>
      <w:tr>
        <w:trPr>
          <w:trHeight w:val="188"/>
        </w:trPr>
        <w:tc>
          <w:tcPr>
            <w:tcW w:w="120" w:type="dxa"/>
            <w:vAlign w:val="bottom"/>
            <w:tcBorders>
              <w:left w:val="single" w:sz="8" w:color="002E6D"/>
            </w:tcBorders>
          </w:tcPr>
          <w:p>
            <w:pPr>
              <w:spacing w:after="0"/>
              <w:rPr>
                <w:sz w:val="16"/>
                <w:szCs w:val="16"/>
                <w:color w:val="auto"/>
              </w:rPr>
            </w:pPr>
          </w:p>
        </w:tc>
        <w:tc>
          <w:tcPr>
            <w:tcW w:w="5920" w:type="dxa"/>
            <w:vAlign w:val="bottom"/>
            <w:tcBorders>
              <w:right w:val="single" w:sz="8" w:color="002E6D"/>
            </w:tcBorders>
            <w:vMerge w:val="restart"/>
          </w:tcPr>
          <w:p>
            <w:pPr>
              <w:ind w:left="200"/>
              <w:spacing w:after="0"/>
              <w:rPr>
                <w:sz w:val="20"/>
                <w:szCs w:val="20"/>
                <w:color w:val="auto"/>
              </w:rPr>
            </w:pPr>
            <w:r>
              <w:rPr>
                <w:rFonts w:ascii="Arial" w:cs="Arial" w:eastAsia="Arial" w:hAnsi="Arial"/>
                <w:sz w:val="17"/>
                <w:szCs w:val="17"/>
                <w:color w:val="auto"/>
              </w:rPr>
              <w:t>Annual Performance Assessments</w:t>
            </w:r>
          </w:p>
        </w:tc>
        <w:tc>
          <w:tcPr>
            <w:tcW w:w="5220" w:type="dxa"/>
            <w:vAlign w:val="bottom"/>
            <w:tcBorders>
              <w:right w:val="single" w:sz="8" w:color="002E6D"/>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20" w:type="dxa"/>
            <w:vAlign w:val="bottom"/>
            <w:tcBorders>
              <w:left w:val="single" w:sz="8" w:color="002E6D"/>
            </w:tcBorders>
          </w:tcPr>
          <w:p>
            <w:pPr>
              <w:spacing w:after="0"/>
              <w:rPr>
                <w:sz w:val="8"/>
                <w:szCs w:val="8"/>
                <w:color w:val="auto"/>
              </w:rPr>
            </w:pPr>
          </w:p>
        </w:tc>
        <w:tc>
          <w:tcPr>
            <w:tcW w:w="5920" w:type="dxa"/>
            <w:vAlign w:val="bottom"/>
            <w:tcBorders>
              <w:right w:val="single" w:sz="8" w:color="002E6D"/>
            </w:tcBorders>
            <w:vMerge w:val="continue"/>
          </w:tcPr>
          <w:p>
            <w:pPr>
              <w:spacing w:after="0"/>
              <w:rPr>
                <w:sz w:val="8"/>
                <w:szCs w:val="8"/>
                <w:color w:val="auto"/>
              </w:rPr>
            </w:pPr>
          </w:p>
        </w:tc>
        <w:tc>
          <w:tcPr>
            <w:tcW w:w="5220" w:type="dxa"/>
            <w:vAlign w:val="bottom"/>
            <w:tcBorders>
              <w:right w:val="single" w:sz="8" w:color="002E6D"/>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20" w:type="dxa"/>
            <w:vAlign w:val="bottom"/>
            <w:tcBorders>
              <w:left w:val="single" w:sz="8" w:color="002E6D"/>
            </w:tcBorders>
          </w:tcPr>
          <w:p>
            <w:pPr>
              <w:spacing w:after="0"/>
              <w:rPr>
                <w:sz w:val="24"/>
                <w:szCs w:val="24"/>
                <w:color w:val="auto"/>
              </w:rPr>
            </w:pPr>
          </w:p>
        </w:tc>
        <w:tc>
          <w:tcPr>
            <w:tcW w:w="5920" w:type="dxa"/>
            <w:vAlign w:val="bottom"/>
            <w:tcBorders>
              <w:right w:val="single" w:sz="8" w:color="002E6D"/>
            </w:tcBorders>
          </w:tcPr>
          <w:p>
            <w:pPr>
              <w:ind w:left="200"/>
              <w:spacing w:after="0"/>
              <w:rPr>
                <w:sz w:val="20"/>
                <w:szCs w:val="20"/>
                <w:color w:val="auto"/>
              </w:rPr>
            </w:pPr>
            <w:r>
              <w:rPr>
                <w:rFonts w:ascii="Arial" w:cs="Arial" w:eastAsia="Arial" w:hAnsi="Arial"/>
                <w:sz w:val="17"/>
                <w:szCs w:val="17"/>
                <w:color w:val="auto"/>
              </w:rPr>
              <w:t>Robust Onboarding and Continuing Education</w:t>
            </w:r>
          </w:p>
        </w:tc>
        <w:tc>
          <w:tcPr>
            <w:tcW w:w="5220" w:type="dxa"/>
            <w:vAlign w:val="bottom"/>
            <w:tcBorders>
              <w:right w:val="single" w:sz="8" w:color="002E6D"/>
            </w:tcBorders>
            <w:vMerge w:val="restart"/>
          </w:tcPr>
          <w:p>
            <w:pPr>
              <w:ind w:left="620"/>
              <w:spacing w:after="0"/>
              <w:rPr>
                <w:sz w:val="20"/>
                <w:szCs w:val="20"/>
                <w:color w:val="auto"/>
              </w:rPr>
            </w:pPr>
            <w:r>
              <w:rPr>
                <w:rFonts w:ascii="Arial" w:cs="Arial" w:eastAsia="Arial" w:hAnsi="Arial"/>
                <w:sz w:val="17"/>
                <w:szCs w:val="17"/>
                <w:color w:val="auto"/>
              </w:rPr>
              <w:t>Environment, safety and sustainability expertise</w:t>
            </w:r>
          </w:p>
        </w:tc>
        <w:tc>
          <w:tcPr>
            <w:tcW w:w="0" w:type="dxa"/>
            <w:vAlign w:val="bottom"/>
          </w:tcPr>
          <w:p>
            <w:pPr>
              <w:spacing w:after="0"/>
              <w:rPr>
                <w:sz w:val="1"/>
                <w:szCs w:val="1"/>
                <w:color w:val="auto"/>
              </w:rPr>
            </w:pPr>
          </w:p>
        </w:tc>
      </w:tr>
      <w:tr>
        <w:trPr>
          <w:trHeight w:val="107"/>
        </w:trPr>
        <w:tc>
          <w:tcPr>
            <w:tcW w:w="120" w:type="dxa"/>
            <w:vAlign w:val="bottom"/>
            <w:tcBorders>
              <w:left w:val="single" w:sz="8" w:color="002E6D"/>
            </w:tcBorders>
          </w:tcPr>
          <w:p>
            <w:pPr>
              <w:spacing w:after="0"/>
              <w:rPr>
                <w:sz w:val="9"/>
                <w:szCs w:val="9"/>
                <w:color w:val="auto"/>
              </w:rPr>
            </w:pPr>
          </w:p>
        </w:tc>
        <w:tc>
          <w:tcPr>
            <w:tcW w:w="5920" w:type="dxa"/>
            <w:vAlign w:val="bottom"/>
            <w:tcBorders>
              <w:right w:val="single" w:sz="8" w:color="002E6D"/>
            </w:tcBorders>
            <w:vMerge w:val="restart"/>
          </w:tcPr>
          <w:p>
            <w:pPr>
              <w:ind w:left="200"/>
              <w:spacing w:after="0"/>
              <w:rPr>
                <w:sz w:val="20"/>
                <w:szCs w:val="20"/>
                <w:color w:val="auto"/>
              </w:rPr>
            </w:pPr>
            <w:r>
              <w:rPr>
                <w:rFonts w:ascii="Arial" w:cs="Arial" w:eastAsia="Arial" w:hAnsi="Arial"/>
                <w:sz w:val="17"/>
                <w:szCs w:val="17"/>
                <w:color w:val="auto"/>
              </w:rPr>
              <w:t>Tenure and Overboarding Guidelines</w:t>
            </w:r>
          </w:p>
        </w:tc>
        <w:tc>
          <w:tcPr>
            <w:tcW w:w="5220" w:type="dxa"/>
            <w:vAlign w:val="bottom"/>
            <w:tcBorders>
              <w:right w:val="single" w:sz="8" w:color="002E6D"/>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120" w:type="dxa"/>
            <w:vAlign w:val="bottom"/>
            <w:tcBorders>
              <w:left w:val="single" w:sz="8" w:color="002E6D"/>
            </w:tcBorders>
          </w:tcPr>
          <w:p>
            <w:pPr>
              <w:spacing w:after="0"/>
              <w:rPr>
                <w:sz w:val="15"/>
                <w:szCs w:val="15"/>
                <w:color w:val="auto"/>
              </w:rPr>
            </w:pPr>
          </w:p>
        </w:tc>
        <w:tc>
          <w:tcPr>
            <w:tcW w:w="5920" w:type="dxa"/>
            <w:vAlign w:val="bottom"/>
            <w:tcBorders>
              <w:right w:val="single" w:sz="8" w:color="002E6D"/>
            </w:tcBorders>
            <w:vMerge w:val="continue"/>
          </w:tcPr>
          <w:p>
            <w:pPr>
              <w:spacing w:after="0"/>
              <w:rPr>
                <w:sz w:val="15"/>
                <w:szCs w:val="15"/>
                <w:color w:val="auto"/>
              </w:rPr>
            </w:pPr>
          </w:p>
        </w:tc>
        <w:tc>
          <w:tcPr>
            <w:tcW w:w="5220" w:type="dxa"/>
            <w:vAlign w:val="bottom"/>
            <w:tcBorders>
              <w:right w:val="single" w:sz="8" w:color="002E6D"/>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20" w:type="dxa"/>
            <w:vAlign w:val="bottom"/>
            <w:tcBorders>
              <w:left w:val="single" w:sz="8" w:color="002E6D"/>
            </w:tcBorders>
          </w:tcPr>
          <w:p>
            <w:pPr>
              <w:spacing w:after="0"/>
              <w:rPr>
                <w:sz w:val="12"/>
                <w:szCs w:val="12"/>
                <w:color w:val="auto"/>
              </w:rPr>
            </w:pPr>
          </w:p>
        </w:tc>
        <w:tc>
          <w:tcPr>
            <w:tcW w:w="5920" w:type="dxa"/>
            <w:vAlign w:val="bottom"/>
            <w:tcBorders>
              <w:bottom w:val="single" w:sz="8" w:color="002E6D"/>
              <w:right w:val="single" w:sz="8" w:color="002E6D"/>
            </w:tcBorders>
          </w:tcPr>
          <w:p>
            <w:pPr>
              <w:spacing w:after="0"/>
              <w:rPr>
                <w:sz w:val="12"/>
                <w:szCs w:val="12"/>
                <w:color w:val="auto"/>
              </w:rPr>
            </w:pPr>
          </w:p>
        </w:tc>
        <w:tc>
          <w:tcPr>
            <w:tcW w:w="5220" w:type="dxa"/>
            <w:vAlign w:val="bottom"/>
            <w:tcBorders>
              <w:right w:val="single" w:sz="8" w:color="002E6D"/>
            </w:tcBorders>
            <w:vMerge w:val="restart"/>
          </w:tcPr>
          <w:p>
            <w:pPr>
              <w:ind w:left="620"/>
              <w:spacing w:after="0"/>
              <w:rPr>
                <w:sz w:val="20"/>
                <w:szCs w:val="20"/>
                <w:color w:val="auto"/>
              </w:rPr>
            </w:pPr>
            <w:r>
              <w:rPr>
                <w:rFonts w:ascii="Arial" w:cs="Arial" w:eastAsia="Arial" w:hAnsi="Arial"/>
                <w:sz w:val="17"/>
                <w:szCs w:val="17"/>
                <w:color w:val="auto"/>
              </w:rPr>
              <w:t>Enterprise risk management</w:t>
            </w:r>
          </w:p>
        </w:tc>
        <w:tc>
          <w:tcPr>
            <w:tcW w:w="0" w:type="dxa"/>
            <w:vAlign w:val="bottom"/>
          </w:tcPr>
          <w:p>
            <w:pPr>
              <w:spacing w:after="0"/>
              <w:rPr>
                <w:sz w:val="1"/>
                <w:szCs w:val="1"/>
                <w:color w:val="auto"/>
              </w:rPr>
            </w:pPr>
          </w:p>
        </w:tc>
      </w:tr>
      <w:tr>
        <w:trPr>
          <w:trHeight w:val="137"/>
        </w:trPr>
        <w:tc>
          <w:tcPr>
            <w:tcW w:w="120" w:type="dxa"/>
            <w:vAlign w:val="bottom"/>
            <w:tcBorders>
              <w:left w:val="single" w:sz="8" w:color="002E6D"/>
            </w:tcBorders>
          </w:tcPr>
          <w:p>
            <w:pPr>
              <w:spacing w:after="0"/>
              <w:rPr>
                <w:sz w:val="11"/>
                <w:szCs w:val="11"/>
                <w:color w:val="auto"/>
              </w:rPr>
            </w:pPr>
          </w:p>
        </w:tc>
        <w:tc>
          <w:tcPr>
            <w:tcW w:w="5920" w:type="dxa"/>
            <w:vAlign w:val="bottom"/>
            <w:tcBorders>
              <w:right w:val="single" w:sz="8" w:color="002E6D"/>
            </w:tcBorders>
            <w:vMerge w:val="restart"/>
          </w:tcPr>
          <w:p>
            <w:pPr>
              <w:ind w:left="20"/>
              <w:spacing w:after="0"/>
              <w:rPr>
                <w:sz w:val="20"/>
                <w:szCs w:val="20"/>
                <w:color w:val="auto"/>
              </w:rPr>
            </w:pPr>
            <w:r>
              <w:rPr>
                <w:rFonts w:ascii="Arial" w:cs="Arial" w:eastAsia="Arial" w:hAnsi="Arial"/>
                <w:sz w:val="17"/>
                <w:szCs w:val="17"/>
                <w:b w:val="1"/>
                <w:bCs w:val="1"/>
                <w:color w:val="002E6D"/>
              </w:rPr>
              <w:t>Meaningful Refreshment</w:t>
            </w:r>
          </w:p>
        </w:tc>
        <w:tc>
          <w:tcPr>
            <w:tcW w:w="5220" w:type="dxa"/>
            <w:vAlign w:val="bottom"/>
            <w:tcBorders>
              <w:right w:val="single" w:sz="8" w:color="002E6D"/>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20" w:type="dxa"/>
            <w:vAlign w:val="bottom"/>
            <w:tcBorders>
              <w:left w:val="single" w:sz="8" w:color="002E6D"/>
            </w:tcBorders>
          </w:tcPr>
          <w:p>
            <w:pPr>
              <w:spacing w:after="0"/>
              <w:rPr>
                <w:sz w:val="19"/>
                <w:szCs w:val="19"/>
                <w:color w:val="auto"/>
              </w:rPr>
            </w:pPr>
          </w:p>
        </w:tc>
        <w:tc>
          <w:tcPr>
            <w:tcW w:w="5920" w:type="dxa"/>
            <w:vAlign w:val="bottom"/>
            <w:tcBorders>
              <w:right w:val="single" w:sz="8" w:color="002E6D"/>
            </w:tcBorders>
            <w:vMerge w:val="continue"/>
          </w:tcPr>
          <w:p>
            <w:pPr>
              <w:spacing w:after="0"/>
              <w:rPr>
                <w:sz w:val="19"/>
                <w:szCs w:val="19"/>
                <w:color w:val="auto"/>
              </w:rPr>
            </w:pPr>
          </w:p>
        </w:tc>
        <w:tc>
          <w:tcPr>
            <w:tcW w:w="5220" w:type="dxa"/>
            <w:vAlign w:val="bottom"/>
            <w:tcBorders>
              <w:right w:val="single" w:sz="8" w:color="002E6D"/>
            </w:tcBorders>
          </w:tcPr>
          <w:p>
            <w:pPr>
              <w:spacing w:after="0"/>
              <w:rPr>
                <w:sz w:val="19"/>
                <w:szCs w:val="19"/>
                <w:color w:val="auto"/>
              </w:rPr>
            </w:pPr>
          </w:p>
        </w:tc>
        <w:tc>
          <w:tcPr>
            <w:tcW w:w="0" w:type="dxa"/>
            <w:vAlign w:val="bottom"/>
          </w:tcPr>
          <w:p>
            <w:pPr>
              <w:spacing w:after="0"/>
              <w:rPr>
                <w:sz w:val="1"/>
                <w:szCs w:val="1"/>
                <w:color w:val="auto"/>
              </w:rPr>
            </w:pPr>
          </w:p>
        </w:tc>
      </w:tr>
      <w:tr>
        <w:trPr>
          <w:trHeight w:val="296"/>
        </w:trPr>
        <w:tc>
          <w:tcPr>
            <w:tcW w:w="120" w:type="dxa"/>
            <w:vAlign w:val="bottom"/>
            <w:tcBorders>
              <w:left w:val="single" w:sz="8" w:color="002E6D"/>
            </w:tcBorders>
          </w:tcPr>
          <w:p>
            <w:pPr>
              <w:spacing w:after="0"/>
              <w:rPr>
                <w:sz w:val="24"/>
                <w:szCs w:val="24"/>
                <w:color w:val="auto"/>
              </w:rPr>
            </w:pPr>
          </w:p>
        </w:tc>
        <w:tc>
          <w:tcPr>
            <w:tcW w:w="5920" w:type="dxa"/>
            <w:vAlign w:val="bottom"/>
            <w:tcBorders>
              <w:right w:val="single" w:sz="8" w:color="002E6D"/>
            </w:tcBorders>
          </w:tcPr>
          <w:p>
            <w:pPr>
              <w:ind w:left="20"/>
              <w:spacing w:after="0"/>
              <w:rPr>
                <w:sz w:val="20"/>
                <w:szCs w:val="20"/>
                <w:color w:val="auto"/>
              </w:rPr>
            </w:pPr>
            <w:r>
              <w:rPr>
                <w:rFonts w:ascii="Arial" w:cs="Arial" w:eastAsia="Arial" w:hAnsi="Arial"/>
                <w:sz w:val="17"/>
                <w:szCs w:val="17"/>
                <w:color w:val="auto"/>
              </w:rPr>
              <w:t>The Board has added 7 new directors in the past 5 years.</w:t>
            </w:r>
          </w:p>
        </w:tc>
        <w:tc>
          <w:tcPr>
            <w:tcW w:w="5220" w:type="dxa"/>
            <w:vAlign w:val="bottom"/>
            <w:tcBorders>
              <w:right w:val="single" w:sz="8" w:color="002E6D"/>
            </w:tcBorders>
          </w:tcPr>
          <w:p>
            <w:pPr>
              <w:ind w:left="620"/>
              <w:spacing w:after="0"/>
              <w:rPr>
                <w:sz w:val="20"/>
                <w:szCs w:val="20"/>
                <w:color w:val="auto"/>
              </w:rPr>
            </w:pPr>
            <w:r>
              <w:rPr>
                <w:rFonts w:ascii="Arial" w:cs="Arial" w:eastAsia="Arial" w:hAnsi="Arial"/>
                <w:sz w:val="17"/>
                <w:szCs w:val="17"/>
                <w:color w:val="auto"/>
              </w:rPr>
              <w:t>Global organization experience</w:t>
            </w:r>
          </w:p>
        </w:tc>
        <w:tc>
          <w:tcPr>
            <w:tcW w:w="0" w:type="dxa"/>
            <w:vAlign w:val="bottom"/>
          </w:tcPr>
          <w:p>
            <w:pPr>
              <w:spacing w:after="0"/>
              <w:rPr>
                <w:sz w:val="1"/>
                <w:szCs w:val="1"/>
                <w:color w:val="auto"/>
              </w:rPr>
            </w:pPr>
          </w:p>
        </w:tc>
      </w:tr>
      <w:tr>
        <w:trPr>
          <w:trHeight w:val="125"/>
        </w:trPr>
        <w:tc>
          <w:tcPr>
            <w:tcW w:w="120" w:type="dxa"/>
            <w:vAlign w:val="bottom"/>
            <w:tcBorders>
              <w:left w:val="single" w:sz="8" w:color="002E6D"/>
              <w:bottom w:val="single" w:sz="8" w:color="002E6D"/>
            </w:tcBorders>
          </w:tcPr>
          <w:p>
            <w:pPr>
              <w:spacing w:after="0"/>
              <w:rPr>
                <w:sz w:val="10"/>
                <w:szCs w:val="10"/>
                <w:color w:val="auto"/>
              </w:rPr>
            </w:pPr>
          </w:p>
        </w:tc>
        <w:tc>
          <w:tcPr>
            <w:tcW w:w="5920" w:type="dxa"/>
            <w:vAlign w:val="bottom"/>
            <w:tcBorders>
              <w:bottom w:val="single" w:sz="8" w:color="002E6D"/>
              <w:right w:val="single" w:sz="8" w:color="002E6D"/>
            </w:tcBorders>
          </w:tcPr>
          <w:p>
            <w:pPr>
              <w:spacing w:after="0"/>
              <w:rPr>
                <w:sz w:val="10"/>
                <w:szCs w:val="10"/>
                <w:color w:val="auto"/>
              </w:rPr>
            </w:pPr>
          </w:p>
        </w:tc>
        <w:tc>
          <w:tcPr>
            <w:tcW w:w="5220" w:type="dxa"/>
            <w:vAlign w:val="bottom"/>
            <w:tcBorders>
              <w:bottom w:val="single" w:sz="8" w:color="002E6D"/>
              <w:right w:val="single" w:sz="8" w:color="002E6D"/>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wp:posOffset>
            </wp:positionH>
            <wp:positionV relativeFrom="paragraph">
              <wp:posOffset>-1466850</wp:posOffset>
            </wp:positionV>
            <wp:extent cx="93980" cy="768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-1287780</wp:posOffset>
            </wp:positionV>
            <wp:extent cx="93980" cy="768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-1108710</wp:posOffset>
            </wp:positionV>
            <wp:extent cx="93980" cy="768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-929640</wp:posOffset>
            </wp:positionV>
            <wp:extent cx="93980" cy="768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-749935</wp:posOffset>
            </wp:positionV>
            <wp:extent cx="93980" cy="768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4015105</wp:posOffset>
            </wp:positionH>
            <wp:positionV relativeFrom="paragraph">
              <wp:posOffset>-1526540</wp:posOffset>
            </wp:positionV>
            <wp:extent cx="196215" cy="1962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96215" cy="196215"/>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-1219200</wp:posOffset>
            </wp:positionV>
            <wp:extent cx="204470" cy="2044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04470" cy="204470"/>
                    </a:xfrm>
                    <a:prstGeom prst="rect">
                      <a:avLst/>
                    </a:prstGeom>
                    <a:noFill/>
                  </pic:spPr>
                </pic:pic>
              </a:graphicData>
            </a:graphic>
          </wp:anchor>
        </w:drawing>
        <w:drawing>
          <wp:anchor simplePos="0" relativeHeight="251657728" behindDoc="1" locked="0" layoutInCell="0" allowOverlap="1">
            <wp:simplePos x="0" y="0"/>
            <wp:positionH relativeFrom="column">
              <wp:posOffset>3997960</wp:posOffset>
            </wp:positionH>
            <wp:positionV relativeFrom="paragraph">
              <wp:posOffset>-912495</wp:posOffset>
            </wp:positionV>
            <wp:extent cx="213360" cy="1962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3360" cy="196215"/>
                    </a:xfrm>
                    <a:prstGeom prst="rect">
                      <a:avLst/>
                    </a:prstGeom>
                    <a:noFill/>
                  </pic:spPr>
                </pic:pic>
              </a:graphicData>
            </a:graphic>
          </wp:anchor>
        </w:drawing>
        <w:drawing>
          <wp:anchor simplePos="0" relativeHeight="251657728" behindDoc="1" locked="0" layoutInCell="0" allowOverlap="1">
            <wp:simplePos x="0" y="0"/>
            <wp:positionH relativeFrom="column">
              <wp:posOffset>3997960</wp:posOffset>
            </wp:positionH>
            <wp:positionV relativeFrom="paragraph">
              <wp:posOffset>-622300</wp:posOffset>
            </wp:positionV>
            <wp:extent cx="213360" cy="2133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3360" cy="213360"/>
                    </a:xfrm>
                    <a:prstGeom prst="rect">
                      <a:avLst/>
                    </a:prstGeom>
                    <a:noFill/>
                  </pic:spPr>
                </pic:pic>
              </a:graphicData>
            </a:graphic>
          </wp:anchor>
        </w:drawing>
        <w:drawing>
          <wp:anchor simplePos="0" relativeHeight="251657728" behindDoc="1" locked="0" layoutInCell="0" allowOverlap="1">
            <wp:simplePos x="0" y="0"/>
            <wp:positionH relativeFrom="column">
              <wp:posOffset>4006215</wp:posOffset>
            </wp:positionH>
            <wp:positionV relativeFrom="paragraph">
              <wp:posOffset>-306705</wp:posOffset>
            </wp:positionV>
            <wp:extent cx="204470" cy="2044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04470" cy="204470"/>
                    </a:xfrm>
                    <a:prstGeom prst="rect">
                      <a:avLst/>
                    </a:prstGeom>
                    <a:noFill/>
                  </pic:spPr>
                </pic:pic>
              </a:graphicData>
            </a:graphic>
          </wp:anchor>
        </w:drawing>
      </w:r>
    </w:p>
    <w:p>
      <w:pPr>
        <w:spacing w:after="0" w:line="143" w:lineRule="exact"/>
        <w:rPr>
          <w:sz w:val="20"/>
          <w:szCs w:val="20"/>
          <w:color w:val="auto"/>
        </w:rPr>
      </w:pPr>
    </w:p>
    <w:p>
      <w:pPr>
        <w:spacing w:after="0"/>
        <w:rPr>
          <w:sz w:val="20"/>
          <w:szCs w:val="20"/>
          <w:color w:val="auto"/>
        </w:rPr>
      </w:pPr>
      <w:r>
        <w:rPr>
          <w:rFonts w:ascii="Arial" w:cs="Arial" w:eastAsia="Arial" w:hAnsi="Arial"/>
          <w:sz w:val="25"/>
          <w:szCs w:val="25"/>
          <w:color w:val="818EB4"/>
        </w:rPr>
        <w:t>Our Alignment with Governance Standards</w:t>
      </w:r>
    </w:p>
    <w:p>
      <w:pPr>
        <w:spacing w:after="0" w:line="48" w:lineRule="exact"/>
        <w:rPr>
          <w:sz w:val="20"/>
          <w:szCs w:val="20"/>
          <w:color w:val="auto"/>
        </w:rPr>
      </w:pPr>
    </w:p>
    <w:p>
      <w:pPr>
        <w:ind w:right="560"/>
        <w:spacing w:after="0" w:line="281" w:lineRule="auto"/>
        <w:rPr>
          <w:sz w:val="20"/>
          <w:szCs w:val="20"/>
          <w:color w:val="auto"/>
        </w:rPr>
      </w:pPr>
      <w:r>
        <w:rPr>
          <w:rFonts w:ascii="Arial" w:cs="Arial" w:eastAsia="Arial" w:hAnsi="Arial"/>
          <w:sz w:val="17"/>
          <w:szCs w:val="17"/>
          <w:color w:val="auto"/>
        </w:rPr>
        <w:t xml:space="preserve">In 2018, we signed on to the </w:t>
      </w:r>
      <w:r>
        <w:rPr>
          <w:rFonts w:ascii="Arial" w:cs="Arial" w:eastAsia="Arial" w:hAnsi="Arial"/>
          <w:sz w:val="17"/>
          <w:szCs w:val="17"/>
          <w:b w:val="1"/>
          <w:bCs w:val="1"/>
          <w:color w:val="auto"/>
        </w:rPr>
        <w:t>Commonsense Principles 2.0</w:t>
      </w:r>
      <w:r>
        <w:rPr>
          <w:rFonts w:ascii="Arial" w:cs="Arial" w:eastAsia="Arial" w:hAnsi="Arial"/>
          <w:sz w:val="17"/>
          <w:szCs w:val="17"/>
          <w:color w:val="auto"/>
        </w:rPr>
        <w:t xml:space="preserve">, which are intended to provide a basic framework for sound, long-term oriented governance. Our governance practices also comply with the </w:t>
      </w:r>
      <w:r>
        <w:rPr>
          <w:rFonts w:ascii="Arial" w:cs="Arial" w:eastAsia="Arial" w:hAnsi="Arial"/>
          <w:sz w:val="17"/>
          <w:szCs w:val="17"/>
          <w:b w:val="1"/>
          <w:bCs w:val="1"/>
          <w:color w:val="auto"/>
        </w:rPr>
        <w:t>Investor Stewardship Group (ISG) Corporate Governance Principles for U.S.</w:t>
      </w:r>
      <w:r>
        <w:rPr>
          <w:rFonts w:ascii="Arial" w:cs="Arial" w:eastAsia="Arial" w:hAnsi="Arial"/>
          <w:sz w:val="17"/>
          <w:szCs w:val="17"/>
          <w:color w:val="auto"/>
        </w:rPr>
        <w:t xml:space="preserve"> </w:t>
      </w:r>
      <w:r>
        <w:rPr>
          <w:rFonts w:ascii="Arial" w:cs="Arial" w:eastAsia="Arial" w:hAnsi="Arial"/>
          <w:sz w:val="17"/>
          <w:szCs w:val="17"/>
          <w:b w:val="1"/>
          <w:bCs w:val="1"/>
          <w:color w:val="auto"/>
        </w:rPr>
        <w:t>Listed Companies</w:t>
      </w:r>
      <w:r>
        <w:rPr>
          <w:rFonts w:ascii="Arial" w:cs="Arial" w:eastAsia="Arial" w:hAnsi="Arial"/>
          <w:sz w:val="17"/>
          <w:szCs w:val="17"/>
          <w:color w:val="auto"/>
        </w:rPr>
        <w:t>. Below we identify each of the ISG’s governance principles and how our practices are aligned.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66675</wp:posOffset>
            </wp:positionV>
            <wp:extent cx="7132955" cy="16211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955" cy="1621155"/>
                    </a:xfrm>
                    <a:prstGeom prst="rect">
                      <a:avLst/>
                    </a:prstGeom>
                    <a:noFill/>
                  </pic:spPr>
                </pic:pic>
              </a:graphicData>
            </a:graphic>
          </wp:anchor>
        </w:drawing>
      </w:r>
    </w:p>
    <w:p>
      <w:pPr>
        <w:sectPr>
          <w:pgSz w:w="11900" w:h="16838" w:orient="portrait"/>
          <w:cols w:equalWidth="0" w:num="1">
            <w:col w:w="11260"/>
          </w:cols>
          <w:pgMar w:left="320" w:top="254" w:right="319" w:bottom="1440" w:gutter="0" w:footer="0" w:header="0"/>
        </w:sect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2E6D"/>
        </w:rPr>
        <w:t>Boards are accountable to stockholders</w:t>
      </w:r>
    </w:p>
    <w:p>
      <w:pPr>
        <w:spacing w:after="0" w:line="207" w:lineRule="exact"/>
        <w:rPr>
          <w:sz w:val="20"/>
          <w:szCs w:val="20"/>
          <w:color w:val="auto"/>
        </w:rPr>
      </w:pPr>
    </w:p>
    <w:p>
      <w:pPr>
        <w:ind w:left="20"/>
        <w:spacing w:after="0"/>
        <w:rPr>
          <w:sz w:val="20"/>
          <w:szCs w:val="20"/>
          <w:color w:val="auto"/>
        </w:rPr>
      </w:pPr>
      <w:r>
        <w:rPr>
          <w:sz w:val="1"/>
          <w:szCs w:val="1"/>
          <w:color w:val="auto"/>
        </w:rPr>
        <w:drawing>
          <wp:inline distT="0" distB="0" distL="0" distR="0">
            <wp:extent cx="93980" cy="7683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93980" cy="76835"/>
                    </a:xfrm>
                    <a:prstGeom prst="rect">
                      <a:avLst/>
                    </a:prstGeom>
                    <a:noFill/>
                    <a:ln>
                      <a:noFill/>
                    </a:ln>
                  </pic:spPr>
                </pic:pic>
              </a:graphicData>
            </a:graphic>
          </wp:inline>
        </w:drawing>
      </w:r>
      <w:r>
        <w:rPr>
          <w:rFonts w:ascii="Arial" w:cs="Arial" w:eastAsia="Arial" w:hAnsi="Arial"/>
          <w:sz w:val="17"/>
          <w:szCs w:val="17"/>
          <w:color w:val="auto"/>
        </w:rPr>
        <w:t xml:space="preserve"> Annual election of directors</w:t>
      </w:r>
    </w:p>
    <w:p>
      <w:pPr>
        <w:spacing w:after="0" w:line="87" w:lineRule="exact"/>
        <w:rPr>
          <w:sz w:val="20"/>
          <w:szCs w:val="20"/>
          <w:color w:val="auto"/>
        </w:rPr>
      </w:pPr>
    </w:p>
    <w:p>
      <w:pPr>
        <w:ind w:left="20"/>
        <w:spacing w:after="0"/>
        <w:rPr>
          <w:sz w:val="20"/>
          <w:szCs w:val="20"/>
          <w:color w:val="auto"/>
        </w:rPr>
      </w:pPr>
      <w:r>
        <w:rPr>
          <w:sz w:val="1"/>
          <w:szCs w:val="1"/>
          <w:color w:val="auto"/>
        </w:rPr>
        <w:drawing>
          <wp:inline distT="0" distB="0" distL="0" distR="0">
            <wp:extent cx="93980" cy="76835"/>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3980" cy="76835"/>
                    </a:xfrm>
                    <a:prstGeom prst="rect">
                      <a:avLst/>
                    </a:prstGeom>
                    <a:noFill/>
                    <a:ln>
                      <a:noFill/>
                    </a:ln>
                  </pic:spPr>
                </pic:pic>
              </a:graphicData>
            </a:graphic>
          </wp:inline>
        </w:drawing>
      </w:r>
      <w:r>
        <w:rPr>
          <w:rFonts w:ascii="Arial" w:cs="Arial" w:eastAsia="Arial" w:hAnsi="Arial"/>
          <w:sz w:val="17"/>
          <w:szCs w:val="17"/>
          <w:color w:val="auto"/>
        </w:rPr>
        <w:t xml:space="preserve"> Majority voting standard for uncontested director elections</w:t>
      </w:r>
    </w:p>
    <w:p>
      <w:pPr>
        <w:spacing w:after="0" w:line="87" w:lineRule="exact"/>
        <w:rPr>
          <w:sz w:val="20"/>
          <w:szCs w:val="20"/>
          <w:color w:val="auto"/>
        </w:rPr>
      </w:pPr>
    </w:p>
    <w:p>
      <w:pPr>
        <w:ind w:left="220" w:hanging="197"/>
        <w:spacing w:after="0"/>
        <w:rPr>
          <w:sz w:val="20"/>
          <w:szCs w:val="20"/>
          <w:color w:val="auto"/>
        </w:rPr>
      </w:pPr>
      <w:r>
        <w:rPr>
          <w:sz w:val="1"/>
          <w:szCs w:val="1"/>
          <w:color w:val="auto"/>
        </w:rPr>
        <w:drawing>
          <wp:inline distT="0" distB="0" distL="0" distR="0">
            <wp:extent cx="93980" cy="76835"/>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3980" cy="76835"/>
                    </a:xfrm>
                    <a:prstGeom prst="rect">
                      <a:avLst/>
                    </a:prstGeom>
                    <a:noFill/>
                    <a:ln>
                      <a:noFill/>
                    </a:ln>
                  </pic:spPr>
                </pic:pic>
              </a:graphicData>
            </a:graphic>
          </wp:inline>
        </w:drawing>
      </w:r>
      <w:r>
        <w:rPr>
          <w:rFonts w:ascii="Arial" w:cs="Arial" w:eastAsia="Arial" w:hAnsi="Arial"/>
          <w:sz w:val="17"/>
          <w:szCs w:val="17"/>
          <w:color w:val="auto"/>
        </w:rPr>
        <w:t xml:space="preserve"> Directors not receiving majority support must tender resignation to Board for consideration</w:t>
      </w:r>
    </w:p>
    <w:p>
      <w:pPr>
        <w:spacing w:after="0" w:line="44" w:lineRule="exact"/>
        <w:rPr>
          <w:sz w:val="20"/>
          <w:szCs w:val="20"/>
          <w:color w:val="auto"/>
        </w:rPr>
      </w:pPr>
    </w:p>
    <w:p>
      <w:pPr>
        <w:ind w:left="20"/>
        <w:spacing w:after="0"/>
        <w:rPr>
          <w:sz w:val="20"/>
          <w:szCs w:val="20"/>
          <w:color w:val="auto"/>
        </w:rPr>
      </w:pPr>
      <w:r>
        <w:rPr>
          <w:sz w:val="1"/>
          <w:szCs w:val="1"/>
          <w:color w:val="auto"/>
        </w:rPr>
        <w:drawing>
          <wp:inline distT="0" distB="0" distL="0" distR="0">
            <wp:extent cx="93980" cy="7683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3980" cy="76835"/>
                    </a:xfrm>
                    <a:prstGeom prst="rect">
                      <a:avLst/>
                    </a:prstGeom>
                    <a:noFill/>
                    <a:ln>
                      <a:noFill/>
                    </a:ln>
                  </pic:spPr>
                </pic:pic>
              </a:graphicData>
            </a:graphic>
          </wp:inline>
        </w:drawing>
      </w:r>
      <w:r>
        <w:rPr>
          <w:rFonts w:ascii="Arial" w:cs="Arial" w:eastAsia="Arial" w:hAnsi="Arial"/>
          <w:sz w:val="17"/>
          <w:szCs w:val="17"/>
          <w:color w:val="auto"/>
        </w:rPr>
        <w:t xml:space="preserve"> Market-standard proxy access right for stockholders</w:t>
      </w:r>
    </w:p>
    <w:p>
      <w:pPr>
        <w:spacing w:after="0" w:line="87" w:lineRule="exact"/>
        <w:rPr>
          <w:sz w:val="20"/>
          <w:szCs w:val="20"/>
          <w:color w:val="auto"/>
        </w:rPr>
      </w:pPr>
    </w:p>
    <w:p>
      <w:pPr>
        <w:ind w:left="20"/>
        <w:spacing w:after="0"/>
        <w:rPr>
          <w:sz w:val="20"/>
          <w:szCs w:val="20"/>
          <w:color w:val="auto"/>
        </w:rPr>
      </w:pPr>
      <w:r>
        <w:rPr>
          <w:sz w:val="1"/>
          <w:szCs w:val="1"/>
          <w:color w:val="auto"/>
        </w:rPr>
        <w:drawing>
          <wp:inline distT="0" distB="0" distL="0" distR="0">
            <wp:extent cx="93980" cy="7683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3980" cy="76835"/>
                    </a:xfrm>
                    <a:prstGeom prst="rect">
                      <a:avLst/>
                    </a:prstGeom>
                    <a:noFill/>
                    <a:ln>
                      <a:noFill/>
                    </a:ln>
                  </pic:spPr>
                </pic:pic>
              </a:graphicData>
            </a:graphic>
          </wp:inline>
        </w:drawing>
      </w:r>
      <w:r>
        <w:rPr>
          <w:rFonts w:ascii="Arial" w:cs="Arial" w:eastAsia="Arial" w:hAnsi="Arial"/>
          <w:sz w:val="17"/>
          <w:szCs w:val="17"/>
          <w:color w:val="auto"/>
        </w:rPr>
        <w:t xml:space="preserve"> No poison pill</w:t>
      </w:r>
    </w:p>
    <w:p>
      <w:pPr>
        <w:spacing w:after="0" w:line="87" w:lineRule="exact"/>
        <w:rPr>
          <w:sz w:val="20"/>
          <w:szCs w:val="20"/>
          <w:color w:val="auto"/>
        </w:rPr>
      </w:pPr>
    </w:p>
    <w:p>
      <w:pPr>
        <w:ind w:left="20"/>
        <w:spacing w:after="0"/>
        <w:rPr>
          <w:sz w:val="20"/>
          <w:szCs w:val="20"/>
          <w:color w:val="auto"/>
        </w:rPr>
      </w:pPr>
      <w:r>
        <w:rPr>
          <w:sz w:val="1"/>
          <w:szCs w:val="1"/>
          <w:color w:val="auto"/>
        </w:rPr>
        <w:drawing>
          <wp:inline distT="0" distB="0" distL="0" distR="0">
            <wp:extent cx="93980" cy="7683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3980" cy="76835"/>
                    </a:xfrm>
                    <a:prstGeom prst="rect">
                      <a:avLst/>
                    </a:prstGeom>
                    <a:noFill/>
                    <a:ln>
                      <a:noFill/>
                    </a:ln>
                  </pic:spPr>
                </pic:pic>
              </a:graphicData>
            </a:graphic>
          </wp:inline>
        </w:drawing>
      </w:r>
      <w:r>
        <w:rPr>
          <w:rFonts w:ascii="Arial" w:cs="Arial" w:eastAsia="Arial" w:hAnsi="Arial"/>
          <w:sz w:val="17"/>
          <w:szCs w:val="17"/>
          <w:color w:val="auto"/>
        </w:rPr>
        <w:t xml:space="preserve"> Full disclosure on corporate governance and board practices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right="240"/>
        <w:spacing w:after="0" w:line="236" w:lineRule="auto"/>
        <w:rPr>
          <w:sz w:val="20"/>
          <w:szCs w:val="20"/>
          <w:color w:val="auto"/>
        </w:rPr>
      </w:pPr>
      <w:r>
        <w:rPr>
          <w:rFonts w:ascii="Arial" w:cs="Arial" w:eastAsia="Arial" w:hAnsi="Arial"/>
          <w:sz w:val="17"/>
          <w:szCs w:val="17"/>
          <w:b w:val="1"/>
          <w:bCs w:val="1"/>
          <w:color w:val="002E6D"/>
        </w:rPr>
        <w:t>Boards should be responsive to stockholders and be proactive in order to understand their perspectives</w:t>
      </w:r>
    </w:p>
    <w:p>
      <w:pPr>
        <w:spacing w:after="0" w:line="99" w:lineRule="exact"/>
        <w:rPr>
          <w:sz w:val="20"/>
          <w:szCs w:val="20"/>
          <w:color w:val="auto"/>
        </w:rPr>
      </w:pPr>
    </w:p>
    <w:p>
      <w:pPr>
        <w:ind w:left="180" w:right="600" w:hanging="194"/>
        <w:spacing w:after="0"/>
        <w:rPr>
          <w:sz w:val="20"/>
          <w:szCs w:val="20"/>
          <w:color w:val="auto"/>
        </w:rPr>
      </w:pPr>
      <w:r>
        <w:rPr>
          <w:sz w:val="1"/>
          <w:szCs w:val="1"/>
          <w:color w:val="auto"/>
        </w:rPr>
        <w:drawing>
          <wp:inline distT="0" distB="0" distL="0" distR="0">
            <wp:extent cx="93980" cy="7683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3980" cy="76835"/>
                    </a:xfrm>
                    <a:prstGeom prst="rect">
                      <a:avLst/>
                    </a:prstGeom>
                    <a:noFill/>
                    <a:ln>
                      <a:noFill/>
                    </a:ln>
                  </pic:spPr>
                </pic:pic>
              </a:graphicData>
            </a:graphic>
          </wp:inline>
        </w:drawing>
      </w:r>
      <w:r>
        <w:rPr>
          <w:rFonts w:ascii="Arial" w:cs="Arial" w:eastAsia="Arial" w:hAnsi="Arial"/>
          <w:sz w:val="17"/>
          <w:szCs w:val="17"/>
          <w:color w:val="auto"/>
        </w:rPr>
        <w:t xml:space="preserve"> Proactive, year-round engagement with stockholders, including participation of independent Lead Director</w:t>
      </w:r>
    </w:p>
    <w:p>
      <w:pPr>
        <w:spacing w:after="0" w:line="44" w:lineRule="exact"/>
        <w:rPr>
          <w:sz w:val="20"/>
          <w:szCs w:val="20"/>
          <w:color w:val="auto"/>
        </w:rPr>
      </w:pPr>
    </w:p>
    <w:p>
      <w:pPr>
        <w:spacing w:after="0"/>
        <w:rPr>
          <w:sz w:val="20"/>
          <w:szCs w:val="20"/>
          <w:color w:val="auto"/>
        </w:rPr>
      </w:pPr>
      <w:r>
        <w:rPr>
          <w:sz w:val="1"/>
          <w:szCs w:val="1"/>
          <w:color w:val="auto"/>
        </w:rPr>
        <w:drawing>
          <wp:inline distT="0" distB="0" distL="0" distR="0">
            <wp:extent cx="102235" cy="76835"/>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235" cy="76835"/>
                    </a:xfrm>
                    <a:prstGeom prst="rect">
                      <a:avLst/>
                    </a:prstGeom>
                    <a:noFill/>
                    <a:ln>
                      <a:noFill/>
                    </a:ln>
                  </pic:spPr>
                </pic:pic>
              </a:graphicData>
            </a:graphic>
          </wp:inline>
        </w:drawing>
      </w:r>
      <w:r>
        <w:rPr>
          <w:rFonts w:ascii="Arial" w:cs="Arial" w:eastAsia="Arial" w:hAnsi="Arial"/>
          <w:sz w:val="16"/>
          <w:szCs w:val="16"/>
          <w:color w:val="auto"/>
        </w:rPr>
        <w:t xml:space="preserve"> Engagement topics during 2021 included Board composition, diversity</w:t>
      </w:r>
    </w:p>
    <w:p>
      <w:pPr>
        <w:spacing w:after="0" w:line="11" w:lineRule="exact"/>
        <w:rPr>
          <w:sz w:val="20"/>
          <w:szCs w:val="20"/>
          <w:color w:val="auto"/>
        </w:rPr>
      </w:pPr>
    </w:p>
    <w:p>
      <w:pPr>
        <w:ind w:left="180" w:right="100"/>
        <w:spacing w:after="0" w:line="208" w:lineRule="auto"/>
        <w:rPr>
          <w:sz w:val="20"/>
          <w:szCs w:val="20"/>
          <w:color w:val="auto"/>
        </w:rPr>
      </w:pPr>
      <w:r>
        <w:rPr>
          <w:rFonts w:ascii="Arial" w:cs="Arial" w:eastAsia="Arial" w:hAnsi="Arial"/>
          <w:sz w:val="17"/>
          <w:szCs w:val="17"/>
          <w:color w:val="auto"/>
        </w:rPr>
        <w:t>and refreshment, stockholder rights, climate risks and related climate change goals, workforce diversity and inclusion, executive compensation, human rights and our inaugural Human Rights Report, lobbying and political spending and other environmental, social and governance (ESG) matters</w:t>
      </w:r>
    </w:p>
    <w:p>
      <w:pPr>
        <w:spacing w:after="0" w:line="448" w:lineRule="exact"/>
        <w:rPr>
          <w:sz w:val="20"/>
          <w:szCs w:val="20"/>
          <w:color w:val="auto"/>
        </w:rPr>
      </w:pPr>
    </w:p>
    <w:p>
      <w:pPr>
        <w:sectPr>
          <w:pgSz w:w="11900" w:h="16838" w:orient="portrait"/>
          <w:cols w:equalWidth="0" w:num="2">
            <w:col w:w="5180" w:space="560"/>
            <w:col w:w="5520"/>
          </w:cols>
          <w:pgMar w:left="320" w:top="254" w:right="319" w:bottom="1440" w:gutter="0" w:footer="0" w:header="0"/>
          <w:type w:val="continuous"/>
        </w:sectPr>
      </w:pPr>
    </w:p>
    <w:tbl>
      <w:tblPr>
        <w:tblLayout w:type="fixed"/>
        <w:tblInd w:w="0" w:type="dxa"/>
        <w:tblCellMar>
          <w:top w:w="0" w:type="dxa"/>
          <w:left w:w="0" w:type="dxa"/>
          <w:bottom w:w="0" w:type="dxa"/>
          <w:right w:w="0" w:type="dxa"/>
        </w:tblCellMar>
      </w:tblPr>
      <w:tr>
        <w:trPr>
          <w:trHeight w:val="269"/>
        </w:trPr>
        <w:tc>
          <w:tcPr>
            <w:tcW w:w="7260" w:type="dxa"/>
            <w:vAlign w:val="bottom"/>
            <w:tcBorders>
              <w:right w:val="single" w:sz="8" w:color="E4E6EF"/>
            </w:tcBorders>
            <w:gridSpan w:val="3"/>
            <w:shd w:val="clear" w:color="auto" w:fill="E4E6EF"/>
          </w:tcPr>
          <w:p>
            <w:pPr>
              <w:ind w:left="20"/>
              <w:spacing w:after="0"/>
              <w:rPr>
                <w:sz w:val="20"/>
                <w:szCs w:val="20"/>
                <w:color w:val="auto"/>
              </w:rPr>
            </w:pPr>
            <w:r>
              <w:rPr>
                <w:rFonts w:ascii="Arial" w:cs="Arial" w:eastAsia="Arial" w:hAnsi="Arial"/>
                <w:sz w:val="17"/>
                <w:szCs w:val="17"/>
                <w:b w:val="1"/>
                <w:bCs w:val="1"/>
                <w:color w:val="002E6D"/>
              </w:rPr>
              <w:t>Boards should adopt structures and practices that enhance their effectiveness</w:t>
            </w:r>
          </w:p>
        </w:tc>
        <w:tc>
          <w:tcPr>
            <w:tcW w:w="3980" w:type="dxa"/>
            <w:vAlign w:val="bottom"/>
            <w:shd w:val="clear" w:color="auto" w:fill="E4E6EF"/>
          </w:tcPr>
          <w:p>
            <w:pPr>
              <w:spacing w:after="0"/>
              <w:rPr>
                <w:sz w:val="23"/>
                <w:szCs w:val="23"/>
                <w:color w:val="auto"/>
              </w:rPr>
            </w:pPr>
          </w:p>
        </w:tc>
        <w:tc>
          <w:tcPr>
            <w:tcW w:w="0" w:type="dxa"/>
            <w:vAlign w:val="bottom"/>
          </w:tcPr>
          <w:p>
            <w:pPr>
              <w:spacing w:after="0"/>
              <w:rPr>
                <w:sz w:val="1"/>
                <w:szCs w:val="1"/>
                <w:color w:val="auto"/>
              </w:rPr>
            </w:pPr>
          </w:p>
        </w:tc>
      </w:tr>
      <w:tr>
        <w:trPr>
          <w:trHeight w:val="319"/>
        </w:trPr>
        <w:tc>
          <w:tcPr>
            <w:tcW w:w="4080" w:type="dxa"/>
            <w:vAlign w:val="bottom"/>
          </w:tcPr>
          <w:p>
            <w:pPr>
              <w:ind w:left="220"/>
              <w:spacing w:after="0"/>
              <w:rPr>
                <w:sz w:val="20"/>
                <w:szCs w:val="20"/>
                <w:color w:val="auto"/>
              </w:rPr>
            </w:pPr>
            <w:r>
              <w:rPr>
                <w:rFonts w:ascii="Arial" w:cs="Arial" w:eastAsia="Arial" w:hAnsi="Arial"/>
                <w:sz w:val="17"/>
                <w:szCs w:val="17"/>
                <w:color w:val="auto"/>
              </w:rPr>
              <w:t>12 of 13 directors are independent</w:t>
            </w:r>
          </w:p>
        </w:tc>
        <w:tc>
          <w:tcPr>
            <w:tcW w:w="1680" w:type="dxa"/>
            <w:vAlign w:val="bottom"/>
          </w:tcPr>
          <w:p>
            <w:pPr>
              <w:spacing w:after="0"/>
              <w:rPr>
                <w:sz w:val="24"/>
                <w:szCs w:val="24"/>
                <w:color w:val="auto"/>
              </w:rPr>
            </w:pPr>
          </w:p>
        </w:tc>
        <w:tc>
          <w:tcPr>
            <w:tcW w:w="5480" w:type="dxa"/>
            <w:vAlign w:val="bottom"/>
            <w:gridSpan w:val="2"/>
          </w:tcPr>
          <w:p>
            <w:pPr>
              <w:ind w:left="140"/>
              <w:spacing w:after="0"/>
              <w:rPr>
                <w:sz w:val="20"/>
                <w:szCs w:val="20"/>
                <w:color w:val="auto"/>
              </w:rPr>
            </w:pPr>
            <w:r>
              <w:rPr>
                <w:rFonts w:ascii="Arial" w:cs="Arial" w:eastAsia="Arial" w:hAnsi="Arial"/>
                <w:sz w:val="17"/>
                <w:szCs w:val="17"/>
                <w:color w:val="auto"/>
              </w:rPr>
              <w:t>Annual Board and committee self-assessments</w:t>
            </w:r>
          </w:p>
        </w:tc>
        <w:tc>
          <w:tcPr>
            <w:tcW w:w="0" w:type="dxa"/>
            <w:vAlign w:val="bottom"/>
          </w:tcPr>
          <w:p>
            <w:pPr>
              <w:spacing w:after="0"/>
              <w:rPr>
                <w:sz w:val="1"/>
                <w:szCs w:val="1"/>
                <w:color w:val="auto"/>
              </w:rPr>
            </w:pPr>
          </w:p>
        </w:tc>
      </w:tr>
      <w:tr>
        <w:trPr>
          <w:trHeight w:val="282"/>
        </w:trPr>
        <w:tc>
          <w:tcPr>
            <w:tcW w:w="5760" w:type="dxa"/>
            <w:vAlign w:val="bottom"/>
            <w:gridSpan w:val="2"/>
          </w:tcPr>
          <w:p>
            <w:pPr>
              <w:ind w:left="220"/>
              <w:spacing w:after="0"/>
              <w:rPr>
                <w:sz w:val="20"/>
                <w:szCs w:val="20"/>
                <w:color w:val="auto"/>
              </w:rPr>
            </w:pPr>
            <w:r>
              <w:rPr>
                <w:rFonts w:ascii="Arial" w:cs="Arial" w:eastAsia="Arial" w:hAnsi="Arial"/>
                <w:sz w:val="17"/>
                <w:szCs w:val="17"/>
                <w:color w:val="auto"/>
              </w:rPr>
              <w:t>Four directors are women; one is an African-American male</w:t>
            </w:r>
          </w:p>
        </w:tc>
        <w:tc>
          <w:tcPr>
            <w:tcW w:w="5480" w:type="dxa"/>
            <w:vAlign w:val="bottom"/>
            <w:gridSpan w:val="2"/>
          </w:tcPr>
          <w:p>
            <w:pPr>
              <w:ind w:left="160"/>
              <w:spacing w:after="0"/>
              <w:rPr>
                <w:sz w:val="20"/>
                <w:szCs w:val="20"/>
                <w:color w:val="auto"/>
              </w:rPr>
            </w:pPr>
            <w:r>
              <w:rPr>
                <w:rFonts w:ascii="Arial" w:cs="Arial" w:eastAsia="Arial" w:hAnsi="Arial"/>
                <w:sz w:val="17"/>
                <w:szCs w:val="17"/>
                <w:color w:val="auto"/>
              </w:rPr>
              <w:t>Board access to officers and employees</w:t>
            </w:r>
          </w:p>
        </w:tc>
        <w:tc>
          <w:tcPr>
            <w:tcW w:w="0" w:type="dxa"/>
            <w:vAlign w:val="bottom"/>
          </w:tcPr>
          <w:p>
            <w:pPr>
              <w:spacing w:after="0"/>
              <w:rPr>
                <w:sz w:val="1"/>
                <w:szCs w:val="1"/>
                <w:color w:val="auto"/>
              </w:rPr>
            </w:pPr>
          </w:p>
        </w:tc>
      </w:tr>
      <w:tr>
        <w:trPr>
          <w:trHeight w:val="282"/>
        </w:trPr>
        <w:tc>
          <w:tcPr>
            <w:tcW w:w="4080" w:type="dxa"/>
            <w:vAlign w:val="bottom"/>
          </w:tcPr>
          <w:p>
            <w:pPr>
              <w:ind w:left="220"/>
              <w:spacing w:after="0"/>
              <w:rPr>
                <w:sz w:val="20"/>
                <w:szCs w:val="20"/>
                <w:color w:val="auto"/>
              </w:rPr>
            </w:pPr>
            <w:r>
              <w:rPr>
                <w:rFonts w:ascii="Arial" w:cs="Arial" w:eastAsia="Arial" w:hAnsi="Arial"/>
                <w:sz w:val="17"/>
                <w:szCs w:val="17"/>
                <w:color w:val="auto"/>
              </w:rPr>
              <w:t>Significant Board refreshment</w:t>
            </w:r>
          </w:p>
        </w:tc>
        <w:tc>
          <w:tcPr>
            <w:tcW w:w="1680" w:type="dxa"/>
            <w:vAlign w:val="bottom"/>
          </w:tcPr>
          <w:p>
            <w:pPr>
              <w:spacing w:after="0"/>
              <w:rPr>
                <w:sz w:val="24"/>
                <w:szCs w:val="24"/>
                <w:color w:val="auto"/>
              </w:rPr>
            </w:pPr>
          </w:p>
        </w:tc>
        <w:tc>
          <w:tcPr>
            <w:tcW w:w="5480" w:type="dxa"/>
            <w:vAlign w:val="bottom"/>
            <w:gridSpan w:val="2"/>
          </w:tcPr>
          <w:p>
            <w:pPr>
              <w:ind w:left="160"/>
              <w:spacing w:after="0"/>
              <w:rPr>
                <w:sz w:val="20"/>
                <w:szCs w:val="20"/>
                <w:color w:val="auto"/>
              </w:rPr>
            </w:pPr>
            <w:r>
              <w:rPr>
                <w:rFonts w:ascii="Arial" w:cs="Arial" w:eastAsia="Arial" w:hAnsi="Arial"/>
                <w:sz w:val="17"/>
                <w:szCs w:val="17"/>
                <w:color w:val="auto"/>
              </w:rPr>
              <w:t>2021 Board attendance greater than 99%</w:t>
            </w:r>
          </w:p>
        </w:tc>
        <w:tc>
          <w:tcPr>
            <w:tcW w:w="0" w:type="dxa"/>
            <w:vAlign w:val="bottom"/>
          </w:tcPr>
          <w:p>
            <w:pPr>
              <w:spacing w:after="0"/>
              <w:rPr>
                <w:sz w:val="1"/>
                <w:szCs w:val="1"/>
                <w:color w:val="auto"/>
              </w:rPr>
            </w:pPr>
          </w:p>
        </w:tc>
      </w:tr>
      <w:tr>
        <w:trPr>
          <w:trHeight w:val="253"/>
        </w:trPr>
        <w:tc>
          <w:tcPr>
            <w:tcW w:w="5760" w:type="dxa"/>
            <w:vAlign w:val="bottom"/>
            <w:gridSpan w:val="2"/>
          </w:tcPr>
          <w:p>
            <w:pPr>
              <w:ind w:left="220"/>
              <w:spacing w:after="0"/>
              <w:rPr>
                <w:sz w:val="20"/>
                <w:szCs w:val="20"/>
                <w:color w:val="auto"/>
              </w:rPr>
            </w:pPr>
            <w:r>
              <w:rPr>
                <w:rFonts w:ascii="Arial" w:cs="Arial" w:eastAsia="Arial" w:hAnsi="Arial"/>
                <w:sz w:val="17"/>
                <w:szCs w:val="17"/>
                <w:color w:val="auto"/>
              </w:rPr>
              <w:t>Directors reflect a diverse mix of skills and experience</w:t>
            </w:r>
          </w:p>
        </w:tc>
        <w:tc>
          <w:tcPr>
            <w:tcW w:w="5480" w:type="dxa"/>
            <w:vAlign w:val="bottom"/>
            <w:gridSpan w:val="2"/>
          </w:tcPr>
          <w:p>
            <w:pPr>
              <w:ind w:left="160"/>
              <w:spacing w:after="0"/>
              <w:rPr>
                <w:sz w:val="20"/>
                <w:szCs w:val="20"/>
                <w:color w:val="auto"/>
              </w:rPr>
            </w:pPr>
            <w:r>
              <w:rPr>
                <w:rFonts w:ascii="Arial" w:cs="Arial" w:eastAsia="Arial" w:hAnsi="Arial"/>
                <w:sz w:val="17"/>
                <w:szCs w:val="17"/>
                <w:color w:val="auto"/>
              </w:rPr>
              <w:t>Overboarding policy enhanced in 2021 to further ensure Board</w:t>
            </w:r>
          </w:p>
        </w:tc>
        <w:tc>
          <w:tcPr>
            <w:tcW w:w="0" w:type="dxa"/>
            <w:vAlign w:val="bottom"/>
          </w:tcPr>
          <w:p>
            <w:pPr>
              <w:spacing w:after="0"/>
              <w:rPr>
                <w:sz w:val="1"/>
                <w:szCs w:val="1"/>
                <w:color w:val="auto"/>
              </w:rPr>
            </w:pPr>
          </w:p>
        </w:tc>
      </w:tr>
      <w:tr>
        <w:trPr>
          <w:trHeight w:val="204"/>
        </w:trPr>
        <w:tc>
          <w:tcPr>
            <w:tcW w:w="4080" w:type="dxa"/>
            <w:vAlign w:val="bottom"/>
            <w:vMerge w:val="restart"/>
          </w:tcPr>
          <w:p>
            <w:pPr>
              <w:ind w:left="220"/>
              <w:spacing w:after="0"/>
              <w:rPr>
                <w:sz w:val="20"/>
                <w:szCs w:val="20"/>
                <w:color w:val="auto"/>
              </w:rPr>
            </w:pPr>
            <w:r>
              <w:rPr>
                <w:rFonts w:ascii="Arial" w:cs="Arial" w:eastAsia="Arial" w:hAnsi="Arial"/>
                <w:sz w:val="17"/>
                <w:szCs w:val="17"/>
                <w:color w:val="auto"/>
              </w:rPr>
              <w:t>All Board committees are fully independent</w:t>
            </w:r>
          </w:p>
        </w:tc>
        <w:tc>
          <w:tcPr>
            <w:tcW w:w="1680" w:type="dxa"/>
            <w:vAlign w:val="bottom"/>
          </w:tcPr>
          <w:p>
            <w:pPr>
              <w:spacing w:after="0"/>
              <w:rPr>
                <w:sz w:val="17"/>
                <w:szCs w:val="17"/>
                <w:color w:val="auto"/>
              </w:rPr>
            </w:pPr>
          </w:p>
        </w:tc>
        <w:tc>
          <w:tcPr>
            <w:tcW w:w="5480" w:type="dxa"/>
            <w:vAlign w:val="bottom"/>
            <w:gridSpan w:val="2"/>
          </w:tcPr>
          <w:p>
            <w:pPr>
              <w:ind w:left="160"/>
              <w:spacing w:after="0"/>
              <w:rPr>
                <w:sz w:val="20"/>
                <w:szCs w:val="20"/>
                <w:color w:val="auto"/>
              </w:rPr>
            </w:pPr>
            <w:r>
              <w:rPr>
                <w:rFonts w:ascii="Arial" w:cs="Arial" w:eastAsia="Arial" w:hAnsi="Arial"/>
                <w:sz w:val="17"/>
                <w:szCs w:val="17"/>
                <w:color w:val="auto"/>
              </w:rPr>
              <w:t>members can devote sufficient time to the Company</w:t>
            </w:r>
          </w:p>
        </w:tc>
        <w:tc>
          <w:tcPr>
            <w:tcW w:w="0" w:type="dxa"/>
            <w:vAlign w:val="bottom"/>
          </w:tcPr>
          <w:p>
            <w:pPr>
              <w:spacing w:after="0"/>
              <w:rPr>
                <w:sz w:val="1"/>
                <w:szCs w:val="1"/>
                <w:color w:val="auto"/>
              </w:rPr>
            </w:pPr>
          </w:p>
        </w:tc>
      </w:tr>
      <w:tr>
        <w:trPr>
          <w:trHeight w:val="107"/>
        </w:trPr>
        <w:tc>
          <w:tcPr>
            <w:tcW w:w="4080" w:type="dxa"/>
            <w:vAlign w:val="bottom"/>
            <w:vMerge w:val="continue"/>
          </w:tcPr>
          <w:p>
            <w:pPr>
              <w:spacing w:after="0"/>
              <w:rPr>
                <w:sz w:val="9"/>
                <w:szCs w:val="9"/>
                <w:color w:val="auto"/>
              </w:rPr>
            </w:pPr>
          </w:p>
        </w:tc>
        <w:tc>
          <w:tcPr>
            <w:tcW w:w="16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3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4080" w:type="dxa"/>
            <w:vAlign w:val="bottom"/>
            <w:tcBorders>
              <w:bottom w:val="single" w:sz="8" w:color="002E6D"/>
            </w:tcBorders>
          </w:tcPr>
          <w:p>
            <w:pPr>
              <w:spacing w:after="0"/>
              <w:rPr>
                <w:sz w:val="17"/>
                <w:szCs w:val="17"/>
                <w:color w:val="auto"/>
              </w:rPr>
            </w:pPr>
          </w:p>
        </w:tc>
        <w:tc>
          <w:tcPr>
            <w:tcW w:w="3180" w:type="dxa"/>
            <w:vAlign w:val="bottom"/>
            <w:tcBorders>
              <w:bottom w:val="single" w:sz="8" w:color="002E6D"/>
            </w:tcBorders>
            <w:gridSpan w:val="2"/>
          </w:tcPr>
          <w:p>
            <w:pPr>
              <w:spacing w:after="0"/>
              <w:rPr>
                <w:sz w:val="17"/>
                <w:szCs w:val="17"/>
                <w:color w:val="auto"/>
              </w:rPr>
            </w:pPr>
          </w:p>
        </w:tc>
        <w:tc>
          <w:tcPr>
            <w:tcW w:w="3980" w:type="dxa"/>
            <w:vAlign w:val="bottom"/>
            <w:tcBorders>
              <w:bottom w:val="single" w:sz="8" w:color="002E6D"/>
            </w:tcBorders>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80" w:type="dxa"/>
            <w:vAlign w:val="bottom"/>
            <w:tcBorders>
              <w:right w:val="single" w:sz="8" w:color="002E6D"/>
            </w:tcBorders>
            <w:vMerge w:val="restart"/>
            <w:shd w:val="clear" w:color="auto" w:fill="E4E6EF"/>
          </w:tcPr>
          <w:p>
            <w:pPr>
              <w:ind w:left="20"/>
              <w:spacing w:after="0"/>
              <w:rPr>
                <w:sz w:val="20"/>
                <w:szCs w:val="20"/>
                <w:color w:val="auto"/>
              </w:rPr>
            </w:pPr>
            <w:r>
              <w:rPr>
                <w:rFonts w:ascii="Arial" w:cs="Arial" w:eastAsia="Arial" w:hAnsi="Arial"/>
                <w:sz w:val="17"/>
                <w:szCs w:val="17"/>
                <w:b w:val="1"/>
                <w:bCs w:val="1"/>
                <w:color w:val="002E6D"/>
              </w:rPr>
              <w:t>Boards should have strong,</w:t>
            </w:r>
          </w:p>
        </w:tc>
        <w:tc>
          <w:tcPr>
            <w:tcW w:w="3180" w:type="dxa"/>
            <w:vAlign w:val="bottom"/>
            <w:tcBorders>
              <w:right w:val="single" w:sz="8" w:color="002E6D"/>
            </w:tcBorders>
            <w:gridSpan w:val="2"/>
            <w:shd w:val="clear" w:color="auto" w:fill="E4E6EF"/>
          </w:tcPr>
          <w:p>
            <w:pPr>
              <w:ind w:left="100"/>
              <w:spacing w:after="0"/>
              <w:rPr>
                <w:sz w:val="20"/>
                <w:szCs w:val="20"/>
                <w:color w:val="auto"/>
              </w:rPr>
            </w:pPr>
            <w:r>
              <w:rPr>
                <w:rFonts w:ascii="Arial" w:cs="Arial" w:eastAsia="Arial" w:hAnsi="Arial"/>
                <w:sz w:val="17"/>
                <w:szCs w:val="17"/>
                <w:b w:val="1"/>
                <w:bCs w:val="1"/>
                <w:color w:val="002E6D"/>
              </w:rPr>
              <w:t>Stockholders should be entitled to</w:t>
            </w:r>
          </w:p>
        </w:tc>
        <w:tc>
          <w:tcPr>
            <w:tcW w:w="3980" w:type="dxa"/>
            <w:vAlign w:val="bottom"/>
            <w:shd w:val="clear" w:color="auto" w:fill="E4E6EF"/>
          </w:tcPr>
          <w:p>
            <w:pPr>
              <w:ind w:left="100"/>
              <w:spacing w:after="0"/>
              <w:rPr>
                <w:sz w:val="20"/>
                <w:szCs w:val="20"/>
                <w:color w:val="auto"/>
              </w:rPr>
            </w:pPr>
            <w:r>
              <w:rPr>
                <w:rFonts w:ascii="Arial" w:cs="Arial" w:eastAsia="Arial" w:hAnsi="Arial"/>
                <w:sz w:val="17"/>
                <w:szCs w:val="17"/>
                <w:b w:val="1"/>
                <w:bCs w:val="1"/>
                <w:color w:val="002E6D"/>
              </w:rPr>
              <w:t>Boards should develop management</w:t>
            </w:r>
          </w:p>
        </w:tc>
        <w:tc>
          <w:tcPr>
            <w:tcW w:w="0" w:type="dxa"/>
            <w:vAlign w:val="bottom"/>
          </w:tcPr>
          <w:p>
            <w:pPr>
              <w:spacing w:after="0"/>
              <w:rPr>
                <w:sz w:val="1"/>
                <w:szCs w:val="1"/>
                <w:color w:val="auto"/>
              </w:rPr>
            </w:pPr>
          </w:p>
        </w:tc>
      </w:tr>
      <w:tr>
        <w:trPr>
          <w:trHeight w:val="81"/>
        </w:trPr>
        <w:tc>
          <w:tcPr>
            <w:tcW w:w="4080" w:type="dxa"/>
            <w:vAlign w:val="bottom"/>
            <w:tcBorders>
              <w:right w:val="single" w:sz="8" w:color="002E6D"/>
            </w:tcBorders>
            <w:vMerge w:val="continue"/>
            <w:shd w:val="clear" w:color="auto" w:fill="E4E6EF"/>
          </w:tcPr>
          <w:p>
            <w:pPr>
              <w:spacing w:after="0"/>
              <w:rPr>
                <w:sz w:val="7"/>
                <w:szCs w:val="7"/>
                <w:color w:val="auto"/>
              </w:rPr>
            </w:pPr>
          </w:p>
        </w:tc>
        <w:tc>
          <w:tcPr>
            <w:tcW w:w="3180" w:type="dxa"/>
            <w:vAlign w:val="bottom"/>
            <w:tcBorders>
              <w:right w:val="single" w:sz="8" w:color="002E6D"/>
            </w:tcBorders>
            <w:gridSpan w:val="2"/>
            <w:vMerge w:val="restart"/>
            <w:shd w:val="clear" w:color="auto" w:fill="E4E6EF"/>
          </w:tcPr>
          <w:p>
            <w:pPr>
              <w:ind w:left="100"/>
              <w:spacing w:after="0" w:line="161" w:lineRule="exact"/>
              <w:rPr>
                <w:sz w:val="20"/>
                <w:szCs w:val="20"/>
                <w:color w:val="auto"/>
              </w:rPr>
            </w:pPr>
            <w:r>
              <w:rPr>
                <w:rFonts w:ascii="Arial" w:cs="Arial" w:eastAsia="Arial" w:hAnsi="Arial"/>
                <w:sz w:val="17"/>
                <w:szCs w:val="17"/>
                <w:b w:val="1"/>
                <w:bCs w:val="1"/>
                <w:color w:val="002E6D"/>
              </w:rPr>
              <w:t>voting rights in proportion to their</w:t>
            </w:r>
          </w:p>
        </w:tc>
        <w:tc>
          <w:tcPr>
            <w:tcW w:w="3980" w:type="dxa"/>
            <w:vAlign w:val="bottom"/>
            <w:vMerge w:val="restart"/>
            <w:shd w:val="clear" w:color="auto" w:fill="E4E6EF"/>
          </w:tcPr>
          <w:p>
            <w:pPr>
              <w:ind w:left="100"/>
              <w:spacing w:after="0" w:line="161" w:lineRule="exact"/>
              <w:rPr>
                <w:sz w:val="20"/>
                <w:szCs w:val="20"/>
                <w:color w:val="auto"/>
              </w:rPr>
            </w:pPr>
            <w:r>
              <w:rPr>
                <w:rFonts w:ascii="Arial" w:cs="Arial" w:eastAsia="Arial" w:hAnsi="Arial"/>
                <w:sz w:val="17"/>
                <w:szCs w:val="17"/>
                <w:b w:val="1"/>
                <w:bCs w:val="1"/>
                <w:color w:val="002E6D"/>
              </w:rPr>
              <w:t>incentive structures that are aligned with</w:t>
            </w:r>
          </w:p>
        </w:tc>
        <w:tc>
          <w:tcPr>
            <w:tcW w:w="0" w:type="dxa"/>
            <w:vAlign w:val="bottom"/>
          </w:tcPr>
          <w:p>
            <w:pPr>
              <w:spacing w:after="0"/>
              <w:rPr>
                <w:sz w:val="1"/>
                <w:szCs w:val="1"/>
                <w:color w:val="auto"/>
              </w:rPr>
            </w:pPr>
          </w:p>
        </w:tc>
      </w:tr>
      <w:tr>
        <w:trPr>
          <w:trHeight w:val="81"/>
        </w:trPr>
        <w:tc>
          <w:tcPr>
            <w:tcW w:w="4080" w:type="dxa"/>
            <w:vAlign w:val="bottom"/>
            <w:tcBorders>
              <w:right w:val="single" w:sz="8" w:color="002E6D"/>
            </w:tcBorders>
            <w:vMerge w:val="restart"/>
            <w:shd w:val="clear" w:color="auto" w:fill="E4E6EF"/>
          </w:tcPr>
          <w:p>
            <w:pPr>
              <w:ind w:left="20"/>
              <w:spacing w:after="0"/>
              <w:rPr>
                <w:sz w:val="20"/>
                <w:szCs w:val="20"/>
                <w:color w:val="auto"/>
              </w:rPr>
            </w:pPr>
            <w:r>
              <w:rPr>
                <w:rFonts w:ascii="Arial" w:cs="Arial" w:eastAsia="Arial" w:hAnsi="Arial"/>
                <w:sz w:val="17"/>
                <w:szCs w:val="17"/>
                <w:b w:val="1"/>
                <w:bCs w:val="1"/>
                <w:color w:val="002E6D"/>
              </w:rPr>
              <w:t>independent leadership</w:t>
            </w:r>
          </w:p>
        </w:tc>
        <w:tc>
          <w:tcPr>
            <w:tcW w:w="3180" w:type="dxa"/>
            <w:vAlign w:val="bottom"/>
            <w:tcBorders>
              <w:right w:val="single" w:sz="8" w:color="002E6D"/>
            </w:tcBorders>
            <w:gridSpan w:val="2"/>
            <w:vMerge w:val="continue"/>
            <w:shd w:val="clear" w:color="auto" w:fill="E4E6EF"/>
          </w:tcPr>
          <w:p>
            <w:pPr>
              <w:spacing w:after="0"/>
              <w:rPr>
                <w:sz w:val="7"/>
                <w:szCs w:val="7"/>
                <w:color w:val="auto"/>
              </w:rPr>
            </w:pPr>
          </w:p>
        </w:tc>
        <w:tc>
          <w:tcPr>
            <w:tcW w:w="3980" w:type="dxa"/>
            <w:vAlign w:val="bottom"/>
            <w:vMerge w:val="continue"/>
            <w:shd w:val="clear" w:color="auto" w:fill="E4E6EF"/>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4080" w:type="dxa"/>
            <w:vAlign w:val="bottom"/>
            <w:tcBorders>
              <w:right w:val="single" w:sz="8" w:color="002E6D"/>
            </w:tcBorders>
            <w:vMerge w:val="continue"/>
            <w:shd w:val="clear" w:color="auto" w:fill="E4E6EF"/>
          </w:tcPr>
          <w:p>
            <w:pPr>
              <w:spacing w:after="0"/>
              <w:rPr>
                <w:sz w:val="12"/>
                <w:szCs w:val="12"/>
                <w:color w:val="auto"/>
              </w:rPr>
            </w:pPr>
          </w:p>
        </w:tc>
        <w:tc>
          <w:tcPr>
            <w:tcW w:w="1680" w:type="dxa"/>
            <w:vAlign w:val="bottom"/>
            <w:vMerge w:val="restart"/>
            <w:shd w:val="clear" w:color="auto" w:fill="E4E6EF"/>
          </w:tcPr>
          <w:p>
            <w:pPr>
              <w:ind w:left="100"/>
              <w:spacing w:after="0"/>
              <w:rPr>
                <w:sz w:val="20"/>
                <w:szCs w:val="20"/>
                <w:color w:val="auto"/>
              </w:rPr>
            </w:pPr>
            <w:r>
              <w:rPr>
                <w:rFonts w:ascii="Arial" w:cs="Arial" w:eastAsia="Arial" w:hAnsi="Arial"/>
                <w:sz w:val="17"/>
                <w:szCs w:val="17"/>
                <w:b w:val="1"/>
                <w:bCs w:val="1"/>
                <w:color w:val="002E6D"/>
              </w:rPr>
              <w:t>economic interest</w:t>
            </w:r>
          </w:p>
        </w:tc>
        <w:tc>
          <w:tcPr>
            <w:tcW w:w="1500" w:type="dxa"/>
            <w:vAlign w:val="bottom"/>
            <w:tcBorders>
              <w:right w:val="single" w:sz="8" w:color="002E6D"/>
            </w:tcBorders>
            <w:shd w:val="clear" w:color="auto" w:fill="E4E6EF"/>
          </w:tcPr>
          <w:p>
            <w:pPr>
              <w:spacing w:after="0"/>
              <w:rPr>
                <w:sz w:val="12"/>
                <w:szCs w:val="12"/>
                <w:color w:val="auto"/>
              </w:rPr>
            </w:pPr>
          </w:p>
        </w:tc>
        <w:tc>
          <w:tcPr>
            <w:tcW w:w="3980" w:type="dxa"/>
            <w:vAlign w:val="bottom"/>
            <w:vMerge w:val="restart"/>
            <w:shd w:val="clear" w:color="auto" w:fill="E4E6EF"/>
          </w:tcPr>
          <w:p>
            <w:pPr>
              <w:ind w:left="100"/>
              <w:spacing w:after="0"/>
              <w:rPr>
                <w:sz w:val="20"/>
                <w:szCs w:val="20"/>
                <w:color w:val="auto"/>
              </w:rPr>
            </w:pPr>
            <w:r>
              <w:rPr>
                <w:rFonts w:ascii="Arial" w:cs="Arial" w:eastAsia="Arial" w:hAnsi="Arial"/>
                <w:sz w:val="17"/>
                <w:szCs w:val="17"/>
                <w:b w:val="1"/>
                <w:bCs w:val="1"/>
                <w:color w:val="002E6D"/>
              </w:rPr>
              <w:t>the long-term strategy of the company</w:t>
            </w:r>
          </w:p>
        </w:tc>
        <w:tc>
          <w:tcPr>
            <w:tcW w:w="0" w:type="dxa"/>
            <w:vAlign w:val="bottom"/>
          </w:tcPr>
          <w:p>
            <w:pPr>
              <w:spacing w:after="0"/>
              <w:rPr>
                <w:sz w:val="1"/>
                <w:szCs w:val="1"/>
                <w:color w:val="auto"/>
              </w:rPr>
            </w:pPr>
          </w:p>
        </w:tc>
      </w:tr>
      <w:tr>
        <w:trPr>
          <w:trHeight w:val="72"/>
        </w:trPr>
        <w:tc>
          <w:tcPr>
            <w:tcW w:w="4080" w:type="dxa"/>
            <w:vAlign w:val="bottom"/>
            <w:tcBorders>
              <w:right w:val="single" w:sz="8" w:color="002E6D"/>
            </w:tcBorders>
            <w:shd w:val="clear" w:color="auto" w:fill="E4E6EF"/>
          </w:tcPr>
          <w:p>
            <w:pPr>
              <w:spacing w:after="0"/>
              <w:rPr>
                <w:sz w:val="6"/>
                <w:szCs w:val="6"/>
                <w:color w:val="auto"/>
              </w:rPr>
            </w:pPr>
          </w:p>
        </w:tc>
        <w:tc>
          <w:tcPr>
            <w:tcW w:w="1680" w:type="dxa"/>
            <w:vAlign w:val="bottom"/>
            <w:vMerge w:val="continue"/>
            <w:shd w:val="clear" w:color="auto" w:fill="E4E6EF"/>
          </w:tcPr>
          <w:p>
            <w:pPr>
              <w:spacing w:after="0"/>
              <w:rPr>
                <w:sz w:val="6"/>
                <w:szCs w:val="6"/>
                <w:color w:val="auto"/>
              </w:rPr>
            </w:pPr>
          </w:p>
        </w:tc>
        <w:tc>
          <w:tcPr>
            <w:tcW w:w="1500" w:type="dxa"/>
            <w:vAlign w:val="bottom"/>
            <w:tcBorders>
              <w:right w:val="single" w:sz="8" w:color="002E6D"/>
            </w:tcBorders>
            <w:shd w:val="clear" w:color="auto" w:fill="E4E6EF"/>
          </w:tcPr>
          <w:p>
            <w:pPr>
              <w:spacing w:after="0"/>
              <w:rPr>
                <w:sz w:val="6"/>
                <w:szCs w:val="6"/>
                <w:color w:val="auto"/>
              </w:rPr>
            </w:pPr>
          </w:p>
        </w:tc>
        <w:tc>
          <w:tcPr>
            <w:tcW w:w="3980" w:type="dxa"/>
            <w:vAlign w:val="bottom"/>
            <w:vMerge w:val="continue"/>
            <w:shd w:val="clear" w:color="auto" w:fill="E4E6EF"/>
          </w:tcPr>
          <w:p>
            <w:pPr>
              <w:spacing w:after="0"/>
              <w:rPr>
                <w:sz w:val="6"/>
                <w:szCs w:val="6"/>
                <w:color w:val="auto"/>
              </w:rPr>
            </w:pPr>
          </w:p>
        </w:tc>
        <w:tc>
          <w:tcPr>
            <w:tcW w:w="0" w:type="dxa"/>
            <w:vAlign w:val="bottom"/>
          </w:tcPr>
          <w:p>
            <w:pPr>
              <w:spacing w:after="0"/>
              <w:rPr>
                <w:sz w:val="1"/>
                <w:szCs w:val="1"/>
                <w:color w:val="auto"/>
              </w:rPr>
            </w:pPr>
          </w:p>
        </w:tc>
      </w:tr>
      <w:tr>
        <w:trPr>
          <w:trHeight w:val="303"/>
        </w:trPr>
        <w:tc>
          <w:tcPr>
            <w:tcW w:w="4080" w:type="dxa"/>
            <w:vAlign w:val="bottom"/>
            <w:tcBorders>
              <w:right w:val="single" w:sz="8" w:color="002E6D"/>
            </w:tcBorders>
          </w:tcPr>
          <w:p>
            <w:pPr>
              <w:ind w:left="220"/>
              <w:spacing w:after="0"/>
              <w:rPr>
                <w:sz w:val="20"/>
                <w:szCs w:val="20"/>
                <w:color w:val="auto"/>
              </w:rPr>
            </w:pPr>
            <w:r>
              <w:rPr>
                <w:rFonts w:ascii="Arial" w:cs="Arial" w:eastAsia="Arial" w:hAnsi="Arial"/>
                <w:sz w:val="17"/>
                <w:szCs w:val="17"/>
                <w:color w:val="auto"/>
              </w:rPr>
              <w:t>Engaged independent Lead Director</w:t>
            </w:r>
          </w:p>
        </w:tc>
        <w:tc>
          <w:tcPr>
            <w:tcW w:w="3180" w:type="dxa"/>
            <w:vAlign w:val="bottom"/>
            <w:tcBorders>
              <w:right w:val="single" w:sz="8" w:color="002E6D"/>
            </w:tcBorders>
            <w:gridSpan w:val="2"/>
          </w:tcPr>
          <w:p>
            <w:pPr>
              <w:ind w:left="280"/>
              <w:spacing w:after="0"/>
              <w:rPr>
                <w:sz w:val="20"/>
                <w:szCs w:val="20"/>
                <w:color w:val="auto"/>
              </w:rPr>
            </w:pPr>
            <w:r>
              <w:rPr>
                <w:rFonts w:ascii="Arial" w:cs="Arial" w:eastAsia="Arial" w:hAnsi="Arial"/>
                <w:sz w:val="17"/>
                <w:szCs w:val="17"/>
                <w:color w:val="auto"/>
              </w:rPr>
              <w:t>One class of voting stock</w:t>
            </w:r>
          </w:p>
        </w:tc>
        <w:tc>
          <w:tcPr>
            <w:tcW w:w="3980" w:type="dxa"/>
            <w:vAlign w:val="bottom"/>
          </w:tcPr>
          <w:p>
            <w:pPr>
              <w:ind w:left="300"/>
              <w:spacing w:after="0"/>
              <w:rPr>
                <w:sz w:val="20"/>
                <w:szCs w:val="20"/>
                <w:color w:val="auto"/>
              </w:rPr>
            </w:pPr>
            <w:r>
              <w:rPr>
                <w:rFonts w:ascii="Arial" w:cs="Arial" w:eastAsia="Arial" w:hAnsi="Arial"/>
                <w:sz w:val="17"/>
                <w:szCs w:val="17"/>
                <w:color w:val="auto"/>
              </w:rPr>
              <w:t>Compensation programs actively reviewed by</w:t>
            </w:r>
          </w:p>
        </w:tc>
        <w:tc>
          <w:tcPr>
            <w:tcW w:w="0" w:type="dxa"/>
            <w:vAlign w:val="bottom"/>
          </w:tcPr>
          <w:p>
            <w:pPr>
              <w:spacing w:after="0"/>
              <w:rPr>
                <w:sz w:val="1"/>
                <w:szCs w:val="1"/>
                <w:color w:val="auto"/>
              </w:rPr>
            </w:pPr>
          </w:p>
        </w:tc>
      </w:tr>
      <w:tr>
        <w:trPr>
          <w:trHeight w:val="188"/>
        </w:trPr>
        <w:tc>
          <w:tcPr>
            <w:tcW w:w="4080" w:type="dxa"/>
            <w:vAlign w:val="bottom"/>
            <w:tcBorders>
              <w:right w:val="single" w:sz="8" w:color="002E6D"/>
            </w:tcBorders>
            <w:vMerge w:val="restart"/>
          </w:tcPr>
          <w:p>
            <w:pPr>
              <w:ind w:left="220"/>
              <w:spacing w:after="0"/>
              <w:rPr>
                <w:sz w:val="20"/>
                <w:szCs w:val="20"/>
                <w:color w:val="auto"/>
              </w:rPr>
            </w:pPr>
            <w:r>
              <w:rPr>
                <w:rFonts w:ascii="Arial" w:cs="Arial" w:eastAsia="Arial" w:hAnsi="Arial"/>
                <w:sz w:val="17"/>
                <w:szCs w:val="17"/>
                <w:color w:val="auto"/>
              </w:rPr>
              <w:t>Annual review of Board leadership structure</w:t>
            </w:r>
          </w:p>
        </w:tc>
        <w:tc>
          <w:tcPr>
            <w:tcW w:w="3180" w:type="dxa"/>
            <w:vAlign w:val="bottom"/>
            <w:tcBorders>
              <w:right w:val="single" w:sz="8" w:color="002E6D"/>
            </w:tcBorders>
            <w:gridSpan w:val="2"/>
            <w:vMerge w:val="restart"/>
          </w:tcPr>
          <w:p>
            <w:pPr>
              <w:ind w:left="280"/>
              <w:spacing w:after="0"/>
              <w:rPr>
                <w:sz w:val="20"/>
                <w:szCs w:val="20"/>
                <w:color w:val="auto"/>
              </w:rPr>
            </w:pPr>
            <w:r>
              <w:rPr>
                <w:rFonts w:ascii="Arial" w:cs="Arial" w:eastAsia="Arial" w:hAnsi="Arial"/>
                <w:sz w:val="17"/>
                <w:szCs w:val="17"/>
                <w:color w:val="auto"/>
              </w:rPr>
              <w:t>“One share, one vote” standard</w:t>
            </w:r>
          </w:p>
        </w:tc>
        <w:tc>
          <w:tcPr>
            <w:tcW w:w="3980" w:type="dxa"/>
            <w:vAlign w:val="bottom"/>
          </w:tcPr>
          <w:p>
            <w:pPr>
              <w:ind w:left="300"/>
              <w:spacing w:after="0" w:line="188" w:lineRule="exact"/>
              <w:rPr>
                <w:sz w:val="20"/>
                <w:szCs w:val="20"/>
                <w:color w:val="auto"/>
              </w:rPr>
            </w:pPr>
            <w:r>
              <w:rPr>
                <w:rFonts w:ascii="Arial" w:cs="Arial" w:eastAsia="Arial" w:hAnsi="Arial"/>
                <w:sz w:val="17"/>
                <w:szCs w:val="17"/>
                <w:color w:val="auto"/>
              </w:rPr>
              <w:t>the Board and include short- and long-term</w:t>
            </w:r>
          </w:p>
        </w:tc>
        <w:tc>
          <w:tcPr>
            <w:tcW w:w="0" w:type="dxa"/>
            <w:vAlign w:val="bottom"/>
          </w:tcPr>
          <w:p>
            <w:pPr>
              <w:spacing w:after="0"/>
              <w:rPr>
                <w:sz w:val="1"/>
                <w:szCs w:val="1"/>
                <w:color w:val="auto"/>
              </w:rPr>
            </w:pPr>
          </w:p>
        </w:tc>
      </w:tr>
      <w:tr>
        <w:trPr>
          <w:trHeight w:val="110"/>
        </w:trPr>
        <w:tc>
          <w:tcPr>
            <w:tcW w:w="4080" w:type="dxa"/>
            <w:vAlign w:val="bottom"/>
            <w:tcBorders>
              <w:right w:val="single" w:sz="8" w:color="002E6D"/>
            </w:tcBorders>
            <w:vMerge w:val="continue"/>
          </w:tcPr>
          <w:p>
            <w:pPr>
              <w:spacing w:after="0"/>
              <w:rPr>
                <w:sz w:val="9"/>
                <w:szCs w:val="9"/>
                <w:color w:val="auto"/>
              </w:rPr>
            </w:pPr>
          </w:p>
        </w:tc>
        <w:tc>
          <w:tcPr>
            <w:tcW w:w="3180" w:type="dxa"/>
            <w:vAlign w:val="bottom"/>
            <w:tcBorders>
              <w:right w:val="single" w:sz="8" w:color="002E6D"/>
            </w:tcBorders>
            <w:gridSpan w:val="2"/>
            <w:vMerge w:val="continue"/>
          </w:tcPr>
          <w:p>
            <w:pPr>
              <w:spacing w:after="0"/>
              <w:rPr>
                <w:sz w:val="9"/>
                <w:szCs w:val="9"/>
                <w:color w:val="auto"/>
              </w:rPr>
            </w:pPr>
          </w:p>
        </w:tc>
        <w:tc>
          <w:tcPr>
            <w:tcW w:w="3980" w:type="dxa"/>
            <w:vAlign w:val="bottom"/>
            <w:vMerge w:val="restart"/>
          </w:tcPr>
          <w:p>
            <w:pPr>
              <w:ind w:left="300"/>
              <w:spacing w:after="0" w:line="188" w:lineRule="exact"/>
              <w:rPr>
                <w:sz w:val="20"/>
                <w:szCs w:val="20"/>
                <w:color w:val="auto"/>
              </w:rPr>
            </w:pPr>
            <w:r>
              <w:rPr>
                <w:rFonts w:ascii="Arial" w:cs="Arial" w:eastAsia="Arial" w:hAnsi="Arial"/>
                <w:sz w:val="17"/>
                <w:szCs w:val="17"/>
                <w:color w:val="auto"/>
              </w:rPr>
              <w:t>goals tied to the long-range plan and that</w:t>
            </w:r>
          </w:p>
        </w:tc>
        <w:tc>
          <w:tcPr>
            <w:tcW w:w="0" w:type="dxa"/>
            <w:vAlign w:val="bottom"/>
          </w:tcPr>
          <w:p>
            <w:pPr>
              <w:spacing w:after="0"/>
              <w:rPr>
                <w:sz w:val="1"/>
                <w:szCs w:val="1"/>
                <w:color w:val="auto"/>
              </w:rPr>
            </w:pPr>
          </w:p>
        </w:tc>
      </w:tr>
      <w:tr>
        <w:trPr>
          <w:trHeight w:val="78"/>
        </w:trPr>
        <w:tc>
          <w:tcPr>
            <w:tcW w:w="4080" w:type="dxa"/>
            <w:vAlign w:val="bottom"/>
            <w:tcBorders>
              <w:right w:val="single" w:sz="8" w:color="002E6D"/>
            </w:tcBorders>
          </w:tcPr>
          <w:p>
            <w:pPr>
              <w:spacing w:after="0"/>
              <w:rPr>
                <w:sz w:val="6"/>
                <w:szCs w:val="6"/>
                <w:color w:val="auto"/>
              </w:rPr>
            </w:pPr>
          </w:p>
        </w:tc>
        <w:tc>
          <w:tcPr>
            <w:tcW w:w="1680" w:type="dxa"/>
            <w:vAlign w:val="bottom"/>
          </w:tcPr>
          <w:p>
            <w:pPr>
              <w:spacing w:after="0"/>
              <w:rPr>
                <w:sz w:val="6"/>
                <w:szCs w:val="6"/>
                <w:color w:val="auto"/>
              </w:rPr>
            </w:pPr>
          </w:p>
        </w:tc>
        <w:tc>
          <w:tcPr>
            <w:tcW w:w="1500" w:type="dxa"/>
            <w:vAlign w:val="bottom"/>
            <w:tcBorders>
              <w:right w:val="single" w:sz="8" w:color="002E6D"/>
            </w:tcBorders>
          </w:tcPr>
          <w:p>
            <w:pPr>
              <w:spacing w:after="0"/>
              <w:rPr>
                <w:sz w:val="6"/>
                <w:szCs w:val="6"/>
                <w:color w:val="auto"/>
              </w:rPr>
            </w:pPr>
          </w:p>
        </w:tc>
        <w:tc>
          <w:tcPr>
            <w:tcW w:w="3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4080" w:type="dxa"/>
            <w:vAlign w:val="bottom"/>
            <w:tcBorders>
              <w:right w:val="single" w:sz="8" w:color="002E6D"/>
            </w:tcBorders>
          </w:tcPr>
          <w:p>
            <w:pPr>
              <w:ind w:left="220"/>
              <w:spacing w:after="0"/>
              <w:rPr>
                <w:sz w:val="20"/>
                <w:szCs w:val="20"/>
                <w:color w:val="auto"/>
              </w:rPr>
            </w:pPr>
            <w:r>
              <w:rPr>
                <w:rFonts w:ascii="Arial" w:cs="Arial" w:eastAsia="Arial" w:hAnsi="Arial"/>
                <w:sz w:val="17"/>
                <w:szCs w:val="17"/>
                <w:color w:val="auto"/>
              </w:rPr>
              <w:t>Independent chairs of all Board committees</w:t>
            </w:r>
          </w:p>
        </w:tc>
        <w:tc>
          <w:tcPr>
            <w:tcW w:w="1680" w:type="dxa"/>
            <w:vAlign w:val="bottom"/>
          </w:tcPr>
          <w:p>
            <w:pPr>
              <w:spacing w:after="0"/>
              <w:rPr>
                <w:sz w:val="17"/>
                <w:szCs w:val="17"/>
                <w:color w:val="auto"/>
              </w:rPr>
            </w:pPr>
          </w:p>
        </w:tc>
        <w:tc>
          <w:tcPr>
            <w:tcW w:w="1500" w:type="dxa"/>
            <w:vAlign w:val="bottom"/>
            <w:tcBorders>
              <w:right w:val="single" w:sz="8" w:color="002E6D"/>
            </w:tcBorders>
          </w:tcPr>
          <w:p>
            <w:pPr>
              <w:spacing w:after="0"/>
              <w:rPr>
                <w:sz w:val="17"/>
                <w:szCs w:val="17"/>
                <w:color w:val="auto"/>
              </w:rPr>
            </w:pPr>
          </w:p>
        </w:tc>
        <w:tc>
          <w:tcPr>
            <w:tcW w:w="3980" w:type="dxa"/>
            <w:vAlign w:val="bottom"/>
          </w:tcPr>
          <w:p>
            <w:pPr>
              <w:ind w:left="300"/>
              <w:spacing w:after="0"/>
              <w:rPr>
                <w:sz w:val="20"/>
                <w:szCs w:val="20"/>
                <w:color w:val="auto"/>
              </w:rPr>
            </w:pPr>
            <w:r>
              <w:rPr>
                <w:rFonts w:ascii="Arial" w:cs="Arial" w:eastAsia="Arial" w:hAnsi="Arial"/>
                <w:sz w:val="17"/>
                <w:szCs w:val="17"/>
                <w:color w:val="auto"/>
              </w:rPr>
              <w:t>underpin our long-term strategy</w:t>
            </w:r>
          </w:p>
        </w:tc>
        <w:tc>
          <w:tcPr>
            <w:tcW w:w="0" w:type="dxa"/>
            <w:vAlign w:val="bottom"/>
          </w:tcPr>
          <w:p>
            <w:pPr>
              <w:spacing w:after="0"/>
              <w:rPr>
                <w:sz w:val="1"/>
                <w:szCs w:val="1"/>
                <w:color w:val="auto"/>
              </w:rPr>
            </w:pPr>
          </w:p>
        </w:tc>
      </w:tr>
      <w:tr>
        <w:trPr>
          <w:trHeight w:val="138"/>
        </w:trPr>
        <w:tc>
          <w:tcPr>
            <w:tcW w:w="4080" w:type="dxa"/>
            <w:vAlign w:val="bottom"/>
            <w:tcBorders>
              <w:bottom w:val="single" w:sz="8" w:color="002E6D"/>
              <w:right w:val="single" w:sz="8" w:color="002E6D"/>
            </w:tcBorders>
          </w:tcPr>
          <w:p>
            <w:pPr>
              <w:spacing w:after="0"/>
              <w:rPr>
                <w:sz w:val="12"/>
                <w:szCs w:val="12"/>
                <w:color w:val="auto"/>
              </w:rPr>
            </w:pPr>
          </w:p>
        </w:tc>
        <w:tc>
          <w:tcPr>
            <w:tcW w:w="1680" w:type="dxa"/>
            <w:vAlign w:val="bottom"/>
            <w:tcBorders>
              <w:bottom w:val="single" w:sz="8" w:color="002E6D"/>
            </w:tcBorders>
          </w:tcPr>
          <w:p>
            <w:pPr>
              <w:spacing w:after="0"/>
              <w:rPr>
                <w:sz w:val="12"/>
                <w:szCs w:val="12"/>
                <w:color w:val="auto"/>
              </w:rPr>
            </w:pPr>
          </w:p>
        </w:tc>
        <w:tc>
          <w:tcPr>
            <w:tcW w:w="1500" w:type="dxa"/>
            <w:vAlign w:val="bottom"/>
            <w:tcBorders>
              <w:bottom w:val="single" w:sz="8" w:color="002E6D"/>
              <w:right w:val="single" w:sz="8" w:color="002E6D"/>
            </w:tcBorders>
          </w:tcPr>
          <w:p>
            <w:pPr>
              <w:spacing w:after="0"/>
              <w:rPr>
                <w:sz w:val="12"/>
                <w:szCs w:val="12"/>
                <w:color w:val="auto"/>
              </w:rPr>
            </w:pPr>
          </w:p>
        </w:tc>
        <w:tc>
          <w:tcPr>
            <w:tcW w:w="3980" w:type="dxa"/>
            <w:vAlign w:val="bottom"/>
            <w:tcBorders>
              <w:bottom w:val="single" w:sz="8" w:color="002E6D"/>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-2021205</wp:posOffset>
            </wp:positionV>
            <wp:extent cx="93980" cy="768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-1842135</wp:posOffset>
            </wp:positionV>
            <wp:extent cx="93980" cy="768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-1663065</wp:posOffset>
            </wp:positionV>
            <wp:extent cx="93980" cy="768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-1483995</wp:posOffset>
            </wp:positionV>
            <wp:extent cx="93980" cy="768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-1304925</wp:posOffset>
            </wp:positionV>
            <wp:extent cx="93980" cy="768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-2021205</wp:posOffset>
            </wp:positionV>
            <wp:extent cx="93980" cy="768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-1842135</wp:posOffset>
            </wp:positionV>
            <wp:extent cx="93980" cy="768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-1663065</wp:posOffset>
            </wp:positionV>
            <wp:extent cx="93980" cy="768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-1483995</wp:posOffset>
            </wp:positionV>
            <wp:extent cx="93980" cy="768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-596900</wp:posOffset>
            </wp:positionV>
            <wp:extent cx="93980" cy="768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-417195</wp:posOffset>
            </wp:positionV>
            <wp:extent cx="93980" cy="768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-238125</wp:posOffset>
            </wp:positionV>
            <wp:extent cx="93980" cy="768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-596900</wp:posOffset>
            </wp:positionV>
            <wp:extent cx="93980" cy="768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2649855</wp:posOffset>
            </wp:positionH>
            <wp:positionV relativeFrom="paragraph">
              <wp:posOffset>-417195</wp:posOffset>
            </wp:positionV>
            <wp:extent cx="93980" cy="768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-596900</wp:posOffset>
            </wp:positionV>
            <wp:extent cx="93980" cy="768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3980" cy="76835"/>
                    </a:xfrm>
                    <a:prstGeom prst="rect">
                      <a:avLst/>
                    </a:prstGeom>
                    <a:noFill/>
                  </pic:spPr>
                </pic:pic>
              </a:graphicData>
            </a:graphic>
          </wp:anchor>
        </w:drawing>
        <w:drawing>
          <wp:anchor simplePos="0" relativeHeight="251657728" behindDoc="1" locked="0" layoutInCell="0" allowOverlap="1">
            <wp:simplePos x="0" y="0"/>
            <wp:positionH relativeFrom="column">
              <wp:posOffset>5619115</wp:posOffset>
            </wp:positionH>
            <wp:positionV relativeFrom="paragraph">
              <wp:posOffset>93980</wp:posOffset>
            </wp:positionV>
            <wp:extent cx="1518920" cy="11861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18920" cy="1186180"/>
                    </a:xfrm>
                    <a:prstGeom prst="rect">
                      <a:avLst/>
                    </a:prstGeom>
                    <a:noFill/>
                  </pic:spPr>
                </pic:pic>
              </a:graphicData>
            </a:graphic>
          </wp:anchor>
        </w:drawing>
      </w:r>
    </w:p>
    <w:p>
      <w:pPr>
        <w:sectPr>
          <w:pgSz w:w="11900" w:h="16838" w:orient="portrait"/>
          <w:cols w:equalWidth="0" w:num="1">
            <w:col w:w="11260"/>
          </w:cols>
          <w:pgMar w:left="320" w:top="254" w:right="319" w:bottom="1440" w:gutter="0" w:footer="0" w:header="0"/>
          <w:type w:val="continuous"/>
        </w:sectPr>
      </w:pPr>
    </w:p>
    <w:p>
      <w:pPr>
        <w:spacing w:after="0" w:line="284" w:lineRule="exact"/>
        <w:rPr>
          <w:sz w:val="20"/>
          <w:szCs w:val="20"/>
          <w:color w:val="auto"/>
        </w:rPr>
      </w:pPr>
    </w:p>
    <w:p>
      <w:pPr>
        <w:ind w:left="20"/>
        <w:spacing w:after="0"/>
        <w:rPr>
          <w:sz w:val="20"/>
          <w:szCs w:val="20"/>
          <w:color w:val="auto"/>
        </w:rPr>
      </w:pPr>
      <w:r>
        <w:rPr>
          <w:rFonts w:ascii="Arial" w:cs="Arial" w:eastAsia="Arial" w:hAnsi="Arial"/>
          <w:sz w:val="25"/>
          <w:szCs w:val="25"/>
          <w:color w:val="818EB4"/>
        </w:rPr>
        <w:t>Stockholder Outreach</w:t>
      </w:r>
    </w:p>
    <w:p>
      <w:pPr>
        <w:spacing w:after="0" w:line="54" w:lineRule="exact"/>
        <w:rPr>
          <w:sz w:val="20"/>
          <w:szCs w:val="20"/>
          <w:color w:val="auto"/>
        </w:rPr>
      </w:pPr>
    </w:p>
    <w:p>
      <w:pPr>
        <w:ind w:left="20"/>
        <w:spacing w:after="0" w:line="250" w:lineRule="auto"/>
        <w:rPr>
          <w:sz w:val="20"/>
          <w:szCs w:val="20"/>
          <w:color w:val="auto"/>
        </w:rPr>
      </w:pPr>
      <w:r>
        <w:rPr>
          <w:rFonts w:ascii="Arial" w:cs="Arial" w:eastAsia="Arial" w:hAnsi="Arial"/>
          <w:sz w:val="17"/>
          <w:szCs w:val="17"/>
          <w:color w:val="auto"/>
        </w:rPr>
        <w:t>In seeking stockholder perspectives, our senior management team offered during 2021 to engage with a cross section of stockholders representing over a majority of our outstanding shares and engaged with stockholders representing over 47% of our outstanding shares. Our consistent, active and year-round dialogue with stockholders, proxy advisory firms and other stakeholders enables our Board to consider a broad range of viewpoints in boardroom discussions. Please see the summary above of principal governance-related engagement topics during 2021.</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Engagement Highlights</w:t>
      </w:r>
    </w:p>
    <w:p>
      <w:pPr>
        <w:spacing w:after="0" w:line="228" w:lineRule="auto"/>
        <w:rPr>
          <w:sz w:val="20"/>
          <w:szCs w:val="20"/>
          <w:color w:val="auto"/>
        </w:rPr>
      </w:pPr>
      <w:r>
        <w:rPr>
          <w:rFonts w:ascii="Arial" w:cs="Arial" w:eastAsia="Arial" w:hAnsi="Arial"/>
          <w:sz w:val="29"/>
          <w:szCs w:val="29"/>
          <w:color w:val="002E6D"/>
        </w:rPr>
        <w:t>60+</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Engagements</w:t>
      </w:r>
    </w:p>
    <w:p>
      <w:pPr>
        <w:spacing w:after="0" w:line="5" w:lineRule="exact"/>
        <w:rPr>
          <w:sz w:val="20"/>
          <w:szCs w:val="20"/>
          <w:color w:val="auto"/>
        </w:rPr>
      </w:pPr>
    </w:p>
    <w:p>
      <w:pPr>
        <w:spacing w:after="0"/>
        <w:rPr>
          <w:sz w:val="20"/>
          <w:szCs w:val="20"/>
          <w:color w:val="auto"/>
        </w:rPr>
      </w:pPr>
      <w:r>
        <w:rPr>
          <w:rFonts w:ascii="Arial" w:cs="Arial" w:eastAsia="Arial" w:hAnsi="Arial"/>
          <w:sz w:val="29"/>
          <w:szCs w:val="29"/>
          <w:color w:val="002E6D"/>
        </w:rPr>
        <w:t>30+</w:t>
      </w:r>
    </w:p>
    <w:p>
      <w:pPr>
        <w:spacing w:after="0"/>
        <w:rPr>
          <w:sz w:val="20"/>
          <w:szCs w:val="20"/>
          <w:color w:val="auto"/>
        </w:rPr>
      </w:pPr>
      <w:r>
        <w:rPr>
          <w:rFonts w:ascii="Arial" w:cs="Arial" w:eastAsia="Arial" w:hAnsi="Arial"/>
          <w:sz w:val="15"/>
          <w:szCs w:val="15"/>
          <w:color w:val="auto"/>
        </w:rPr>
        <w:t>Stockholders</w:t>
      </w:r>
    </w:p>
    <w:p>
      <w:pPr>
        <w:spacing w:after="0" w:line="233" w:lineRule="auto"/>
        <w:rPr>
          <w:sz w:val="20"/>
          <w:szCs w:val="20"/>
          <w:color w:val="auto"/>
        </w:rPr>
      </w:pPr>
      <w:r>
        <w:rPr>
          <w:rFonts w:ascii="Arial" w:cs="Arial" w:eastAsia="Arial" w:hAnsi="Arial"/>
          <w:sz w:val="29"/>
          <w:szCs w:val="29"/>
          <w:color w:val="002E6D"/>
        </w:rPr>
        <w:t>47+%</w:t>
      </w:r>
    </w:p>
    <w:p>
      <w:pPr>
        <w:spacing w:after="0" w:line="1" w:lineRule="exact"/>
        <w:rPr>
          <w:sz w:val="20"/>
          <w:szCs w:val="20"/>
          <w:color w:val="auto"/>
        </w:rPr>
      </w:pPr>
    </w:p>
    <w:p>
      <w:pPr>
        <w:ind w:right="680"/>
        <w:spacing w:after="0" w:line="229" w:lineRule="auto"/>
        <w:rPr>
          <w:sz w:val="20"/>
          <w:szCs w:val="20"/>
          <w:color w:val="auto"/>
        </w:rPr>
      </w:pPr>
      <w:r>
        <w:rPr>
          <w:rFonts w:ascii="Arial" w:cs="Arial" w:eastAsia="Arial" w:hAnsi="Arial"/>
          <w:sz w:val="15"/>
          <w:szCs w:val="15"/>
          <w:color w:val="auto"/>
        </w:rPr>
        <w:t>Outstanding Stock (as of December 31, 2021)</w:t>
      </w:r>
    </w:p>
    <w:p>
      <w:pPr>
        <w:spacing w:after="0" w:line="200" w:lineRule="exact"/>
        <w:rPr>
          <w:sz w:val="20"/>
          <w:szCs w:val="20"/>
          <w:color w:val="auto"/>
        </w:rPr>
      </w:pPr>
    </w:p>
    <w:p>
      <w:pPr>
        <w:sectPr>
          <w:pgSz w:w="11900" w:h="16838" w:orient="portrait"/>
          <w:cols w:equalWidth="0" w:num="2">
            <w:col w:w="8820" w:space="100"/>
            <w:col w:w="2340"/>
          </w:cols>
          <w:pgMar w:left="320" w:top="254" w:right="319" w:bottom="1440" w:gutter="0" w:footer="0" w:header="0"/>
          <w:type w:val="continuous"/>
        </w:sectPr>
      </w:pP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8600" w:val="left"/>
          <w:tab w:leader="none" w:pos="111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4</w:t>
      </w:r>
    </w:p>
    <w:p>
      <w:pPr>
        <w:sectPr>
          <w:pgSz w:w="11900" w:h="16838" w:orient="portrait"/>
          <w:cols w:equalWidth="0" w:num="1">
            <w:col w:w="11260"/>
          </w:cols>
          <w:pgMar w:left="320" w:top="254" w:right="319" w:bottom="1440" w:gutter="0" w:footer="0" w:header="0"/>
          <w:type w:val="continuous"/>
        </w:sectPr>
      </w:pPr>
    </w:p>
    <w:bookmarkStart w:id="10" w:name="page11"/>
    <w:bookmarkEnd w:id="10"/>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Proxy Statement Summary</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9"/>
          <w:szCs w:val="29"/>
          <w:color w:val="003478"/>
        </w:rPr>
        <w:t>Executive Compensation Highlights</w:t>
      </w:r>
    </w:p>
    <w:p>
      <w:pPr>
        <w:spacing w:after="0" w:line="68"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 substantial portion of compensation paid to our named executive officers (NEOs) is performance-based. We use the 50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of our comparator group to set target compensation but allow for payments to exceed or fall below the target level based upon actual performance. This outcome is consistent with our pay-for-performance philosophy to set pay and targets at market levels, but pay incentive compensation that reflects actual performance.</w:t>
      </w:r>
    </w:p>
    <w:p>
      <w:pPr>
        <w:spacing w:after="0" w:line="7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Our 2021 performance reflected achievements in a number of critical strategic and operational goals, while recognizing some financial headwinds we faced during 2021. Commensurately, our annual incentive plan paid out at 125% of target. Our 2019-2021 Long-Term Incentive (LTI) Plans paid out above target level reflecting our strong three-year performance, including significant cash generation and return on invested capital. The Board did not make any modifications to our compensation programs or any discretionary adjustments in response to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29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86" w:lineRule="exact"/>
        <w:rPr>
          <w:sz w:val="20"/>
          <w:szCs w:val="20"/>
          <w:color w:val="auto"/>
        </w:rPr>
      </w:pPr>
    </w:p>
    <w:p>
      <w:pPr>
        <w:ind w:left="20"/>
        <w:spacing w:after="0"/>
        <w:tabs>
          <w:tab w:leader="none" w:pos="5220" w:val="left"/>
        </w:tabs>
        <w:rPr>
          <w:sz w:val="20"/>
          <w:szCs w:val="20"/>
          <w:color w:val="auto"/>
        </w:rPr>
      </w:pPr>
      <w:r>
        <w:rPr>
          <w:rFonts w:ascii="Arial" w:cs="Arial" w:eastAsia="Arial" w:hAnsi="Arial"/>
          <w:sz w:val="16"/>
          <w:szCs w:val="16"/>
          <w:color w:val="003478"/>
        </w:rPr>
        <w:t>2021 CEO Target Opportunity Mix</w:t>
      </w:r>
      <w:r>
        <w:rPr>
          <w:sz w:val="20"/>
          <w:szCs w:val="20"/>
          <w:color w:val="auto"/>
        </w:rPr>
        <w:tab/>
      </w:r>
      <w:r>
        <w:rPr>
          <w:rFonts w:ascii="Arial" w:cs="Arial" w:eastAsia="Arial" w:hAnsi="Arial"/>
          <w:sz w:val="16"/>
          <w:szCs w:val="16"/>
          <w:color w:val="003478"/>
        </w:rPr>
        <w:t>2021 Annual Incentive</w:t>
      </w:r>
    </w:p>
    <w:p>
      <w:pPr>
        <w:spacing w:after="0" w:line="114"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Component Weightings and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704215</wp:posOffset>
            </wp:positionH>
            <wp:positionV relativeFrom="paragraph">
              <wp:posOffset>-1905</wp:posOffset>
            </wp:positionV>
            <wp:extent cx="6433185" cy="30289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33185" cy="302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40"/>
        <w:spacing w:after="0"/>
        <w:rPr>
          <w:sz w:val="20"/>
          <w:szCs w:val="20"/>
          <w:color w:val="auto"/>
        </w:rPr>
      </w:pPr>
      <w:r>
        <w:rPr>
          <w:rFonts w:ascii="Arial" w:cs="Arial" w:eastAsia="Arial" w:hAnsi="Arial"/>
          <w:sz w:val="16"/>
          <w:szCs w:val="16"/>
          <w:color w:val="003478"/>
        </w:rPr>
        <w:t>2019-2021 LONG-TERM INCENTIVES</w:t>
      </w:r>
    </w:p>
    <w:p>
      <w:pPr>
        <w:spacing w:after="0" w:line="141" w:lineRule="exact"/>
        <w:rPr>
          <w:sz w:val="20"/>
          <w:szCs w:val="20"/>
          <w:color w:val="auto"/>
        </w:rPr>
      </w:pPr>
    </w:p>
    <w:p>
      <w:pPr>
        <w:ind w:left="5240"/>
        <w:spacing w:after="0"/>
        <w:rPr>
          <w:sz w:val="20"/>
          <w:szCs w:val="20"/>
          <w:color w:val="auto"/>
        </w:rPr>
      </w:pPr>
      <w:r>
        <w:rPr>
          <w:rFonts w:ascii="Arial" w:cs="Arial" w:eastAsia="Arial" w:hAnsi="Arial"/>
          <w:sz w:val="14"/>
          <w:szCs w:val="14"/>
          <w:color w:val="auto"/>
        </w:rPr>
        <w:t>Component Weightings and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73660</wp:posOffset>
            </wp:positionV>
            <wp:extent cx="3140075" cy="10922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000000"/>
                        </a:clrFrom>
                        <a:clrTo>
                          <a:srgbClr val="000000">
                            <a:alpha val="0"/>
                          </a:srgbClr>
                        </a:clrTo>
                      </a:clrChange>
                      <a:extLst>
                        <a:ext uri="{28A0092B-C50C-407E-A947-70E740481C1C}"/>
                      </a:extLst>
                    </a:blip>
                    <a:srcRect/>
                    <a:stretch>
                      <a:fillRect/>
                    </a:stretch>
                  </pic:blipFill>
                  <pic:spPr bwMode="auto">
                    <a:xfrm>
                      <a:off x="0" y="0"/>
                      <a:ext cx="3140075" cy="1092200"/>
                    </a:xfrm>
                    <a:prstGeom prst="rect">
                      <a:avLst/>
                    </a:prstGeom>
                    <a:noFill/>
                  </pic:spPr>
                </pic:pic>
              </a:graphicData>
            </a:graphic>
          </wp:anchor>
        </w:drawing>
        <w:drawing>
          <wp:anchor simplePos="0" relativeHeight="251657728" behindDoc="1" locked="0" layoutInCell="0" allowOverlap="1">
            <wp:simplePos x="0" y="0"/>
            <wp:positionH relativeFrom="column">
              <wp:posOffset>3323590</wp:posOffset>
            </wp:positionH>
            <wp:positionV relativeFrom="paragraph">
              <wp:posOffset>73660</wp:posOffset>
            </wp:positionV>
            <wp:extent cx="3140075" cy="10922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3140075" cy="1092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40" w:right="60" w:hanging="233"/>
        <w:spacing w:after="0" w:line="276" w:lineRule="auto"/>
        <w:tabs>
          <w:tab w:leader="none" w:pos="215" w:val="left"/>
        </w:tabs>
        <w:numPr>
          <w:ilvl w:val="0"/>
          <w:numId w:val="10"/>
        </w:numPr>
        <w:rPr>
          <w:rFonts w:ascii="Arial" w:cs="Arial" w:eastAsia="Arial" w:hAnsi="Arial"/>
          <w:sz w:val="14"/>
          <w:szCs w:val="14"/>
          <w:color w:val="auto"/>
        </w:rPr>
      </w:pPr>
      <w:r>
        <w:rPr>
          <w:rFonts w:ascii="Arial" w:cs="Arial" w:eastAsia="Arial" w:hAnsi="Arial"/>
          <w:sz w:val="14"/>
          <w:szCs w:val="14"/>
          <w:color w:val="auto"/>
        </w:rPr>
        <w:t>See Non-GAAP measures in Appendix A for an explanation of “Segment Operating Profit,” “Return on Invested Capital (ROIC),” and “Performance Cash” and our forward-looking statements concerning future performance or goals for future performance.</w:t>
      </w:r>
    </w:p>
    <w:p>
      <w:pPr>
        <w:spacing w:after="0" w:line="35" w:lineRule="exact"/>
        <w:rPr>
          <w:sz w:val="20"/>
          <w:szCs w:val="20"/>
          <w:color w:val="auto"/>
        </w:rPr>
      </w:pPr>
    </w:p>
    <w:p>
      <w:pPr>
        <w:spacing w:after="0"/>
        <w:rPr>
          <w:sz w:val="20"/>
          <w:szCs w:val="20"/>
          <w:color w:val="auto"/>
        </w:rPr>
      </w:pPr>
      <w:r>
        <w:rPr>
          <w:rFonts w:ascii="Arial" w:cs="Arial" w:eastAsia="Arial" w:hAnsi="Arial"/>
          <w:sz w:val="21"/>
          <w:szCs w:val="21"/>
          <w:color w:val="818EB4"/>
        </w:rPr>
        <w:t>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55245</wp:posOffset>
            </wp:positionV>
            <wp:extent cx="7115810" cy="20478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15810" cy="2047875"/>
                    </a:xfrm>
                    <a:prstGeom prst="rect">
                      <a:avLst/>
                    </a:prstGeom>
                    <a:noFill/>
                  </pic:spPr>
                </pic:pic>
              </a:graphicData>
            </a:graphic>
          </wp:anchor>
        </w:drawing>
      </w:r>
    </w:p>
    <w:p>
      <w:pPr>
        <w:sectPr>
          <w:pgSz w:w="11900" w:h="16838" w:orient="portrait"/>
          <w:cols w:equalWidth="0" w:num="1">
            <w:col w:w="11060"/>
          </w:cols>
          <w:pgMar w:left="320" w:top="254" w:right="51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880"/>
        <w:spacing w:after="0"/>
        <w:rPr>
          <w:sz w:val="20"/>
          <w:szCs w:val="20"/>
          <w:color w:val="auto"/>
        </w:rPr>
      </w:pPr>
      <w:r>
        <w:rPr>
          <w:rFonts w:ascii="Arial" w:cs="Arial" w:eastAsia="Arial" w:hAnsi="Arial"/>
          <w:sz w:val="16"/>
          <w:szCs w:val="16"/>
          <w:color w:val="002F6C"/>
        </w:rPr>
        <w:t>Best Practices in Our Programs</w:t>
      </w:r>
    </w:p>
    <w:p>
      <w:pPr>
        <w:spacing w:after="0" w:line="198" w:lineRule="exact"/>
        <w:rPr>
          <w:sz w:val="20"/>
          <w:szCs w:val="20"/>
          <w:color w:val="auto"/>
        </w:rPr>
      </w:pPr>
    </w:p>
    <w:p>
      <w:pPr>
        <w:ind w:left="360" w:hanging="254"/>
        <w:spacing w:after="0"/>
        <w:tabs>
          <w:tab w:leader="none" w:pos="360" w:val="left"/>
        </w:tabs>
        <w:numPr>
          <w:ilvl w:val="0"/>
          <w:numId w:val="11"/>
        </w:numPr>
        <w:rPr>
          <w:rFonts w:ascii="Arial" w:cs="Arial" w:eastAsia="Arial" w:hAnsi="Arial"/>
          <w:sz w:val="17"/>
          <w:szCs w:val="17"/>
          <w:color w:val="002E6D"/>
        </w:rPr>
      </w:pPr>
      <w:r>
        <w:rPr>
          <w:rFonts w:ascii="Arial" w:cs="Arial" w:eastAsia="Arial" w:hAnsi="Arial"/>
          <w:sz w:val="17"/>
          <w:szCs w:val="17"/>
          <w:color w:val="auto"/>
        </w:rPr>
        <w:t>Pay aligns with performance</w:t>
      </w:r>
    </w:p>
    <w:p>
      <w:pPr>
        <w:spacing w:after="0" w:line="6" w:lineRule="exact"/>
        <w:rPr>
          <w:rFonts w:ascii="Arial" w:cs="Arial" w:eastAsia="Arial" w:hAnsi="Arial"/>
          <w:sz w:val="17"/>
          <w:szCs w:val="17"/>
          <w:color w:val="002E6D"/>
        </w:rPr>
      </w:pPr>
    </w:p>
    <w:p>
      <w:pPr>
        <w:ind w:left="260" w:right="380" w:hanging="154"/>
        <w:spacing w:after="0" w:line="194" w:lineRule="auto"/>
        <w:tabs>
          <w:tab w:leader="none" w:pos="347" w:val="left"/>
        </w:tabs>
        <w:numPr>
          <w:ilvl w:val="0"/>
          <w:numId w:val="11"/>
        </w:numPr>
        <w:rPr>
          <w:rFonts w:ascii="Arial" w:cs="Arial" w:eastAsia="Arial" w:hAnsi="Arial"/>
          <w:sz w:val="17"/>
          <w:szCs w:val="17"/>
          <w:color w:val="002E6D"/>
        </w:rPr>
      </w:pPr>
      <w:r>
        <w:rPr>
          <w:rFonts w:ascii="Arial" w:cs="Arial" w:eastAsia="Arial" w:hAnsi="Arial"/>
          <w:sz w:val="17"/>
          <w:szCs w:val="17"/>
          <w:color w:val="auto"/>
        </w:rPr>
        <w:t>Market-based (50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approach for determining NEO target pay levels</w:t>
      </w:r>
    </w:p>
    <w:p>
      <w:pPr>
        <w:ind w:left="260" w:right="260" w:hanging="154"/>
        <w:spacing w:after="0" w:line="222" w:lineRule="auto"/>
        <w:tabs>
          <w:tab w:leader="none" w:pos="347" w:val="left"/>
        </w:tabs>
        <w:numPr>
          <w:ilvl w:val="0"/>
          <w:numId w:val="11"/>
        </w:numPr>
        <w:rPr>
          <w:rFonts w:ascii="Arial" w:cs="Arial" w:eastAsia="Arial" w:hAnsi="Arial"/>
          <w:sz w:val="17"/>
          <w:szCs w:val="17"/>
          <w:color w:val="002E6D"/>
        </w:rPr>
      </w:pPr>
      <w:r>
        <w:rPr>
          <w:rFonts w:ascii="Arial" w:cs="Arial" w:eastAsia="Arial" w:hAnsi="Arial"/>
          <w:sz w:val="17"/>
          <w:szCs w:val="17"/>
          <w:color w:val="auto"/>
        </w:rPr>
        <w:t>Caps on annual and long-term incentives, including when Total Stockholder Return (TSR) is negative</w:t>
      </w:r>
    </w:p>
    <w:p>
      <w:pPr>
        <w:spacing w:after="0" w:line="1" w:lineRule="exact"/>
        <w:rPr>
          <w:rFonts w:ascii="Arial" w:cs="Arial" w:eastAsia="Arial" w:hAnsi="Arial"/>
          <w:sz w:val="17"/>
          <w:szCs w:val="17"/>
          <w:color w:val="002E6D"/>
        </w:rPr>
      </w:pPr>
    </w:p>
    <w:p>
      <w:pPr>
        <w:ind w:left="360" w:hanging="254"/>
        <w:spacing w:after="0"/>
        <w:tabs>
          <w:tab w:leader="none" w:pos="360" w:val="left"/>
        </w:tabs>
        <w:numPr>
          <w:ilvl w:val="0"/>
          <w:numId w:val="11"/>
        </w:numPr>
        <w:rPr>
          <w:rFonts w:ascii="Arial" w:cs="Arial" w:eastAsia="Arial" w:hAnsi="Arial"/>
          <w:sz w:val="17"/>
          <w:szCs w:val="17"/>
          <w:color w:val="002E6D"/>
        </w:rPr>
      </w:pPr>
      <w:r>
        <w:rPr>
          <w:rFonts w:ascii="Arial" w:cs="Arial" w:eastAsia="Arial" w:hAnsi="Arial"/>
          <w:sz w:val="17"/>
          <w:szCs w:val="17"/>
          <w:color w:val="auto"/>
        </w:rPr>
        <w:t>Enhanced clawback policy on variable pay</w:t>
      </w:r>
    </w:p>
    <w:p>
      <w:pPr>
        <w:spacing w:after="0" w:line="6" w:lineRule="exact"/>
        <w:rPr>
          <w:rFonts w:ascii="Arial" w:cs="Arial" w:eastAsia="Arial" w:hAnsi="Arial"/>
          <w:sz w:val="17"/>
          <w:szCs w:val="17"/>
          <w:color w:val="002E6D"/>
        </w:rPr>
      </w:pPr>
    </w:p>
    <w:p>
      <w:pPr>
        <w:ind w:left="360" w:hanging="254"/>
        <w:spacing w:after="0" w:line="230" w:lineRule="auto"/>
        <w:tabs>
          <w:tab w:leader="none" w:pos="360" w:val="left"/>
        </w:tabs>
        <w:numPr>
          <w:ilvl w:val="0"/>
          <w:numId w:val="11"/>
        </w:numPr>
        <w:rPr>
          <w:rFonts w:ascii="Arial" w:cs="Arial" w:eastAsia="Arial" w:hAnsi="Arial"/>
          <w:sz w:val="17"/>
          <w:szCs w:val="17"/>
          <w:color w:val="002E6D"/>
        </w:rPr>
      </w:pPr>
      <w:r>
        <w:rPr>
          <w:rFonts w:ascii="Arial" w:cs="Arial" w:eastAsia="Arial" w:hAnsi="Arial"/>
          <w:sz w:val="17"/>
          <w:szCs w:val="17"/>
          <w:color w:val="auto"/>
        </w:rPr>
        <w:t>Double-trigger provisions for change in control</w:t>
      </w:r>
    </w:p>
    <w:p>
      <w:pPr>
        <w:ind w:left="360" w:hanging="254"/>
        <w:spacing w:after="0" w:line="230" w:lineRule="auto"/>
        <w:tabs>
          <w:tab w:leader="none" w:pos="360" w:val="left"/>
        </w:tabs>
        <w:numPr>
          <w:ilvl w:val="0"/>
          <w:numId w:val="11"/>
        </w:numPr>
        <w:rPr>
          <w:rFonts w:ascii="Arial" w:cs="Arial" w:eastAsia="Arial" w:hAnsi="Arial"/>
          <w:sz w:val="17"/>
          <w:szCs w:val="17"/>
          <w:color w:val="002E6D"/>
        </w:rPr>
      </w:pPr>
      <w:r>
        <w:rPr>
          <w:rFonts w:ascii="Arial" w:cs="Arial" w:eastAsia="Arial" w:hAnsi="Arial"/>
          <w:sz w:val="17"/>
          <w:szCs w:val="17"/>
          <w:color w:val="auto"/>
        </w:rPr>
        <w:t>Robust stock ownership requirements</w:t>
      </w:r>
    </w:p>
    <w:p>
      <w:pPr>
        <w:ind w:left="360" w:hanging="254"/>
        <w:spacing w:after="0"/>
        <w:tabs>
          <w:tab w:leader="none" w:pos="360" w:val="left"/>
        </w:tabs>
        <w:numPr>
          <w:ilvl w:val="0"/>
          <w:numId w:val="11"/>
        </w:numPr>
        <w:rPr>
          <w:rFonts w:ascii="Arial" w:cs="Arial" w:eastAsia="Arial" w:hAnsi="Arial"/>
          <w:sz w:val="17"/>
          <w:szCs w:val="17"/>
          <w:color w:val="002E6D"/>
        </w:rPr>
      </w:pPr>
      <w:r>
        <w:rPr>
          <w:rFonts w:ascii="Arial" w:cs="Arial" w:eastAsia="Arial" w:hAnsi="Arial"/>
          <w:sz w:val="17"/>
          <w:szCs w:val="17"/>
          <w:color w:val="auto"/>
        </w:rPr>
        <w:t>Low equity burn rate and dilution</w:t>
      </w:r>
    </w:p>
    <w:p>
      <w:pPr>
        <w:spacing w:after="0" w:line="6" w:lineRule="exact"/>
        <w:rPr>
          <w:rFonts w:ascii="Arial" w:cs="Arial" w:eastAsia="Arial" w:hAnsi="Arial"/>
          <w:sz w:val="17"/>
          <w:szCs w:val="17"/>
          <w:color w:val="002E6D"/>
        </w:rPr>
      </w:pPr>
    </w:p>
    <w:p>
      <w:pPr>
        <w:ind w:left="260" w:hanging="154"/>
        <w:spacing w:after="0" w:line="222" w:lineRule="auto"/>
        <w:tabs>
          <w:tab w:leader="none" w:pos="205" w:val="left"/>
        </w:tabs>
        <w:numPr>
          <w:ilvl w:val="0"/>
          <w:numId w:val="11"/>
        </w:numPr>
        <w:rPr>
          <w:rFonts w:ascii="Arial" w:cs="Arial" w:eastAsia="Arial" w:hAnsi="Arial"/>
          <w:sz w:val="17"/>
          <w:szCs w:val="17"/>
          <w:color w:val="002E6D"/>
        </w:rPr>
      </w:pPr>
      <w:r>
        <w:rPr>
          <w:rFonts w:ascii="Arial" w:cs="Arial" w:eastAsia="Arial" w:hAnsi="Arial"/>
          <w:sz w:val="17"/>
          <w:szCs w:val="17"/>
          <w:color w:val="auto"/>
        </w:rPr>
        <w:t>No payment of dividends or dividend equivalents on unvested equity awards</w:t>
      </w:r>
    </w:p>
    <w:p>
      <w:pPr>
        <w:spacing w:after="0" w:line="1" w:lineRule="exact"/>
        <w:rPr>
          <w:rFonts w:ascii="Arial" w:cs="Arial" w:eastAsia="Arial" w:hAnsi="Arial"/>
          <w:sz w:val="17"/>
          <w:szCs w:val="17"/>
          <w:color w:val="002E6D"/>
        </w:rPr>
      </w:pPr>
    </w:p>
    <w:p>
      <w:pPr>
        <w:ind w:left="260" w:right="460" w:hanging="154"/>
        <w:spacing w:after="0" w:line="232" w:lineRule="auto"/>
        <w:tabs>
          <w:tab w:leader="none" w:pos="225" w:val="left"/>
        </w:tabs>
        <w:numPr>
          <w:ilvl w:val="0"/>
          <w:numId w:val="11"/>
        </w:numPr>
        <w:rPr>
          <w:rFonts w:ascii="Arial" w:cs="Arial" w:eastAsia="Arial" w:hAnsi="Arial"/>
          <w:sz w:val="17"/>
          <w:szCs w:val="17"/>
          <w:color w:val="003478"/>
        </w:rPr>
      </w:pPr>
      <w:r>
        <w:rPr>
          <w:rFonts w:ascii="Arial" w:cs="Arial" w:eastAsia="Arial" w:hAnsi="Arial"/>
          <w:sz w:val="17"/>
          <w:szCs w:val="17"/>
          <w:color w:val="auto"/>
        </w:rPr>
        <w:t>Diversity and inclusion measures included in the strategic and operational goals under our Annual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395605</wp:posOffset>
            </wp:positionV>
            <wp:extent cx="963930" cy="2216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ind w:left="810"/>
        <w:spacing w:after="0"/>
        <w:rPr>
          <w:sz w:val="20"/>
          <w:szCs w:val="20"/>
          <w:color w:val="auto"/>
        </w:rPr>
      </w:pPr>
      <w:r>
        <w:rPr>
          <w:rFonts w:ascii="Arial" w:cs="Arial" w:eastAsia="Arial" w:hAnsi="Arial"/>
          <w:sz w:val="16"/>
          <w:szCs w:val="16"/>
          <w:color w:val="636466"/>
        </w:rPr>
        <w:t>Practices We Do Not Engage In or Allow</w:t>
      </w:r>
    </w:p>
    <w:p>
      <w:pPr>
        <w:spacing w:after="0" w:line="198" w:lineRule="exact"/>
        <w:rPr>
          <w:sz w:val="20"/>
          <w:szCs w:val="20"/>
          <w:color w:val="auto"/>
        </w:rPr>
      </w:pPr>
    </w:p>
    <w:p>
      <w:pPr>
        <w:ind w:left="250" w:hanging="250"/>
        <w:spacing w:after="0"/>
        <w:tabs>
          <w:tab w:leader="none" w:pos="250" w:val="left"/>
        </w:tabs>
        <w:numPr>
          <w:ilvl w:val="0"/>
          <w:numId w:val="12"/>
        </w:numPr>
        <w:rPr>
          <w:rFonts w:ascii="Arial" w:cs="Arial" w:eastAsia="Arial" w:hAnsi="Arial"/>
          <w:sz w:val="17"/>
          <w:szCs w:val="17"/>
          <w:color w:val="002E6D"/>
        </w:rPr>
      </w:pPr>
      <w:r>
        <w:rPr>
          <w:rFonts w:ascii="Arial" w:cs="Arial" w:eastAsia="Arial" w:hAnsi="Arial"/>
          <w:sz w:val="17"/>
          <w:szCs w:val="17"/>
          <w:color w:val="auto"/>
        </w:rPr>
        <w:t>No employment agreements</w:t>
      </w:r>
    </w:p>
    <w:p>
      <w:pPr>
        <w:spacing w:after="0" w:line="6" w:lineRule="exact"/>
        <w:rPr>
          <w:rFonts w:ascii="Arial" w:cs="Arial" w:eastAsia="Arial" w:hAnsi="Arial"/>
          <w:sz w:val="17"/>
          <w:szCs w:val="17"/>
          <w:color w:val="002E6D"/>
        </w:rPr>
      </w:pPr>
    </w:p>
    <w:p>
      <w:pPr>
        <w:ind w:left="170" w:right="100" w:hanging="170"/>
        <w:spacing w:after="0" w:line="222" w:lineRule="auto"/>
        <w:tabs>
          <w:tab w:leader="none" w:pos="258" w:val="left"/>
        </w:tabs>
        <w:numPr>
          <w:ilvl w:val="0"/>
          <w:numId w:val="12"/>
        </w:numPr>
        <w:rPr>
          <w:rFonts w:ascii="Arial" w:cs="Arial" w:eastAsia="Arial" w:hAnsi="Arial"/>
          <w:sz w:val="17"/>
          <w:szCs w:val="17"/>
          <w:color w:val="002E6D"/>
        </w:rPr>
      </w:pPr>
      <w:r>
        <w:rPr>
          <w:rFonts w:ascii="Arial" w:cs="Arial" w:eastAsia="Arial" w:hAnsi="Arial"/>
          <w:sz w:val="17"/>
          <w:szCs w:val="17"/>
          <w:color w:val="auto"/>
        </w:rPr>
        <w:t>No option backdating, cash-out of underwater options or repricing (no employee options granted since 2012)</w:t>
      </w:r>
    </w:p>
    <w:p>
      <w:pPr>
        <w:spacing w:after="0" w:line="1" w:lineRule="exact"/>
        <w:rPr>
          <w:rFonts w:ascii="Arial" w:cs="Arial" w:eastAsia="Arial" w:hAnsi="Arial"/>
          <w:sz w:val="17"/>
          <w:szCs w:val="17"/>
          <w:color w:val="002E6D"/>
        </w:rPr>
      </w:pPr>
    </w:p>
    <w:p>
      <w:pPr>
        <w:ind w:left="250" w:hanging="250"/>
        <w:spacing w:after="0" w:line="230" w:lineRule="auto"/>
        <w:tabs>
          <w:tab w:leader="none" w:pos="250" w:val="left"/>
        </w:tabs>
        <w:numPr>
          <w:ilvl w:val="0"/>
          <w:numId w:val="12"/>
        </w:numPr>
        <w:rPr>
          <w:rFonts w:ascii="Arial" w:cs="Arial" w:eastAsia="Arial" w:hAnsi="Arial"/>
          <w:sz w:val="17"/>
          <w:szCs w:val="17"/>
          <w:color w:val="002E6D"/>
        </w:rPr>
      </w:pPr>
      <w:r>
        <w:rPr>
          <w:rFonts w:ascii="Arial" w:cs="Arial" w:eastAsia="Arial" w:hAnsi="Arial"/>
          <w:sz w:val="17"/>
          <w:szCs w:val="17"/>
          <w:color w:val="auto"/>
        </w:rPr>
        <w:t>No excise tax assistance (gross-ups) upon a change in control</w:t>
      </w:r>
    </w:p>
    <w:p>
      <w:pPr>
        <w:ind w:left="250" w:hanging="250"/>
        <w:spacing w:after="0"/>
        <w:tabs>
          <w:tab w:leader="none" w:pos="250" w:val="left"/>
        </w:tabs>
        <w:numPr>
          <w:ilvl w:val="0"/>
          <w:numId w:val="12"/>
        </w:numPr>
        <w:rPr>
          <w:rFonts w:ascii="Arial" w:cs="Arial" w:eastAsia="Arial" w:hAnsi="Arial"/>
          <w:sz w:val="17"/>
          <w:szCs w:val="17"/>
          <w:color w:val="002E6D"/>
        </w:rPr>
      </w:pPr>
      <w:r>
        <w:rPr>
          <w:rFonts w:ascii="Arial" w:cs="Arial" w:eastAsia="Arial" w:hAnsi="Arial"/>
          <w:sz w:val="17"/>
          <w:szCs w:val="17"/>
          <w:color w:val="auto"/>
        </w:rPr>
        <w:t>No tax gross-ups on personal use of corporate aircraft</w:t>
      </w:r>
    </w:p>
    <w:p>
      <w:pPr>
        <w:spacing w:after="0" w:line="6" w:lineRule="exact"/>
        <w:rPr>
          <w:rFonts w:ascii="Arial" w:cs="Arial" w:eastAsia="Arial" w:hAnsi="Arial"/>
          <w:sz w:val="17"/>
          <w:szCs w:val="17"/>
          <w:color w:val="002E6D"/>
        </w:rPr>
      </w:pPr>
    </w:p>
    <w:p>
      <w:pPr>
        <w:ind w:left="250" w:hanging="250"/>
        <w:spacing w:after="0" w:line="230" w:lineRule="auto"/>
        <w:tabs>
          <w:tab w:leader="none" w:pos="250" w:val="left"/>
        </w:tabs>
        <w:numPr>
          <w:ilvl w:val="0"/>
          <w:numId w:val="12"/>
        </w:numPr>
        <w:rPr>
          <w:rFonts w:ascii="Arial" w:cs="Arial" w:eastAsia="Arial" w:hAnsi="Arial"/>
          <w:sz w:val="17"/>
          <w:szCs w:val="17"/>
          <w:color w:val="002E6D"/>
        </w:rPr>
      </w:pPr>
      <w:r>
        <w:rPr>
          <w:rFonts w:ascii="Arial" w:cs="Arial" w:eastAsia="Arial" w:hAnsi="Arial"/>
          <w:sz w:val="17"/>
          <w:szCs w:val="17"/>
          <w:color w:val="auto"/>
        </w:rPr>
        <w:t>No individual change in control agreements</w:t>
      </w:r>
    </w:p>
    <w:p>
      <w:pPr>
        <w:ind w:left="170" w:right="360" w:hanging="170"/>
        <w:spacing w:after="0" w:line="222" w:lineRule="auto"/>
        <w:tabs>
          <w:tab w:leader="none" w:pos="258" w:val="left"/>
        </w:tabs>
        <w:numPr>
          <w:ilvl w:val="0"/>
          <w:numId w:val="12"/>
        </w:numPr>
        <w:rPr>
          <w:rFonts w:ascii="Arial" w:cs="Arial" w:eastAsia="Arial" w:hAnsi="Arial"/>
          <w:sz w:val="17"/>
          <w:szCs w:val="17"/>
          <w:color w:val="002E6D"/>
        </w:rPr>
      </w:pPr>
      <w:r>
        <w:rPr>
          <w:rFonts w:ascii="Arial" w:cs="Arial" w:eastAsia="Arial" w:hAnsi="Arial"/>
          <w:sz w:val="17"/>
          <w:szCs w:val="17"/>
          <w:color w:val="auto"/>
        </w:rPr>
        <w:t>No automatic acceleration of unvested incentive awards in the event of termination</w:t>
      </w:r>
    </w:p>
    <w:p>
      <w:pPr>
        <w:spacing w:after="0" w:line="1" w:lineRule="exact"/>
        <w:rPr>
          <w:rFonts w:ascii="Arial" w:cs="Arial" w:eastAsia="Arial" w:hAnsi="Arial"/>
          <w:sz w:val="17"/>
          <w:szCs w:val="17"/>
          <w:color w:val="002E6D"/>
        </w:rPr>
      </w:pPr>
    </w:p>
    <w:p>
      <w:pPr>
        <w:ind w:left="170" w:right="720" w:hanging="170"/>
        <w:spacing w:after="0" w:line="230" w:lineRule="auto"/>
        <w:tabs>
          <w:tab w:leader="none" w:pos="258" w:val="left"/>
        </w:tabs>
        <w:numPr>
          <w:ilvl w:val="0"/>
          <w:numId w:val="12"/>
        </w:numPr>
        <w:rPr>
          <w:rFonts w:ascii="Arial" w:cs="Arial" w:eastAsia="Arial" w:hAnsi="Arial"/>
          <w:sz w:val="17"/>
          <w:szCs w:val="17"/>
          <w:color w:val="002E6D"/>
        </w:rPr>
      </w:pPr>
      <w:r>
        <w:rPr>
          <w:rFonts w:ascii="Arial" w:cs="Arial" w:eastAsia="Arial" w:hAnsi="Arial"/>
          <w:sz w:val="17"/>
          <w:szCs w:val="17"/>
          <w:color w:val="auto"/>
        </w:rPr>
        <w:t>No enhanced retirement formula or inclusion of long-term incentives in pensions</w:t>
      </w:r>
    </w:p>
    <w:p>
      <w:pPr>
        <w:spacing w:after="0" w:line="1" w:lineRule="exact"/>
        <w:rPr>
          <w:rFonts w:ascii="Arial" w:cs="Arial" w:eastAsia="Arial" w:hAnsi="Arial"/>
          <w:sz w:val="17"/>
          <w:szCs w:val="17"/>
          <w:color w:val="002E6D"/>
        </w:rPr>
      </w:pPr>
    </w:p>
    <w:p>
      <w:pPr>
        <w:ind w:left="250" w:hanging="250"/>
        <w:spacing w:after="0" w:line="230" w:lineRule="auto"/>
        <w:tabs>
          <w:tab w:leader="none" w:pos="250" w:val="left"/>
        </w:tabs>
        <w:numPr>
          <w:ilvl w:val="0"/>
          <w:numId w:val="12"/>
        </w:numPr>
        <w:rPr>
          <w:rFonts w:ascii="Arial" w:cs="Arial" w:eastAsia="Arial" w:hAnsi="Arial"/>
          <w:sz w:val="17"/>
          <w:szCs w:val="17"/>
          <w:color w:val="002E6D"/>
        </w:rPr>
      </w:pPr>
      <w:r>
        <w:rPr>
          <w:rFonts w:ascii="Arial" w:cs="Arial" w:eastAsia="Arial" w:hAnsi="Arial"/>
          <w:sz w:val="17"/>
          <w:szCs w:val="17"/>
          <w:color w:val="auto"/>
        </w:rPr>
        <w:t>No enhanced death benefits for executives</w:t>
      </w:r>
    </w:p>
    <w:p>
      <w:pPr>
        <w:ind w:left="250" w:hanging="250"/>
        <w:spacing w:after="0"/>
        <w:tabs>
          <w:tab w:leader="none" w:pos="250" w:val="left"/>
        </w:tabs>
        <w:numPr>
          <w:ilvl w:val="0"/>
          <w:numId w:val="12"/>
        </w:numPr>
        <w:rPr>
          <w:rFonts w:ascii="Arial" w:cs="Arial" w:eastAsia="Arial" w:hAnsi="Arial"/>
          <w:sz w:val="17"/>
          <w:szCs w:val="17"/>
          <w:color w:val="002E6D"/>
        </w:rPr>
      </w:pPr>
      <w:r>
        <w:rPr>
          <w:rFonts w:ascii="Arial" w:cs="Arial" w:eastAsia="Arial" w:hAnsi="Arial"/>
          <w:sz w:val="17"/>
          <w:szCs w:val="17"/>
          <w:color w:val="auto"/>
        </w:rPr>
        <w:t>No hedging or pledging of Company stock</w:t>
      </w:r>
    </w:p>
    <w:p>
      <w:pPr>
        <w:spacing w:after="0" w:line="382" w:lineRule="exact"/>
        <w:rPr>
          <w:sz w:val="20"/>
          <w:szCs w:val="20"/>
          <w:color w:val="auto"/>
        </w:rPr>
      </w:pPr>
    </w:p>
    <w:p>
      <w:pPr>
        <w:sectPr>
          <w:pgSz w:w="11900" w:h="16838" w:orient="portrait"/>
          <w:cols w:equalWidth="0" w:num="2">
            <w:col w:w="5340" w:space="450"/>
            <w:col w:w="5270"/>
          </w:cols>
          <w:pgMar w:left="320" w:top="254" w:right="519" w:bottom="1440" w:gutter="0" w:footer="0" w:header="0"/>
          <w:type w:val="continuous"/>
        </w:sectPr>
      </w:pP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5</w:t>
      </w:r>
    </w:p>
    <w:p>
      <w:pPr>
        <w:sectPr>
          <w:pgSz w:w="11900" w:h="16838" w:orient="portrait"/>
          <w:cols w:equalWidth="0" w:num="1">
            <w:col w:w="11060"/>
          </w:cols>
          <w:pgMar w:left="320" w:top="254" w:right="519" w:bottom="1440" w:gutter="0" w:footer="0" w:header="0"/>
          <w:type w:val="continuous"/>
        </w:sectPr>
      </w:pPr>
    </w:p>
    <w:bookmarkStart w:id="11" w:name="page12"/>
    <w:bookmarkEnd w:id="11"/>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Proxy Statement Summary</w:t>
      </w:r>
    </w:p>
    <w:p>
      <w:pPr>
        <w:sectPr>
          <w:pgSz w:w="11900" w:h="16838" w:orient="portrait"/>
          <w:cols w:equalWidth="0" w:num="1">
            <w:col w:w="11240"/>
          </w:cols>
          <w:pgMar w:left="320" w:top="254" w:right="339" w:bottom="108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29"/>
          <w:szCs w:val="29"/>
          <w:color w:val="003478"/>
        </w:rPr>
        <w:t>Sustainability</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25"/>
          <w:szCs w:val="25"/>
          <w:color w:val="818EB4"/>
        </w:rPr>
        <w:t>Sustainability Mission</w:t>
      </w:r>
    </w:p>
    <w:p>
      <w:pPr>
        <w:spacing w:after="0" w:line="127" w:lineRule="exact"/>
        <w:rPr>
          <w:sz w:val="20"/>
          <w:szCs w:val="20"/>
          <w:color w:val="auto"/>
        </w:rPr>
      </w:pPr>
    </w:p>
    <w:p>
      <w:pPr>
        <w:ind w:left="20" w:right="560"/>
        <w:spacing w:after="0" w:line="275" w:lineRule="auto"/>
        <w:rPr>
          <w:sz w:val="20"/>
          <w:szCs w:val="20"/>
          <w:color w:val="auto"/>
        </w:rPr>
      </w:pPr>
      <w:r>
        <w:rPr>
          <w:rFonts w:ascii="Arial" w:cs="Arial" w:eastAsia="Arial" w:hAnsi="Arial"/>
          <w:sz w:val="18"/>
          <w:szCs w:val="18"/>
          <w:color w:val="auto"/>
        </w:rPr>
        <w:t>Our sustainability mission is to foster innovation, integrity and security to protect the environment, strengthen communities and propel responsible growth.</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25"/>
          <w:szCs w:val="25"/>
          <w:color w:val="818EB4"/>
        </w:rPr>
        <w:t>Sustainability Governance Structure</w:t>
      </w:r>
    </w:p>
    <w:p>
      <w:pPr>
        <w:spacing w:after="0" w:line="121" w:lineRule="exact"/>
        <w:rPr>
          <w:sz w:val="20"/>
          <w:szCs w:val="20"/>
          <w:color w:val="auto"/>
        </w:rPr>
      </w:pPr>
    </w:p>
    <w:p>
      <w:pPr>
        <w:ind w:left="20"/>
        <w:spacing w:after="0" w:line="265" w:lineRule="auto"/>
        <w:rPr>
          <w:sz w:val="20"/>
          <w:szCs w:val="20"/>
          <w:color w:val="auto"/>
        </w:rPr>
      </w:pPr>
      <w:r>
        <w:rPr>
          <w:rFonts w:ascii="Arial" w:cs="Arial" w:eastAsia="Arial" w:hAnsi="Arial"/>
          <w:sz w:val="17"/>
          <w:szCs w:val="17"/>
          <w:color w:val="auto"/>
        </w:rPr>
        <w:t>We take an integrated approach to managing corporate culture, ethics and business integrity, governance, and sustainability issues through a risk management lens. Oversight of ESG matters follows our formal sustainability governance structure. This structure includes our Nominating and Corporate Governance Committee (Governance Committee), the Sustainability Leadership Council and the Sustainability Management Team, that guide and implement our Sustainability Management Plan (SMP). The Governance Committee is chartered by the Board of Directors to lead its oversight responsibilities relating to the Company’s ethical conduct, human rights, environmental stewardship, corporate culture, philanthropy, workforce diversity, health and safety.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3" w:lineRule="exact"/>
        <w:rPr>
          <w:sz w:val="20"/>
          <w:szCs w:val="20"/>
          <w:color w:val="auto"/>
        </w:rPr>
      </w:pPr>
    </w:p>
    <w:p>
      <w:pPr>
        <w:ind w:left="20" w:right="80"/>
        <w:spacing w:after="0" w:line="284" w:lineRule="auto"/>
        <w:rPr>
          <w:sz w:val="20"/>
          <w:szCs w:val="20"/>
          <w:color w:val="auto"/>
        </w:rPr>
      </w:pPr>
      <w:r>
        <w:rPr>
          <w:rFonts w:ascii="Arial" w:cs="Arial" w:eastAsia="Arial" w:hAnsi="Arial"/>
          <w:sz w:val="25"/>
          <w:szCs w:val="25"/>
          <w:b w:val="1"/>
          <w:bCs w:val="1"/>
          <w:color w:val="818EB4"/>
        </w:rPr>
        <w:t>Our Sustainability Governance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48260</wp:posOffset>
            </wp:positionV>
            <wp:extent cx="23888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388870" cy="8255"/>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shd w:val="clear" w:color="auto" w:fill="E4E6EF"/>
          </w:tcPr>
          <w:p>
            <w:pPr>
              <w:ind w:left="40"/>
              <w:spacing w:after="0"/>
              <w:rPr>
                <w:sz w:val="20"/>
                <w:szCs w:val="20"/>
                <w:color w:val="auto"/>
              </w:rPr>
            </w:pPr>
            <w:r>
              <w:rPr>
                <w:rFonts w:ascii="Arial" w:cs="Arial" w:eastAsia="Arial" w:hAnsi="Arial"/>
                <w:sz w:val="13"/>
                <w:szCs w:val="13"/>
                <w:color w:val="auto"/>
              </w:rPr>
              <w:t>Monitors the Company’s</w:t>
            </w: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shd w:val="clear" w:color="auto" w:fill="E4E6EF"/>
          </w:tcPr>
          <w:p>
            <w:pPr>
              <w:ind w:left="40"/>
              <w:spacing w:after="0" w:line="148" w:lineRule="exact"/>
              <w:rPr>
                <w:sz w:val="20"/>
                <w:szCs w:val="20"/>
                <w:color w:val="auto"/>
              </w:rPr>
            </w:pPr>
            <w:r>
              <w:rPr>
                <w:rFonts w:ascii="Arial" w:cs="Arial" w:eastAsia="Arial" w:hAnsi="Arial"/>
                <w:sz w:val="13"/>
                <w:szCs w:val="13"/>
                <w:color w:val="auto"/>
              </w:rPr>
              <w:t>adherence to our Code of</w:t>
            </w:r>
          </w:p>
        </w:tc>
        <w:tc>
          <w:tcPr>
            <w:tcW w:w="0" w:type="dxa"/>
            <w:vAlign w:val="bottom"/>
          </w:tcPr>
          <w:p>
            <w:pPr>
              <w:spacing w:after="0"/>
              <w:rPr>
                <w:sz w:val="1"/>
                <w:szCs w:val="1"/>
                <w:color w:val="auto"/>
              </w:rPr>
            </w:pPr>
          </w:p>
        </w:tc>
      </w:tr>
      <w:tr>
        <w:trPr>
          <w:trHeight w:val="148"/>
        </w:trPr>
        <w:tc>
          <w:tcPr>
            <w:tcW w:w="1940" w:type="dxa"/>
            <w:vAlign w:val="bottom"/>
            <w:gridSpan w:val="2"/>
            <w:vMerge w:val="restart"/>
          </w:tcPr>
          <w:p>
            <w:pPr>
              <w:ind w:left="20"/>
              <w:spacing w:after="0"/>
              <w:rPr>
                <w:sz w:val="20"/>
                <w:szCs w:val="20"/>
                <w:color w:val="auto"/>
              </w:rPr>
            </w:pPr>
            <w:r>
              <w:rPr>
                <w:rFonts w:ascii="Arial" w:cs="Arial" w:eastAsia="Arial" w:hAnsi="Arial"/>
                <w:sz w:val="16"/>
                <w:szCs w:val="16"/>
                <w:color w:val="002E6D"/>
              </w:rPr>
              <w:t>Board of</w:t>
            </w:r>
          </w:p>
        </w:tc>
        <w:tc>
          <w:tcPr>
            <w:tcW w:w="1820" w:type="dxa"/>
            <w:vAlign w:val="bottom"/>
            <w:shd w:val="clear" w:color="auto" w:fill="E4E6EF"/>
          </w:tcPr>
          <w:p>
            <w:pPr>
              <w:ind w:left="40"/>
              <w:spacing w:after="0" w:line="148" w:lineRule="exact"/>
              <w:rPr>
                <w:sz w:val="20"/>
                <w:szCs w:val="20"/>
                <w:color w:val="auto"/>
              </w:rPr>
            </w:pPr>
            <w:r>
              <w:rPr>
                <w:rFonts w:ascii="Arial" w:cs="Arial" w:eastAsia="Arial" w:hAnsi="Arial"/>
                <w:sz w:val="13"/>
                <w:szCs w:val="13"/>
                <w:color w:val="auto"/>
              </w:rPr>
              <w:t>Ethics and Business Conduct</w:t>
            </w:r>
          </w:p>
        </w:tc>
        <w:tc>
          <w:tcPr>
            <w:tcW w:w="0" w:type="dxa"/>
            <w:vAlign w:val="bottom"/>
          </w:tcPr>
          <w:p>
            <w:pPr>
              <w:spacing w:after="0"/>
              <w:rPr>
                <w:sz w:val="1"/>
                <w:szCs w:val="1"/>
                <w:color w:val="auto"/>
              </w:rPr>
            </w:pPr>
          </w:p>
        </w:tc>
      </w:tr>
      <w:tr>
        <w:trPr>
          <w:trHeight w:val="129"/>
        </w:trPr>
        <w:tc>
          <w:tcPr>
            <w:tcW w:w="1940" w:type="dxa"/>
            <w:vAlign w:val="bottom"/>
            <w:gridSpan w:val="2"/>
            <w:vMerge w:val="continue"/>
          </w:tcPr>
          <w:p>
            <w:pPr>
              <w:spacing w:after="0"/>
              <w:rPr>
                <w:sz w:val="11"/>
                <w:szCs w:val="11"/>
                <w:color w:val="auto"/>
              </w:rPr>
            </w:pPr>
          </w:p>
        </w:tc>
        <w:tc>
          <w:tcPr>
            <w:tcW w:w="1820" w:type="dxa"/>
            <w:vAlign w:val="bottom"/>
            <w:shd w:val="clear" w:color="auto" w:fill="E4E6EF"/>
          </w:tcPr>
          <w:p>
            <w:pPr>
              <w:ind w:left="40"/>
              <w:spacing w:after="0" w:line="129" w:lineRule="exact"/>
              <w:rPr>
                <w:sz w:val="20"/>
                <w:szCs w:val="20"/>
                <w:color w:val="auto"/>
              </w:rPr>
            </w:pPr>
            <w:r>
              <w:rPr>
                <w:rFonts w:ascii="Arial" w:cs="Arial" w:eastAsia="Arial" w:hAnsi="Arial"/>
                <w:sz w:val="13"/>
                <w:szCs w:val="13"/>
                <w:color w:val="auto"/>
              </w:rPr>
              <w:t>and oversees performance in</w:t>
            </w:r>
          </w:p>
        </w:tc>
        <w:tc>
          <w:tcPr>
            <w:tcW w:w="0" w:type="dxa"/>
            <w:vAlign w:val="bottom"/>
          </w:tcPr>
          <w:p>
            <w:pPr>
              <w:spacing w:after="0"/>
              <w:rPr>
                <w:sz w:val="1"/>
                <w:szCs w:val="1"/>
                <w:color w:val="auto"/>
              </w:rPr>
            </w:pPr>
          </w:p>
        </w:tc>
      </w:tr>
      <w:tr>
        <w:trPr>
          <w:trHeight w:val="167"/>
        </w:trPr>
        <w:tc>
          <w:tcPr>
            <w:tcW w:w="1940" w:type="dxa"/>
            <w:vAlign w:val="bottom"/>
            <w:gridSpan w:val="2"/>
          </w:tcPr>
          <w:p>
            <w:pPr>
              <w:ind w:left="20"/>
              <w:spacing w:after="0" w:line="167" w:lineRule="exact"/>
              <w:rPr>
                <w:sz w:val="20"/>
                <w:szCs w:val="20"/>
                <w:color w:val="auto"/>
              </w:rPr>
            </w:pPr>
            <w:r>
              <w:rPr>
                <w:rFonts w:ascii="Arial" w:cs="Arial" w:eastAsia="Arial" w:hAnsi="Arial"/>
                <w:sz w:val="16"/>
                <w:szCs w:val="16"/>
                <w:color w:val="002E6D"/>
              </w:rPr>
              <w:t>Directors</w:t>
            </w:r>
          </w:p>
        </w:tc>
        <w:tc>
          <w:tcPr>
            <w:tcW w:w="1820" w:type="dxa"/>
            <w:vAlign w:val="bottom"/>
            <w:shd w:val="clear" w:color="auto" w:fill="E4E6EF"/>
          </w:tcPr>
          <w:p>
            <w:pPr>
              <w:ind w:left="40"/>
              <w:spacing w:after="0"/>
              <w:rPr>
                <w:sz w:val="20"/>
                <w:szCs w:val="20"/>
                <w:color w:val="auto"/>
              </w:rPr>
            </w:pPr>
            <w:r>
              <w:rPr>
                <w:rFonts w:ascii="Arial" w:cs="Arial" w:eastAsia="Arial" w:hAnsi="Arial"/>
                <w:sz w:val="13"/>
                <w:szCs w:val="13"/>
                <w:color w:val="auto"/>
              </w:rPr>
              <w:t>corporate sustainability,</w:t>
            </w: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shd w:val="clear" w:color="auto" w:fill="E4E6EF"/>
          </w:tcPr>
          <w:p>
            <w:pPr>
              <w:ind w:left="40"/>
              <w:spacing w:after="0" w:line="148" w:lineRule="exact"/>
              <w:rPr>
                <w:sz w:val="20"/>
                <w:szCs w:val="20"/>
                <w:color w:val="auto"/>
              </w:rPr>
            </w:pPr>
            <w:r>
              <w:rPr>
                <w:rFonts w:ascii="Arial" w:cs="Arial" w:eastAsia="Arial" w:hAnsi="Arial"/>
                <w:sz w:val="13"/>
                <w:szCs w:val="13"/>
                <w:color w:val="auto"/>
              </w:rPr>
              <w:t>employee safety and health,</w:t>
            </w: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shd w:val="clear" w:color="auto" w:fill="E4E6EF"/>
          </w:tcPr>
          <w:p>
            <w:pPr>
              <w:ind w:left="40"/>
              <w:spacing w:after="0" w:line="148" w:lineRule="exact"/>
              <w:rPr>
                <w:sz w:val="20"/>
                <w:szCs w:val="20"/>
                <w:color w:val="auto"/>
              </w:rPr>
            </w:pPr>
            <w:r>
              <w:rPr>
                <w:rFonts w:ascii="Arial" w:cs="Arial" w:eastAsia="Arial" w:hAnsi="Arial"/>
                <w:sz w:val="13"/>
                <w:szCs w:val="13"/>
                <w:color w:val="auto"/>
              </w:rPr>
              <w:t>ethical business practices and</w:t>
            </w:r>
          </w:p>
        </w:tc>
        <w:tc>
          <w:tcPr>
            <w:tcW w:w="0" w:type="dxa"/>
            <w:vAlign w:val="bottom"/>
          </w:tcPr>
          <w:p>
            <w:pPr>
              <w:spacing w:after="0"/>
              <w:rPr>
                <w:sz w:val="1"/>
                <w:szCs w:val="1"/>
                <w:color w:val="auto"/>
              </w:rPr>
            </w:pPr>
          </w:p>
        </w:tc>
      </w:tr>
      <w:tr>
        <w:trPr>
          <w:trHeight w:val="149"/>
        </w:trPr>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shd w:val="clear" w:color="auto" w:fill="E4E6EF"/>
          </w:tcPr>
          <w:p>
            <w:pPr>
              <w:ind w:left="40"/>
              <w:spacing w:after="0"/>
              <w:rPr>
                <w:sz w:val="20"/>
                <w:szCs w:val="20"/>
                <w:color w:val="auto"/>
              </w:rPr>
            </w:pPr>
            <w:r>
              <w:rPr>
                <w:rFonts w:ascii="Arial" w:cs="Arial" w:eastAsia="Arial" w:hAnsi="Arial"/>
                <w:sz w:val="13"/>
                <w:szCs w:val="13"/>
                <w:color w:val="auto"/>
              </w:rPr>
              <w:t>diversity and inclusion.</w:t>
            </w:r>
          </w:p>
        </w:tc>
        <w:tc>
          <w:tcPr>
            <w:tcW w:w="0" w:type="dxa"/>
            <w:vAlign w:val="bottom"/>
          </w:tcPr>
          <w:p>
            <w:pPr>
              <w:spacing w:after="0"/>
              <w:rPr>
                <w:sz w:val="1"/>
                <w:szCs w:val="1"/>
                <w:color w:val="auto"/>
              </w:rPr>
            </w:pPr>
          </w:p>
        </w:tc>
      </w:tr>
      <w:tr>
        <w:trPr>
          <w:trHeight w:val="300"/>
        </w:trPr>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shd w:val="clear" w:color="auto" w:fill="E4E6EF"/>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820" w:type="dxa"/>
            <w:vAlign w:val="bottom"/>
            <w:tcBorders>
              <w:bottom w:val="single" w:sz="8" w:color="939598"/>
            </w:tcBorders>
          </w:tcPr>
          <w:p>
            <w:pPr>
              <w:spacing w:after="0"/>
              <w:rPr>
                <w:sz w:val="4"/>
                <w:szCs w:val="4"/>
                <w:color w:val="auto"/>
              </w:rPr>
            </w:pPr>
          </w:p>
        </w:tc>
        <w:tc>
          <w:tcPr>
            <w:tcW w:w="120" w:type="dxa"/>
            <w:vAlign w:val="bottom"/>
          </w:tcPr>
          <w:p>
            <w:pPr>
              <w:spacing w:after="0"/>
              <w:rPr>
                <w:sz w:val="4"/>
                <w:szCs w:val="4"/>
                <w:color w:val="auto"/>
              </w:rPr>
            </w:pPr>
          </w:p>
        </w:tc>
        <w:tc>
          <w:tcPr>
            <w:tcW w:w="1820" w:type="dxa"/>
            <w:vAlign w:val="bottom"/>
            <w:tcBorders>
              <w:bottom w:val="single" w:sz="8" w:color="939598"/>
            </w:tcBorders>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1940" w:type="dxa"/>
            <w:vAlign w:val="bottom"/>
            <w:gridSpan w:val="2"/>
            <w:vMerge w:val="restart"/>
          </w:tcPr>
          <w:p>
            <w:pPr>
              <w:ind w:left="20"/>
              <w:spacing w:after="0"/>
              <w:rPr>
                <w:sz w:val="20"/>
                <w:szCs w:val="20"/>
                <w:color w:val="auto"/>
              </w:rPr>
            </w:pPr>
            <w:r>
              <w:rPr>
                <w:rFonts w:ascii="Arial" w:cs="Arial" w:eastAsia="Arial" w:hAnsi="Arial"/>
                <w:sz w:val="13"/>
                <w:szCs w:val="13"/>
                <w:color w:val="auto"/>
              </w:rPr>
              <w:t>Chairman, President and CEO</w:t>
            </w:r>
          </w:p>
        </w:tc>
        <w:tc>
          <w:tcPr>
            <w:tcW w:w="1820" w:type="dxa"/>
            <w:vAlign w:val="bottom"/>
          </w:tcPr>
          <w:p>
            <w:pPr>
              <w:ind w:left="20"/>
              <w:spacing w:after="0"/>
              <w:rPr>
                <w:sz w:val="20"/>
                <w:szCs w:val="20"/>
                <w:color w:val="auto"/>
              </w:rPr>
            </w:pPr>
            <w:r>
              <w:rPr>
                <w:rFonts w:ascii="Arial" w:cs="Arial" w:eastAsia="Arial" w:hAnsi="Arial"/>
                <w:sz w:val="13"/>
                <w:szCs w:val="13"/>
                <w:color w:val="auto"/>
              </w:rPr>
              <w:t>Nominating and Corporate</w:t>
            </w:r>
          </w:p>
        </w:tc>
        <w:tc>
          <w:tcPr>
            <w:tcW w:w="0" w:type="dxa"/>
            <w:vAlign w:val="bottom"/>
          </w:tcPr>
          <w:p>
            <w:pPr>
              <w:spacing w:after="0"/>
              <w:rPr>
                <w:sz w:val="1"/>
                <w:szCs w:val="1"/>
                <w:color w:val="auto"/>
              </w:rPr>
            </w:pPr>
          </w:p>
        </w:tc>
      </w:tr>
      <w:tr>
        <w:trPr>
          <w:trHeight w:val="82"/>
        </w:trPr>
        <w:tc>
          <w:tcPr>
            <w:tcW w:w="1940" w:type="dxa"/>
            <w:vAlign w:val="bottom"/>
            <w:gridSpan w:val="2"/>
            <w:vMerge w:val="continue"/>
          </w:tcPr>
          <w:p>
            <w:pPr>
              <w:spacing w:after="0"/>
              <w:rPr>
                <w:sz w:val="7"/>
                <w:szCs w:val="7"/>
                <w:color w:val="auto"/>
              </w:rPr>
            </w:pPr>
          </w:p>
        </w:tc>
        <w:tc>
          <w:tcPr>
            <w:tcW w:w="1820" w:type="dxa"/>
            <w:vAlign w:val="bottom"/>
            <w:vMerge w:val="restart"/>
          </w:tcPr>
          <w:p>
            <w:pPr>
              <w:ind w:left="20"/>
              <w:spacing w:after="0"/>
              <w:rPr>
                <w:sz w:val="20"/>
                <w:szCs w:val="20"/>
                <w:color w:val="auto"/>
              </w:rPr>
            </w:pPr>
            <w:r>
              <w:rPr>
                <w:rFonts w:ascii="Arial" w:cs="Arial" w:eastAsia="Arial" w:hAnsi="Arial"/>
                <w:sz w:val="13"/>
                <w:szCs w:val="13"/>
                <w:color w:val="auto"/>
              </w:rPr>
              <w:t>Governance Committee</w:t>
            </w:r>
          </w:p>
        </w:tc>
        <w:tc>
          <w:tcPr>
            <w:tcW w:w="0" w:type="dxa"/>
            <w:vAlign w:val="bottom"/>
          </w:tcPr>
          <w:p>
            <w:pPr>
              <w:spacing w:after="0"/>
              <w:rPr>
                <w:sz w:val="1"/>
                <w:szCs w:val="1"/>
                <w:color w:val="auto"/>
              </w:rPr>
            </w:pPr>
          </w:p>
        </w:tc>
      </w:tr>
      <w:tr>
        <w:trPr>
          <w:trHeight w:val="67"/>
        </w:trPr>
        <w:tc>
          <w:tcPr>
            <w:tcW w:w="1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-1285240</wp:posOffset>
            </wp:positionV>
            <wp:extent cx="443865" cy="1790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43865" cy="1790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198755</wp:posOffset>
            </wp:positionV>
            <wp:extent cx="1928495" cy="3841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928495" cy="384175"/>
                    </a:xfrm>
                    <a:prstGeom prst="rect">
                      <a:avLst/>
                    </a:prstGeom>
                    <a:noFill/>
                  </pic:spPr>
                </pic:pic>
              </a:graphicData>
            </a:graphic>
          </wp:anchor>
        </w:drawing>
      </w:r>
    </w:p>
    <w:p>
      <w:pPr>
        <w:spacing w:after="0" w:line="1134" w:lineRule="exact"/>
        <w:rPr>
          <w:sz w:val="20"/>
          <w:szCs w:val="20"/>
          <w:color w:val="auto"/>
        </w:rPr>
      </w:pPr>
    </w:p>
    <w:p>
      <w:pPr>
        <w:sectPr>
          <w:pgSz w:w="11900" w:h="16838" w:orient="portrait"/>
          <w:cols w:equalWidth="0" w:num="2">
            <w:col w:w="7200" w:space="280"/>
            <w:col w:w="3760"/>
          </w:cols>
          <w:pgMar w:left="320" w:top="254" w:right="339" w:bottom="1087" w:gutter="0" w:footer="0" w:header="0"/>
          <w:type w:val="continuous"/>
        </w:sectPr>
      </w:pPr>
    </w:p>
    <w:p>
      <w:pPr>
        <w:ind w:left="20"/>
        <w:spacing w:after="0"/>
        <w:rPr>
          <w:sz w:val="20"/>
          <w:szCs w:val="20"/>
          <w:color w:val="auto"/>
        </w:rPr>
      </w:pPr>
      <w:r>
        <w:rPr>
          <w:rFonts w:ascii="Arial" w:cs="Arial" w:eastAsia="Arial" w:hAnsi="Arial"/>
          <w:sz w:val="25"/>
          <w:szCs w:val="25"/>
          <w:color w:val="818EB4"/>
        </w:rPr>
        <w:t>Relevant Issues and Strategic Priorities</w:t>
      </w:r>
    </w:p>
    <w:p>
      <w:pPr>
        <w:spacing w:after="0" w:line="121" w:lineRule="exact"/>
        <w:rPr>
          <w:sz w:val="20"/>
          <w:szCs w:val="20"/>
          <w:color w:val="auto"/>
        </w:rPr>
      </w:pPr>
    </w:p>
    <w:p>
      <w:pPr>
        <w:ind w:left="20"/>
        <w:spacing w:after="0" w:line="266" w:lineRule="auto"/>
        <w:rPr>
          <w:sz w:val="20"/>
          <w:szCs w:val="20"/>
          <w:color w:val="auto"/>
        </w:rPr>
      </w:pPr>
      <w:r>
        <w:rPr>
          <w:rFonts w:ascii="Arial" w:cs="Arial" w:eastAsia="Arial" w:hAnsi="Arial"/>
          <w:sz w:val="17"/>
          <w:szCs w:val="17"/>
          <w:color w:val="auto"/>
        </w:rPr>
        <w:t>Throughout 2021, we focused on four key sustainability priorities, which are set forth below. These four priorities include ESG topics that represent stakeholder priorities and drivers of long-term value creation. The independent directors who serve on the Governance Committee review performance against the SMP, a set of targets that correspond to objectives associated with our four core sustainability priorities. The Governance Committee also approves the Company’s Code of Conduct and annual Sustainability Report, which are available on our website.</w:t>
      </w:r>
    </w:p>
    <w:p>
      <w:pPr>
        <w:spacing w:after="0" w:line="98" w:lineRule="exact"/>
        <w:rPr>
          <w:sz w:val="20"/>
          <w:szCs w:val="20"/>
          <w:color w:val="auto"/>
        </w:rPr>
      </w:pPr>
    </w:p>
    <w:p>
      <w:pPr>
        <w:ind w:left="20" w:right="20"/>
        <w:spacing w:after="0" w:line="265" w:lineRule="auto"/>
        <w:rPr>
          <w:sz w:val="20"/>
          <w:szCs w:val="20"/>
          <w:color w:val="auto"/>
        </w:rPr>
      </w:pPr>
      <w:r>
        <w:rPr>
          <w:rFonts w:ascii="Arial" w:cs="Arial" w:eastAsia="Arial" w:hAnsi="Arial"/>
          <w:sz w:val="17"/>
          <w:szCs w:val="17"/>
          <w:color w:val="auto"/>
        </w:rPr>
        <w:t>In April 2022, we will publish our first progress update on our 2025 SMP, which was publicly released in our 2020 Sustainability Report. The 2025 SMP follows our 2020 SMP and is comprised of new goals and key performance indicators (KPIs) that reflect the stakeholder feedback we received, internal and external trends, and the continued evolution of our business to create value well into the future. These metrics help focus our efforts in the areas that provide value to our stakeholders and our business. Details of our 2025 SMP and highlights of our 2021 progress are provided on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1105535</wp:posOffset>
            </wp:positionH>
            <wp:positionV relativeFrom="paragraph">
              <wp:posOffset>59690</wp:posOffset>
            </wp:positionV>
            <wp:extent cx="2431415" cy="2431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31415" cy="2431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1" w:lineRule="exact"/>
        <w:rPr>
          <w:sz w:val="20"/>
          <w:szCs w:val="20"/>
          <w:color w:val="auto"/>
        </w:rPr>
      </w:pPr>
    </w:p>
    <w:p>
      <w:pPr>
        <w:spacing w:after="0" w:line="258" w:lineRule="auto"/>
        <w:rPr>
          <w:sz w:val="20"/>
          <w:szCs w:val="20"/>
          <w:color w:val="auto"/>
        </w:rPr>
      </w:pPr>
      <w:r>
        <w:rPr>
          <w:rFonts w:ascii="Arial" w:cs="Arial" w:eastAsia="Arial" w:hAnsi="Arial"/>
          <w:sz w:val="16"/>
          <w:szCs w:val="16"/>
          <w:color w:val="002E6D"/>
        </w:rPr>
        <w:t>Executive Leadership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293370</wp:posOffset>
            </wp:positionV>
            <wp:extent cx="11601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16014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-533400</wp:posOffset>
            </wp:positionV>
            <wp:extent cx="221615" cy="2216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21615" cy="22161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3"/>
          <w:szCs w:val="13"/>
          <w:color w:val="auto"/>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71120</wp:posOffset>
            </wp:positionV>
            <wp:extent cx="11601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160145" cy="825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SVP Business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1928495" cy="3841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28495" cy="38417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702310</wp:posOffset>
            </wp:positionV>
            <wp:extent cx="187960" cy="2476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87960" cy="24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002E6D"/>
        </w:rPr>
        <w:t>Sustainability Leadership Council</w:t>
      </w:r>
    </w:p>
    <w:p>
      <w:pPr>
        <w:spacing w:after="0" w:line="80" w:lineRule="exact"/>
        <w:rPr>
          <w:sz w:val="20"/>
          <w:szCs w:val="20"/>
          <w:color w:val="auto"/>
        </w:rPr>
      </w:pPr>
    </w:p>
    <w:p>
      <w:pPr>
        <w:ind w:right="300"/>
        <w:spacing w:after="0" w:line="324" w:lineRule="auto"/>
        <w:rPr>
          <w:sz w:val="20"/>
          <w:szCs w:val="20"/>
          <w:color w:val="auto"/>
        </w:rPr>
      </w:pPr>
      <w:r>
        <w:rPr>
          <w:rFonts w:ascii="Arial" w:cs="Arial" w:eastAsia="Arial" w:hAnsi="Arial"/>
          <w:sz w:val="11"/>
          <w:szCs w:val="11"/>
          <w:color w:val="002E6D"/>
        </w:rPr>
        <w:t>Chair: SVP Ethics and Enterprise Assurance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43180</wp:posOffset>
            </wp:positionV>
            <wp:extent cx="116014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1601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left="20" w:right="60"/>
        <w:spacing w:after="0" w:line="289" w:lineRule="auto"/>
        <w:rPr>
          <w:sz w:val="20"/>
          <w:szCs w:val="20"/>
          <w:color w:val="auto"/>
        </w:rPr>
      </w:pPr>
      <w:r>
        <w:rPr>
          <w:rFonts w:ascii="Arial" w:cs="Arial" w:eastAsia="Arial" w:hAnsi="Arial"/>
          <w:sz w:val="11"/>
          <w:szCs w:val="11"/>
          <w:color w:val="auto"/>
        </w:rPr>
        <w:t>Oversees the sustainability program and enables Business Areas and functions to pursue and implement opportunities and practices that support the sustainability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-695325</wp:posOffset>
            </wp:positionV>
            <wp:extent cx="1160145" cy="8534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60145" cy="853440"/>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71120</wp:posOffset>
            </wp:positionV>
            <wp:extent cx="116014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60145" cy="825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color w:val="auto"/>
        </w:rPr>
        <w:t>Executive VP Business Areas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685165</wp:posOffset>
            </wp:positionV>
            <wp:extent cx="1160145" cy="8534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60145" cy="853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right="420"/>
        <w:spacing w:after="0" w:line="294" w:lineRule="auto"/>
        <w:rPr>
          <w:sz w:val="20"/>
          <w:szCs w:val="20"/>
          <w:color w:val="auto"/>
        </w:rPr>
      </w:pPr>
      <w:r>
        <w:rPr>
          <w:rFonts w:ascii="Arial" w:cs="Arial" w:eastAsia="Arial" w:hAnsi="Arial"/>
          <w:sz w:val="11"/>
          <w:szCs w:val="11"/>
          <w:color w:val="auto"/>
        </w:rPr>
        <w:t>Guides Lockheed Martin sustainability efforts and provides input to SMP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258445</wp:posOffset>
            </wp:positionV>
            <wp:extent cx="11601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60145" cy="8255"/>
                    </a:xfrm>
                    <a:prstGeom prst="rect">
                      <a:avLst/>
                    </a:prstGeom>
                    <a:noFill/>
                  </pic:spPr>
                </pic:pic>
              </a:graphicData>
            </a:graphic>
          </wp:anchor>
        </w:drawing>
      </w:r>
    </w:p>
    <w:p>
      <w:pPr>
        <w:spacing w:after="0" w:line="533" w:lineRule="exact"/>
        <w:rPr>
          <w:sz w:val="20"/>
          <w:szCs w:val="20"/>
          <w:color w:val="auto"/>
        </w:rPr>
      </w:pPr>
    </w:p>
    <w:p>
      <w:pPr>
        <w:sectPr>
          <w:pgSz w:w="11900" w:h="16838" w:orient="portrait"/>
          <w:cols w:equalWidth="0" w:num="3">
            <w:col w:w="7260" w:space="240"/>
            <w:col w:w="1540" w:space="400"/>
            <w:col w:w="1800"/>
          </w:cols>
          <w:pgMar w:left="320" w:top="254" w:right="339" w:bottom="1087" w:gutter="0" w:footer="0" w:header="0"/>
          <w:type w:val="continuous"/>
        </w:sectPr>
      </w:pPr>
    </w:p>
    <w:p>
      <w:pPr>
        <w:ind w:left="7500"/>
        <w:spacing w:after="0"/>
        <w:rPr>
          <w:sz w:val="20"/>
          <w:szCs w:val="20"/>
          <w:color w:val="auto"/>
        </w:rPr>
      </w:pPr>
      <w:r>
        <w:rPr>
          <w:rFonts w:ascii="Arial" w:cs="Arial" w:eastAsia="Arial" w:hAnsi="Arial"/>
          <w:sz w:val="13"/>
          <w:szCs w:val="13"/>
          <w:color w:val="auto"/>
        </w:rPr>
        <w:t>Vice President representatives</w:t>
      </w:r>
    </w:p>
    <w:p>
      <w:pPr>
        <w:ind w:left="7500"/>
        <w:spacing w:after="0" w:line="237" w:lineRule="auto"/>
        <w:rPr>
          <w:sz w:val="20"/>
          <w:szCs w:val="20"/>
          <w:color w:val="auto"/>
        </w:rPr>
      </w:pPr>
      <w:r>
        <w:rPr>
          <w:rFonts w:ascii="Arial" w:cs="Arial" w:eastAsia="Arial" w:hAnsi="Arial"/>
          <w:sz w:val="13"/>
          <w:szCs w:val="13"/>
          <w:color w:val="auto"/>
        </w:rPr>
        <w:t>of the Business Areas and</w:t>
      </w:r>
    </w:p>
    <w:p>
      <w:pPr>
        <w:ind w:left="7500"/>
        <w:spacing w:after="0"/>
        <w:rPr>
          <w:sz w:val="20"/>
          <w:szCs w:val="20"/>
          <w:color w:val="auto"/>
        </w:rPr>
      </w:pPr>
      <w:r>
        <w:rPr>
          <w:rFonts w:ascii="Arial" w:cs="Arial" w:eastAsia="Arial" w:hAnsi="Arial"/>
          <w:sz w:val="13"/>
          <w:szCs w:val="13"/>
          <w:color w:val="auto"/>
        </w:rPr>
        <w:t>Corporate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4757420</wp:posOffset>
            </wp:positionH>
            <wp:positionV relativeFrom="paragraph">
              <wp:posOffset>147955</wp:posOffset>
            </wp:positionV>
            <wp:extent cx="1928495" cy="3841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928495" cy="384175"/>
                    </a:xfrm>
                    <a:prstGeom prst="rect">
                      <a:avLst/>
                    </a:prstGeom>
                    <a:noFill/>
                  </pic:spPr>
                </pic:pic>
              </a:graphicData>
            </a:graphic>
          </wp:anchor>
        </w:drawing>
        <w:drawing>
          <wp:anchor simplePos="0" relativeHeight="251657728" behindDoc="1" locked="0" layoutInCell="0" allowOverlap="1">
            <wp:simplePos x="0" y="0"/>
            <wp:positionH relativeFrom="column">
              <wp:posOffset>4757420</wp:posOffset>
            </wp:positionH>
            <wp:positionV relativeFrom="paragraph">
              <wp:posOffset>711200</wp:posOffset>
            </wp:positionV>
            <wp:extent cx="221615" cy="3073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1615" cy="307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500"/>
        <w:spacing w:after="0"/>
        <w:rPr>
          <w:sz w:val="20"/>
          <w:szCs w:val="20"/>
          <w:color w:val="auto"/>
        </w:rPr>
      </w:pPr>
      <w:r>
        <w:rPr>
          <w:rFonts w:ascii="Arial" w:cs="Arial" w:eastAsia="Arial" w:hAnsi="Arial"/>
          <w:sz w:val="16"/>
          <w:szCs w:val="16"/>
          <w:color w:val="002E6D"/>
        </w:rPr>
        <w:t>Sustainability</w:t>
      </w:r>
    </w:p>
    <w:p>
      <w:pPr>
        <w:spacing w:after="0" w:line="4" w:lineRule="exact"/>
        <w:rPr>
          <w:sz w:val="20"/>
          <w:szCs w:val="20"/>
          <w:color w:val="auto"/>
        </w:rPr>
      </w:pPr>
    </w:p>
    <w:p>
      <w:pPr>
        <w:ind w:left="7500"/>
        <w:spacing w:after="0"/>
        <w:rPr>
          <w:sz w:val="20"/>
          <w:szCs w:val="20"/>
          <w:color w:val="auto"/>
        </w:rPr>
      </w:pPr>
      <w:r>
        <w:rPr>
          <w:rFonts w:ascii="Arial" w:cs="Arial" w:eastAsia="Arial" w:hAnsi="Arial"/>
          <w:sz w:val="16"/>
          <w:szCs w:val="16"/>
          <w:color w:val="002E6D"/>
        </w:rPr>
        <w:t>Management Team</w:t>
      </w:r>
    </w:p>
    <w:p>
      <w:pPr>
        <w:spacing w:after="0" w:line="102" w:lineRule="exact"/>
        <w:rPr>
          <w:sz w:val="20"/>
          <w:szCs w:val="20"/>
          <w:color w:val="auto"/>
        </w:rPr>
      </w:pPr>
    </w:p>
    <w:p>
      <w:pPr>
        <w:ind w:left="7500"/>
        <w:spacing w:after="0"/>
        <w:rPr>
          <w:sz w:val="20"/>
          <w:szCs w:val="20"/>
          <w:color w:val="auto"/>
        </w:rPr>
      </w:pPr>
      <w:r>
        <w:rPr>
          <w:rFonts w:ascii="Arial" w:cs="Arial" w:eastAsia="Arial" w:hAnsi="Arial"/>
          <w:sz w:val="13"/>
          <w:szCs w:val="13"/>
          <w:color w:val="002E6D"/>
        </w:rPr>
        <w:t>Chair: Senior Manager,</w:t>
      </w:r>
    </w:p>
    <w:p>
      <w:pPr>
        <w:ind w:left="7500"/>
        <w:spacing w:after="0"/>
        <w:rPr>
          <w:sz w:val="20"/>
          <w:szCs w:val="20"/>
          <w:color w:val="auto"/>
        </w:rPr>
      </w:pPr>
      <w:r>
        <w:rPr>
          <w:rFonts w:ascii="Arial" w:cs="Arial" w:eastAsia="Arial" w:hAnsi="Arial"/>
          <w:sz w:val="13"/>
          <w:szCs w:val="13"/>
          <w:color w:val="002E6D"/>
        </w:rPr>
        <w:t>Corporate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4748530</wp:posOffset>
            </wp:positionH>
            <wp:positionV relativeFrom="paragraph">
              <wp:posOffset>113665</wp:posOffset>
            </wp:positionV>
            <wp:extent cx="11601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60145" cy="8255"/>
                    </a:xfrm>
                    <a:prstGeom prst="rect">
                      <a:avLst/>
                    </a:prstGeom>
                    <a:noFill/>
                  </pic:spPr>
                </pic:pic>
              </a:graphicData>
            </a:graphic>
          </wp:anchor>
        </w:drawing>
      </w:r>
    </w:p>
    <w:p>
      <w:pPr>
        <w:spacing w:after="0" w:line="193" w:lineRule="exact"/>
        <w:rPr>
          <w:sz w:val="20"/>
          <w:szCs w:val="20"/>
          <w:color w:val="auto"/>
        </w:rPr>
      </w:pPr>
    </w:p>
    <w:p>
      <w:pPr>
        <w:ind w:left="7500"/>
        <w:spacing w:after="0"/>
        <w:rPr>
          <w:sz w:val="20"/>
          <w:szCs w:val="20"/>
          <w:color w:val="auto"/>
        </w:rPr>
      </w:pPr>
      <w:r>
        <w:rPr>
          <w:rFonts w:ascii="Arial" w:cs="Arial" w:eastAsia="Arial" w:hAnsi="Arial"/>
          <w:sz w:val="11"/>
          <w:szCs w:val="11"/>
          <w:color w:val="auto"/>
        </w:rPr>
        <w:t>Directors and Senior Managers</w:t>
      </w:r>
    </w:p>
    <w:p>
      <w:pPr>
        <w:spacing w:after="0" w:line="21" w:lineRule="exact"/>
        <w:rPr>
          <w:sz w:val="20"/>
          <w:szCs w:val="20"/>
          <w:color w:val="auto"/>
        </w:rPr>
      </w:pPr>
    </w:p>
    <w:p>
      <w:pPr>
        <w:ind w:left="7500"/>
        <w:spacing w:after="0"/>
        <w:rPr>
          <w:sz w:val="20"/>
          <w:szCs w:val="20"/>
          <w:color w:val="auto"/>
        </w:rPr>
      </w:pPr>
      <w:r>
        <w:rPr>
          <w:rFonts w:ascii="Arial" w:cs="Arial" w:eastAsia="Arial" w:hAnsi="Arial"/>
          <w:sz w:val="11"/>
          <w:szCs w:val="11"/>
          <w:color w:val="auto"/>
        </w:rPr>
        <w:t>responsible for functions related</w:t>
      </w:r>
    </w:p>
    <w:p>
      <w:pPr>
        <w:spacing w:after="0" w:line="21" w:lineRule="exact"/>
        <w:rPr>
          <w:sz w:val="20"/>
          <w:szCs w:val="20"/>
          <w:color w:val="auto"/>
        </w:rPr>
      </w:pPr>
    </w:p>
    <w:p>
      <w:pPr>
        <w:ind w:left="7500"/>
        <w:spacing w:after="0"/>
        <w:rPr>
          <w:sz w:val="20"/>
          <w:szCs w:val="20"/>
          <w:color w:val="auto"/>
        </w:rPr>
      </w:pPr>
      <w:r>
        <w:rPr>
          <w:rFonts w:ascii="Arial" w:cs="Arial" w:eastAsia="Arial" w:hAnsi="Arial"/>
          <w:sz w:val="13"/>
          <w:szCs w:val="13"/>
          <w:color w:val="auto"/>
        </w:rPr>
        <w:t>to specific SMP Goals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40"/>
        <w:spacing w:after="0" w:line="291" w:lineRule="auto"/>
        <w:rPr>
          <w:sz w:val="20"/>
          <w:szCs w:val="20"/>
          <w:color w:val="auto"/>
        </w:rPr>
      </w:pPr>
      <w:r>
        <w:rPr>
          <w:rFonts w:ascii="Arial" w:cs="Arial" w:eastAsia="Arial" w:hAnsi="Arial"/>
          <w:sz w:val="11"/>
          <w:szCs w:val="11"/>
          <w:color w:val="auto"/>
        </w:rPr>
        <w:t>Reviews SMP progress, reviews opportunities for program enhancement and shares internal and external insights and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-721360</wp:posOffset>
            </wp:positionV>
            <wp:extent cx="1160145" cy="9982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60145" cy="998220"/>
                    </a:xfrm>
                    <a:prstGeom prst="rect">
                      <a:avLst/>
                    </a:prstGeom>
                    <a:noFill/>
                  </pic:spPr>
                </pic:pic>
              </a:graphicData>
            </a:graphic>
          </wp:anchor>
        </w:drawing>
      </w:r>
    </w:p>
    <w:p>
      <w:pPr>
        <w:spacing w:after="0" w:line="1100" w:lineRule="exact"/>
        <w:rPr>
          <w:sz w:val="20"/>
          <w:szCs w:val="20"/>
          <w:color w:val="auto"/>
        </w:rPr>
      </w:pPr>
    </w:p>
    <w:p>
      <w:pPr>
        <w:sectPr>
          <w:pgSz w:w="11900" w:h="16838" w:orient="portrait"/>
          <w:cols w:equalWidth="0" w:num="2">
            <w:col w:w="9280" w:space="180"/>
            <w:col w:w="1780"/>
          </w:cols>
          <w:pgMar w:left="320" w:top="254" w:right="339" w:bottom="108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tabs>
          <w:tab w:leader="none" w:pos="8600" w:val="left"/>
          <w:tab w:leader="none" w:pos="111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6</w:t>
      </w:r>
    </w:p>
    <w:p>
      <w:pPr>
        <w:sectPr>
          <w:pgSz w:w="11900" w:h="16838" w:orient="portrait"/>
          <w:cols w:equalWidth="0" w:num="1">
            <w:col w:w="11240"/>
          </w:cols>
          <w:pgMar w:left="320" w:top="254" w:right="339" w:bottom="1087" w:gutter="0" w:footer="0" w:header="0"/>
          <w:type w:val="continuous"/>
        </w:sectPr>
      </w:pPr>
    </w:p>
    <w:bookmarkStart w:id="12" w:name="page13"/>
    <w:bookmarkEnd w:id="12"/>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100" w:type="dxa"/>
            <w:vAlign w:val="bottom"/>
            <w:tcBorders>
              <w:right w:val="single" w:sz="8" w:color="003478"/>
            </w:tcBorders>
            <w:shd w:val="clear" w:color="auto" w:fill="003478"/>
          </w:tcPr>
          <w:p>
            <w:pPr>
              <w:spacing w:after="0"/>
              <w:rPr>
                <w:sz w:val="12"/>
                <w:szCs w:val="12"/>
                <w:color w:val="auto"/>
              </w:rPr>
            </w:pPr>
          </w:p>
        </w:tc>
        <w:tc>
          <w:tcPr>
            <w:tcW w:w="5140" w:type="dxa"/>
            <w:vAlign w:val="bottom"/>
            <w:shd w:val="clear" w:color="auto" w:fill="003478"/>
          </w:tcPr>
          <w:p>
            <w:pPr>
              <w:spacing w:after="0"/>
              <w:rPr>
                <w:sz w:val="12"/>
                <w:szCs w:val="12"/>
                <w:color w:val="auto"/>
              </w:rPr>
            </w:pPr>
          </w:p>
        </w:tc>
      </w:tr>
      <w:tr>
        <w:trPr>
          <w:trHeight w:val="276"/>
        </w:trPr>
        <w:tc>
          <w:tcPr>
            <w:tcW w:w="6100" w:type="dxa"/>
            <w:vAlign w:val="bottom"/>
            <w:tcBorders>
              <w:right w:val="single" w:sz="8" w:color="003478"/>
            </w:tcBorders>
          </w:tcPr>
          <w:p>
            <w:pPr>
              <w:ind w:left="20"/>
              <w:spacing w:after="0"/>
              <w:rPr>
                <w:sz w:val="20"/>
                <w:szCs w:val="20"/>
                <w:color w:val="auto"/>
              </w:rPr>
            </w:pPr>
            <w:r>
              <w:rPr>
                <w:rFonts w:ascii="Arial" w:cs="Arial" w:eastAsia="Arial" w:hAnsi="Arial"/>
                <w:sz w:val="20"/>
                <w:szCs w:val="20"/>
                <w:color w:val="003478"/>
              </w:rPr>
              <w:t>PROPOSAL 1: ELECTION OF DIRECTORS</w:t>
            </w:r>
          </w:p>
        </w:tc>
        <w:tc>
          <w:tcPr>
            <w:tcW w:w="5140" w:type="dxa"/>
            <w:vAlign w:val="bottom"/>
            <w:shd w:val="clear" w:color="auto" w:fill="E5E7EF"/>
          </w:tcPr>
          <w:p>
            <w:pPr>
              <w:ind w:left="920"/>
              <w:spacing w:after="0"/>
              <w:rPr>
                <w:sz w:val="20"/>
                <w:szCs w:val="20"/>
                <w:color w:val="auto"/>
              </w:rPr>
            </w:pPr>
            <w:r>
              <w:rPr>
                <w:rFonts w:ascii="Arial" w:cs="Arial" w:eastAsia="Arial" w:hAnsi="Arial"/>
                <w:sz w:val="17"/>
                <w:szCs w:val="17"/>
                <w:color w:val="012E6C"/>
              </w:rPr>
              <w:t xml:space="preserve">The Board unanimously recommends a vote </w:t>
            </w:r>
            <w:r>
              <w:rPr>
                <w:rFonts w:ascii="Arial" w:cs="Arial" w:eastAsia="Arial" w:hAnsi="Arial"/>
                <w:sz w:val="17"/>
                <w:szCs w:val="17"/>
                <w:b w:val="1"/>
                <w:bCs w:val="1"/>
                <w:color w:val="012E6C"/>
              </w:rPr>
              <w:t>FOR</w:t>
            </w:r>
          </w:p>
        </w:tc>
      </w:tr>
      <w:tr>
        <w:trPr>
          <w:trHeight w:val="204"/>
        </w:trPr>
        <w:tc>
          <w:tcPr>
            <w:tcW w:w="6100" w:type="dxa"/>
            <w:vAlign w:val="bottom"/>
            <w:tcBorders>
              <w:right w:val="single" w:sz="8" w:color="003478"/>
            </w:tcBorders>
          </w:tcPr>
          <w:p>
            <w:pPr>
              <w:spacing w:after="0"/>
              <w:rPr>
                <w:sz w:val="17"/>
                <w:szCs w:val="17"/>
                <w:color w:val="auto"/>
              </w:rPr>
            </w:pPr>
          </w:p>
        </w:tc>
        <w:tc>
          <w:tcPr>
            <w:tcW w:w="5140" w:type="dxa"/>
            <w:vAlign w:val="bottom"/>
            <w:shd w:val="clear" w:color="auto" w:fill="E5E7EF"/>
          </w:tcPr>
          <w:p>
            <w:pPr>
              <w:ind w:left="920"/>
              <w:spacing w:after="0"/>
              <w:rPr>
                <w:sz w:val="20"/>
                <w:szCs w:val="20"/>
                <w:color w:val="auto"/>
              </w:rPr>
            </w:pPr>
            <w:r>
              <w:rPr>
                <w:rFonts w:ascii="Arial" w:cs="Arial" w:eastAsia="Arial" w:hAnsi="Arial"/>
                <w:sz w:val="17"/>
                <w:szCs w:val="17"/>
                <w:color w:val="012E6C"/>
              </w:rPr>
              <w:t>each of the director nominees.</w:t>
            </w:r>
          </w:p>
        </w:tc>
      </w:tr>
      <w:tr>
        <w:trPr>
          <w:trHeight w:val="353"/>
        </w:trPr>
        <w:tc>
          <w:tcPr>
            <w:tcW w:w="6100" w:type="dxa"/>
            <w:vAlign w:val="bottom"/>
            <w:tcBorders>
              <w:bottom w:val="single" w:sz="8" w:color="003478"/>
              <w:right w:val="single" w:sz="8" w:color="003478"/>
            </w:tcBorders>
          </w:tcPr>
          <w:p>
            <w:pPr>
              <w:spacing w:after="0"/>
              <w:rPr>
                <w:sz w:val="24"/>
                <w:szCs w:val="24"/>
                <w:color w:val="auto"/>
              </w:rPr>
            </w:pPr>
          </w:p>
        </w:tc>
        <w:tc>
          <w:tcPr>
            <w:tcW w:w="5140" w:type="dxa"/>
            <w:vAlign w:val="bottom"/>
            <w:tcBorders>
              <w:bottom w:val="single" w:sz="8" w:color="003478"/>
            </w:tcBorders>
            <w:shd w:val="clear" w:color="auto" w:fill="E5E7E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3989070</wp:posOffset>
            </wp:positionH>
            <wp:positionV relativeFrom="paragraph">
              <wp:posOffset>-476885</wp:posOffset>
            </wp:positionV>
            <wp:extent cx="340995" cy="3409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0995" cy="34099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29"/>
          <w:szCs w:val="29"/>
          <w:color w:val="003478"/>
        </w:rPr>
        <w:t>Board Composition, Qualifications and Diversity</w:t>
      </w:r>
    </w:p>
    <w:p>
      <w:pPr>
        <w:spacing w:after="0" w:line="121" w:lineRule="exact"/>
        <w:rPr>
          <w:sz w:val="20"/>
          <w:szCs w:val="20"/>
          <w:color w:val="auto"/>
        </w:rPr>
      </w:pPr>
    </w:p>
    <w:p>
      <w:pPr>
        <w:ind w:right="420"/>
        <w:spacing w:after="0" w:line="274" w:lineRule="auto"/>
        <w:rPr>
          <w:sz w:val="20"/>
          <w:szCs w:val="20"/>
          <w:color w:val="auto"/>
        </w:rPr>
      </w:pPr>
      <w:r>
        <w:rPr>
          <w:rFonts w:ascii="Arial" w:cs="Arial" w:eastAsia="Arial" w:hAnsi="Arial"/>
          <w:sz w:val="17"/>
          <w:szCs w:val="17"/>
          <w:color w:val="auto"/>
        </w:rPr>
        <w:t>We have no agreements obligating the Company to nominate a particular candidate as a director, and none of our directors represents a special interest or a particular stockholder or group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132955" cy="174942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955" cy="1749425"/>
                    </a:xfrm>
                    <a:prstGeom prst="rect">
                      <a:avLst/>
                    </a:prstGeom>
                    <a:noFill/>
                  </pic:spPr>
                </pic:pic>
              </a:graphicData>
            </a:graphic>
          </wp:anchor>
        </w:drawing>
      </w:r>
    </w:p>
    <w:p>
      <w:pPr>
        <w:spacing w:after="0" w:line="168" w:lineRule="exact"/>
        <w:rPr>
          <w:sz w:val="20"/>
          <w:szCs w:val="20"/>
          <w:color w:val="auto"/>
        </w:rPr>
      </w:pPr>
    </w:p>
    <w:p>
      <w:pPr>
        <w:ind w:left="100"/>
        <w:spacing w:after="0"/>
        <w:rPr>
          <w:sz w:val="20"/>
          <w:szCs w:val="20"/>
          <w:color w:val="auto"/>
        </w:rPr>
      </w:pPr>
      <w:r>
        <w:rPr>
          <w:rFonts w:ascii="Arial" w:cs="Arial" w:eastAsia="Arial" w:hAnsi="Arial"/>
          <w:sz w:val="20"/>
          <w:szCs w:val="20"/>
          <w:color w:val="003478"/>
          <w:shd w:val="clear" w:color="auto" w:fill="E5E7EF"/>
        </w:rPr>
        <w:t>Commitment to Board Diversity</w:t>
      </w:r>
    </w:p>
    <w:p>
      <w:pPr>
        <w:spacing w:after="0" w:line="117" w:lineRule="exact"/>
        <w:rPr>
          <w:sz w:val="20"/>
          <w:szCs w:val="20"/>
          <w:color w:val="auto"/>
        </w:rPr>
      </w:pPr>
    </w:p>
    <w:p>
      <w:pPr>
        <w:ind w:left="100" w:right="140"/>
        <w:spacing w:after="0" w:line="265" w:lineRule="auto"/>
        <w:rPr>
          <w:sz w:val="20"/>
          <w:szCs w:val="20"/>
          <w:color w:val="auto"/>
        </w:rPr>
      </w:pPr>
      <w:r>
        <w:rPr>
          <w:rFonts w:ascii="Arial" w:cs="Arial" w:eastAsia="Arial" w:hAnsi="Arial"/>
          <w:sz w:val="17"/>
          <w:szCs w:val="17"/>
          <w:color w:val="auto"/>
        </w:rPr>
        <w:t>At Lockheed Martin, we recognize diversity and inclusion as a business imperative and strategic asset to our investors. We believe that our business accomplishments are a result of the efforts of our employees around the world, and that a diverse employee population will result in a better understanding of our customers’ needs. Our success with a diverse workforce also informs our views about the value of a board of directors that has persons of diverse skills, experiences and backgrounds. Diversity in skills and backgrounds ensures that the widest range of options and viewpoints are expressed in the boardroom. To this end, the Board seeks to identify candidates with areas of knowledge or experience that will expand or complement the Board’s existing expertise in overseeing a technologically advanced global security and aerospace company. While the Company does not have a formal policy on Board diversity, our Corporate Governance Guidelines (Governance Guidelines) place an emphasis on diversity, and our Governance Committee actively considers diversity in the recruitment and nominations of director candidates. The current composition of our Board and recent refreshment reflects those efforts and the importance of diversity to our Board. We added seven new directors in the past five years, including three women and one African-American male.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280035</wp:posOffset>
            </wp:positionV>
            <wp:extent cx="7132955" cy="10922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955" cy="109220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100"/>
        <w:spacing w:after="0"/>
        <w:rPr>
          <w:sz w:val="20"/>
          <w:szCs w:val="20"/>
          <w:color w:val="auto"/>
        </w:rPr>
      </w:pPr>
      <w:r>
        <w:rPr>
          <w:rFonts w:ascii="Arial" w:cs="Arial" w:eastAsia="Arial" w:hAnsi="Arial"/>
          <w:sz w:val="20"/>
          <w:szCs w:val="20"/>
          <w:color w:val="003478"/>
        </w:rPr>
        <w:t>Our Director Tenure Guidelines</w:t>
      </w:r>
    </w:p>
    <w:p>
      <w:pPr>
        <w:spacing w:after="0" w:line="332" w:lineRule="exact"/>
        <w:rPr>
          <w:sz w:val="20"/>
          <w:szCs w:val="20"/>
          <w:color w:val="auto"/>
        </w:rPr>
      </w:pPr>
    </w:p>
    <w:p>
      <w:pPr>
        <w:ind w:left="100" w:right="200"/>
        <w:spacing w:after="0" w:line="269" w:lineRule="auto"/>
        <w:rPr>
          <w:sz w:val="20"/>
          <w:szCs w:val="20"/>
          <w:color w:val="auto"/>
        </w:rPr>
      </w:pPr>
      <w:r>
        <w:rPr>
          <w:rFonts w:ascii="Arial" w:cs="Arial" w:eastAsia="Arial" w:hAnsi="Arial"/>
          <w:sz w:val="17"/>
          <w:szCs w:val="17"/>
          <w:color w:val="auto"/>
        </w:rPr>
        <w:t>Our Board believes that a balance of director diversity and tenure is a strategic asset to our investors. The range of our Board’s tenure encompasses directors who have institutional knowledge of Lockheed Martin and the competitive environment, complemented by newer directors with varied backgrounds and skills and fresh perspectives.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740" w:type="dxa"/>
            <w:vAlign w:val="bottom"/>
            <w:shd w:val="clear" w:color="auto" w:fill="E5E7EF"/>
          </w:tcPr>
          <w:p>
            <w:pPr>
              <w:ind w:left="100"/>
              <w:spacing w:after="0"/>
              <w:rPr>
                <w:sz w:val="20"/>
                <w:szCs w:val="20"/>
                <w:color w:val="auto"/>
              </w:rPr>
            </w:pPr>
            <w:r>
              <w:rPr>
                <w:rFonts w:ascii="Arial" w:cs="Arial" w:eastAsia="Arial" w:hAnsi="Arial"/>
                <w:sz w:val="17"/>
                <w:szCs w:val="17"/>
                <w:color w:val="auto"/>
              </w:rPr>
              <w:t>Mandatory Retirement Age</w:t>
            </w:r>
          </w:p>
        </w:tc>
        <w:tc>
          <w:tcPr>
            <w:tcW w:w="8500" w:type="dxa"/>
            <w:vAlign w:val="bottom"/>
          </w:tcPr>
          <w:p>
            <w:pPr>
              <w:ind w:left="20"/>
              <w:spacing w:after="0"/>
              <w:rPr>
                <w:sz w:val="20"/>
                <w:szCs w:val="20"/>
                <w:color w:val="auto"/>
              </w:rPr>
            </w:pPr>
            <w:r>
              <w:rPr>
                <w:rFonts w:ascii="Arial" w:cs="Arial" w:eastAsia="Arial" w:hAnsi="Arial"/>
                <w:sz w:val="17"/>
                <w:szCs w:val="17"/>
                <w:color w:val="auto"/>
              </w:rPr>
              <w:t>A director must retire at the annual meeting following their 75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birthday.</w:t>
            </w:r>
          </w:p>
        </w:tc>
      </w:tr>
      <w:tr>
        <w:trPr>
          <w:trHeight w:val="222"/>
        </w:trPr>
        <w:tc>
          <w:tcPr>
            <w:tcW w:w="2740" w:type="dxa"/>
            <w:vAlign w:val="bottom"/>
            <w:shd w:val="clear" w:color="auto" w:fill="E5E7EF"/>
          </w:tcPr>
          <w:p>
            <w:pPr>
              <w:ind w:left="100"/>
              <w:spacing w:after="0"/>
              <w:rPr>
                <w:sz w:val="20"/>
                <w:szCs w:val="20"/>
                <w:color w:val="auto"/>
              </w:rPr>
            </w:pPr>
            <w:r>
              <w:rPr>
                <w:rFonts w:ascii="Arial" w:cs="Arial" w:eastAsia="Arial" w:hAnsi="Arial"/>
                <w:sz w:val="17"/>
                <w:szCs w:val="17"/>
                <w:color w:val="auto"/>
              </w:rPr>
              <w:t>Term Limits</w:t>
            </w:r>
          </w:p>
        </w:tc>
        <w:tc>
          <w:tcPr>
            <w:tcW w:w="8500" w:type="dxa"/>
            <w:vAlign w:val="bottom"/>
            <w:shd w:val="clear" w:color="auto" w:fill="E5E7EF"/>
          </w:tcPr>
          <w:p>
            <w:pPr>
              <w:ind w:left="20"/>
              <w:spacing w:after="0"/>
              <w:rPr>
                <w:sz w:val="20"/>
                <w:szCs w:val="20"/>
                <w:color w:val="auto"/>
              </w:rPr>
            </w:pPr>
            <w:r>
              <w:rPr>
                <w:rFonts w:ascii="Arial" w:cs="Arial" w:eastAsia="Arial" w:hAnsi="Arial"/>
                <w:sz w:val="17"/>
                <w:szCs w:val="17"/>
                <w:color w:val="auto"/>
              </w:rPr>
              <w:t>We do not have term limits for directors as we believe implementing term limitations may prevent the Board from</w:t>
            </w:r>
          </w:p>
        </w:tc>
      </w:tr>
      <w:tr>
        <w:trPr>
          <w:trHeight w:val="204"/>
        </w:trPr>
        <w:tc>
          <w:tcPr>
            <w:tcW w:w="2740" w:type="dxa"/>
            <w:vAlign w:val="bottom"/>
            <w:shd w:val="clear" w:color="auto" w:fill="E5E7EF"/>
          </w:tcPr>
          <w:p>
            <w:pPr>
              <w:spacing w:after="0"/>
              <w:rPr>
                <w:sz w:val="17"/>
                <w:szCs w:val="17"/>
                <w:color w:val="auto"/>
              </w:rPr>
            </w:pPr>
          </w:p>
        </w:tc>
        <w:tc>
          <w:tcPr>
            <w:tcW w:w="8500" w:type="dxa"/>
            <w:vAlign w:val="bottom"/>
            <w:shd w:val="clear" w:color="auto" w:fill="E5E7EF"/>
          </w:tcPr>
          <w:p>
            <w:pPr>
              <w:ind w:left="20"/>
              <w:spacing w:after="0"/>
              <w:rPr>
                <w:sz w:val="20"/>
                <w:szCs w:val="20"/>
                <w:color w:val="auto"/>
              </w:rPr>
            </w:pPr>
            <w:r>
              <w:rPr>
                <w:rFonts w:ascii="Arial" w:cs="Arial" w:eastAsia="Arial" w:hAnsi="Arial"/>
                <w:sz w:val="17"/>
                <w:szCs w:val="17"/>
                <w:color w:val="auto"/>
              </w:rPr>
              <w:t>taking advantage of insight that longer tenure brings.</w:t>
            </w:r>
          </w:p>
        </w:tc>
      </w:tr>
      <w:tr>
        <w:trPr>
          <w:trHeight w:val="255"/>
        </w:trPr>
        <w:tc>
          <w:tcPr>
            <w:tcW w:w="2740" w:type="dxa"/>
            <w:vAlign w:val="bottom"/>
            <w:shd w:val="clear" w:color="auto" w:fill="E5E7EF"/>
          </w:tcPr>
          <w:p>
            <w:pPr>
              <w:ind w:left="100"/>
              <w:spacing w:after="0"/>
              <w:rPr>
                <w:sz w:val="20"/>
                <w:szCs w:val="20"/>
                <w:color w:val="auto"/>
              </w:rPr>
            </w:pPr>
            <w:r>
              <w:rPr>
                <w:rFonts w:ascii="Arial" w:cs="Arial" w:eastAsia="Arial" w:hAnsi="Arial"/>
                <w:sz w:val="17"/>
                <w:szCs w:val="17"/>
                <w:color w:val="auto"/>
              </w:rPr>
              <w:t>Employment Change</w:t>
            </w:r>
          </w:p>
        </w:tc>
        <w:tc>
          <w:tcPr>
            <w:tcW w:w="8500" w:type="dxa"/>
            <w:vAlign w:val="bottom"/>
            <w:shd w:val="clear" w:color="auto" w:fill="E5E7EF"/>
          </w:tcPr>
          <w:p>
            <w:pPr>
              <w:ind w:left="20"/>
              <w:spacing w:after="0"/>
              <w:rPr>
                <w:sz w:val="20"/>
                <w:szCs w:val="20"/>
                <w:color w:val="auto"/>
              </w:rPr>
            </w:pPr>
            <w:r>
              <w:rPr>
                <w:rFonts w:ascii="Arial" w:cs="Arial" w:eastAsia="Arial" w:hAnsi="Arial"/>
                <w:sz w:val="17"/>
                <w:szCs w:val="17"/>
                <w:color w:val="auto"/>
              </w:rPr>
              <w:t>Directors should expect to resign upon any significant change in principal employment or responsibilities.</w:t>
            </w:r>
          </w:p>
        </w:tc>
      </w:tr>
      <w:tr>
        <w:trPr>
          <w:trHeight w:val="255"/>
        </w:trPr>
        <w:tc>
          <w:tcPr>
            <w:tcW w:w="2740" w:type="dxa"/>
            <w:vAlign w:val="bottom"/>
            <w:shd w:val="clear" w:color="auto" w:fill="E5E7EF"/>
          </w:tcPr>
          <w:p>
            <w:pPr>
              <w:ind w:left="100"/>
              <w:spacing w:after="0"/>
              <w:rPr>
                <w:sz w:val="20"/>
                <w:szCs w:val="20"/>
                <w:color w:val="auto"/>
              </w:rPr>
            </w:pPr>
            <w:r>
              <w:rPr>
                <w:rFonts w:ascii="Arial" w:cs="Arial" w:eastAsia="Arial" w:hAnsi="Arial"/>
                <w:sz w:val="17"/>
                <w:szCs w:val="17"/>
                <w:color w:val="auto"/>
              </w:rPr>
              <w:t>Failed Election</w:t>
            </w:r>
          </w:p>
        </w:tc>
        <w:tc>
          <w:tcPr>
            <w:tcW w:w="8500" w:type="dxa"/>
            <w:vAlign w:val="bottom"/>
            <w:shd w:val="clear" w:color="auto" w:fill="E5E7EF"/>
          </w:tcPr>
          <w:p>
            <w:pPr>
              <w:ind w:left="20"/>
              <w:spacing w:after="0"/>
              <w:rPr>
                <w:sz w:val="20"/>
                <w:szCs w:val="20"/>
                <w:color w:val="auto"/>
              </w:rPr>
            </w:pPr>
            <w:r>
              <w:rPr>
                <w:rFonts w:ascii="Arial" w:cs="Arial" w:eastAsia="Arial" w:hAnsi="Arial"/>
                <w:sz w:val="17"/>
                <w:szCs w:val="17"/>
                <w:color w:val="auto"/>
              </w:rPr>
              <w:t>Directors must offer to resign as a result of a failed stockholder vote under majority voting policy.</w:t>
            </w:r>
          </w:p>
        </w:tc>
      </w:tr>
      <w:tr>
        <w:trPr>
          <w:trHeight w:val="84"/>
        </w:trPr>
        <w:tc>
          <w:tcPr>
            <w:tcW w:w="2740" w:type="dxa"/>
            <w:vAlign w:val="bottom"/>
            <w:shd w:val="clear" w:color="auto" w:fill="E5E7EF"/>
          </w:tcPr>
          <w:p>
            <w:pPr>
              <w:spacing w:after="0"/>
              <w:rPr>
                <w:sz w:val="7"/>
                <w:szCs w:val="7"/>
                <w:color w:val="auto"/>
              </w:rPr>
            </w:pPr>
          </w:p>
        </w:tc>
        <w:tc>
          <w:tcPr>
            <w:tcW w:w="8500" w:type="dxa"/>
            <w:vAlign w:val="bottom"/>
            <w:shd w:val="clear" w:color="auto" w:fill="E5E7EF"/>
          </w:tcPr>
          <w:p>
            <w:pPr>
              <w:spacing w:after="0"/>
              <w:rPr>
                <w:sz w:val="7"/>
                <w:szCs w:val="7"/>
                <w:color w:val="auto"/>
              </w:rPr>
            </w:pPr>
          </w:p>
        </w:tc>
      </w:tr>
    </w:tbl>
    <w:p>
      <w:pPr>
        <w:spacing w:after="0" w:line="200" w:lineRule="exact"/>
        <w:rPr>
          <w:sz w:val="20"/>
          <w:szCs w:val="20"/>
          <w:color w:val="auto"/>
        </w:rPr>
      </w:pPr>
    </w:p>
    <w:p>
      <w:pPr>
        <w:sectPr>
          <w:pgSz w:w="11900" w:h="16838" w:orient="portrait"/>
          <w:cols w:equalWidth="0" w:num="1">
            <w:col w:w="11240"/>
          </w:cols>
          <w:pgMar w:left="320" w:top="254" w:right="339" w:bottom="1440" w:gutter="0" w:footer="0" w:header="0"/>
        </w:sectPr>
      </w:pPr>
    </w:p>
    <w:p>
      <w:pPr>
        <w:spacing w:after="0" w:line="105" w:lineRule="exact"/>
        <w:rPr>
          <w:sz w:val="20"/>
          <w:szCs w:val="20"/>
          <w:color w:val="auto"/>
        </w:rPr>
      </w:pPr>
    </w:p>
    <w:p>
      <w:pPr>
        <w:spacing w:after="0"/>
        <w:rPr>
          <w:sz w:val="20"/>
          <w:szCs w:val="20"/>
          <w:color w:val="auto"/>
        </w:rPr>
      </w:pPr>
      <w:r>
        <w:rPr>
          <w:rFonts w:ascii="Arial" w:cs="Arial" w:eastAsia="Arial" w:hAnsi="Arial"/>
          <w:sz w:val="29"/>
          <w:szCs w:val="29"/>
          <w:color w:val="003478"/>
        </w:rPr>
        <w:t>Board Attendance</w:t>
      </w:r>
    </w:p>
    <w:p>
      <w:pPr>
        <w:spacing w:after="0" w:line="336" w:lineRule="exact"/>
        <w:rPr>
          <w:sz w:val="20"/>
          <w:szCs w:val="20"/>
          <w:color w:val="auto"/>
        </w:rPr>
      </w:pPr>
    </w:p>
    <w:p>
      <w:pPr>
        <w:ind w:left="20"/>
        <w:spacing w:after="0" w:line="266" w:lineRule="auto"/>
        <w:rPr>
          <w:sz w:val="20"/>
          <w:szCs w:val="20"/>
          <w:color w:val="auto"/>
        </w:rPr>
      </w:pPr>
      <w:r>
        <w:rPr>
          <w:rFonts w:ascii="Arial" w:cs="Arial" w:eastAsia="Arial" w:hAnsi="Arial"/>
          <w:sz w:val="17"/>
          <w:szCs w:val="17"/>
          <w:color w:val="auto"/>
        </w:rPr>
        <w:t>In 2021, the Board met a total of ten times. Directors are expected to attend all Board meetings and meetings of the committees on which they serve. All directors on the Board during 2021 attended more than 75 percent of the total Board and committee meetings to which they were assigned and overall attendance was greater than 99 percent. Board members are also encouraged to attend the annual meeting of stockholders and all director nominees for the 2021 annual meeting attended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612775</wp:posOffset>
            </wp:positionV>
            <wp:extent cx="963930" cy="2216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72"/>
          <w:szCs w:val="72"/>
          <w:color w:val="003478"/>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-592455</wp:posOffset>
            </wp:positionV>
            <wp:extent cx="1492885" cy="1160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492885" cy="1160145"/>
                    </a:xfrm>
                    <a:prstGeom prst="rect">
                      <a:avLst/>
                    </a:prstGeom>
                    <a:noFill/>
                  </pic:spPr>
                </pic:pic>
              </a:graphicData>
            </a:graphic>
          </wp:anchor>
        </w:drawing>
      </w:r>
    </w:p>
    <w:p>
      <w:pPr>
        <w:ind w:left="20" w:right="120"/>
        <w:spacing w:after="0" w:line="223" w:lineRule="auto"/>
        <w:rPr>
          <w:sz w:val="20"/>
          <w:szCs w:val="20"/>
          <w:color w:val="auto"/>
        </w:rPr>
      </w:pPr>
      <w:r>
        <w:rPr>
          <w:rFonts w:ascii="Arial" w:cs="Arial" w:eastAsia="Arial" w:hAnsi="Arial"/>
          <w:sz w:val="17"/>
          <w:szCs w:val="17"/>
          <w:color w:val="auto"/>
        </w:rPr>
        <w:t>Average attendance of directors as a group at Board and committee meetings during 2021</w:t>
      </w:r>
    </w:p>
    <w:p>
      <w:pPr>
        <w:spacing w:after="0" w:line="200" w:lineRule="exact"/>
        <w:rPr>
          <w:sz w:val="20"/>
          <w:szCs w:val="20"/>
          <w:color w:val="auto"/>
        </w:rPr>
      </w:pPr>
    </w:p>
    <w:p>
      <w:pPr>
        <w:sectPr>
          <w:pgSz w:w="11900" w:h="16838" w:orient="portrait"/>
          <w:cols w:equalWidth="0" w:num="2">
            <w:col w:w="8420" w:space="480"/>
            <w:col w:w="2340"/>
          </w:cols>
          <w:pgMar w:left="320" w:top="25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7</w:t>
      </w:r>
    </w:p>
    <w:p>
      <w:pPr>
        <w:sectPr>
          <w:pgSz w:w="11900" w:h="16838" w:orient="portrait"/>
          <w:cols w:equalWidth="0" w:num="1">
            <w:col w:w="11240"/>
          </w:cols>
          <w:pgMar w:left="320" w:top="254" w:right="339" w:bottom="1440" w:gutter="0" w:footer="0" w:header="0"/>
          <w:type w:val="continuous"/>
        </w:sectPr>
      </w:pPr>
    </w:p>
    <w:bookmarkStart w:id="13" w:name="page14"/>
    <w:bookmarkEnd w:id="13"/>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9"/>
          <w:szCs w:val="29"/>
          <w:color w:val="003478"/>
        </w:rPr>
        <w:t>Summary of Director Nominees’ Core Competencies</w:t>
      </w:r>
    </w:p>
    <w:p>
      <w:pPr>
        <w:spacing w:after="0" w:line="41" w:lineRule="exact"/>
        <w:rPr>
          <w:sz w:val="20"/>
          <w:szCs w:val="20"/>
          <w:color w:val="auto"/>
        </w:rPr>
      </w:pPr>
    </w:p>
    <w:p>
      <w:pPr>
        <w:ind w:right="180"/>
        <w:spacing w:after="0" w:line="250" w:lineRule="auto"/>
        <w:rPr>
          <w:sz w:val="20"/>
          <w:szCs w:val="20"/>
          <w:color w:val="auto"/>
        </w:rPr>
      </w:pPr>
      <w:r>
        <w:rPr>
          <w:rFonts w:ascii="Arial" w:cs="Arial" w:eastAsia="Arial" w:hAnsi="Arial"/>
          <w:sz w:val="17"/>
          <w:szCs w:val="17"/>
          <w:color w:val="auto"/>
        </w:rPr>
        <w:t>The following chart summarizes the core competencies that the Board considers valuable to effective governance and successful oversight of our corporate strategy and illustrates how the current Board members individually and collectively represent these key competencies. The lack of an indicator for a particular item does not mean that the director does not possess that qualification, skill or experience, rather, the indicator represents that the item is a core competency of that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3690620</wp:posOffset>
            </wp:positionH>
            <wp:positionV relativeFrom="paragraph">
              <wp:posOffset>83820</wp:posOffset>
            </wp:positionV>
            <wp:extent cx="3430270" cy="3327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30270" cy="332740"/>
                    </a:xfrm>
                    <a:prstGeom prst="rect">
                      <a:avLst/>
                    </a:prstGeom>
                    <a:noFill/>
                  </pic:spPr>
                </pic:pic>
              </a:graphicData>
            </a:graphic>
          </wp:anchor>
        </w:drawing>
      </w:r>
    </w:p>
    <w:p>
      <w:pPr>
        <w:spacing w:after="0" w:line="324" w:lineRule="exact"/>
        <w:rPr>
          <w:sz w:val="20"/>
          <w:szCs w:val="20"/>
          <w:color w:val="auto"/>
        </w:rPr>
      </w:pPr>
    </w:p>
    <w:p>
      <w:pPr>
        <w:ind w:left="20"/>
        <w:spacing w:after="0"/>
        <w:rPr>
          <w:sz w:val="20"/>
          <w:szCs w:val="20"/>
          <w:color w:val="auto"/>
        </w:rPr>
      </w:pPr>
      <w:r>
        <w:rPr>
          <w:rFonts w:ascii="Arial" w:cs="Arial" w:eastAsia="Arial" w:hAnsi="Arial"/>
          <w:sz w:val="20"/>
          <w:szCs w:val="20"/>
          <w:color w:val="003478"/>
        </w:rPr>
        <w:t>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180340</wp:posOffset>
            </wp:positionV>
            <wp:extent cx="7132955" cy="66890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955" cy="66890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320" w:type="dxa"/>
            <w:vAlign w:val="bottom"/>
          </w:tcPr>
          <w:p>
            <w:pPr>
              <w:ind w:left="660"/>
              <w:spacing w:after="0"/>
              <w:rPr>
                <w:sz w:val="20"/>
                <w:szCs w:val="20"/>
                <w:color w:val="auto"/>
              </w:rPr>
            </w:pPr>
            <w:r>
              <w:rPr>
                <w:rFonts w:ascii="Arial" w:cs="Arial" w:eastAsia="Arial" w:hAnsi="Arial"/>
                <w:sz w:val="15"/>
                <w:szCs w:val="15"/>
                <w:b w:val="1"/>
                <w:bCs w:val="1"/>
                <w:color w:val="auto"/>
              </w:rPr>
              <w:t>CEO LEADERSHIP EXPERIENCE</w:t>
            </w: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02"/>
        </w:trPr>
        <w:tc>
          <w:tcPr>
            <w:tcW w:w="5320" w:type="dxa"/>
            <w:vAlign w:val="bottom"/>
          </w:tcPr>
          <w:p>
            <w:pPr>
              <w:ind w:left="660"/>
              <w:spacing w:after="0"/>
              <w:rPr>
                <w:sz w:val="20"/>
                <w:szCs w:val="20"/>
                <w:color w:val="auto"/>
              </w:rPr>
            </w:pPr>
            <w:r>
              <w:rPr>
                <w:rFonts w:ascii="Arial" w:cs="Arial" w:eastAsia="Arial" w:hAnsi="Arial"/>
                <w:sz w:val="17"/>
                <w:szCs w:val="17"/>
                <w:color w:val="auto"/>
              </w:rPr>
              <w:t>CEO public company leadership that contributes to the</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4"/>
        </w:trPr>
        <w:tc>
          <w:tcPr>
            <w:tcW w:w="5320" w:type="dxa"/>
            <w:vAlign w:val="bottom"/>
          </w:tcPr>
          <w:p>
            <w:pPr>
              <w:ind w:left="660"/>
              <w:spacing w:after="0"/>
              <w:rPr>
                <w:sz w:val="20"/>
                <w:szCs w:val="20"/>
                <w:color w:val="auto"/>
              </w:rPr>
            </w:pPr>
            <w:r>
              <w:rPr>
                <w:rFonts w:ascii="Arial" w:cs="Arial" w:eastAsia="Arial" w:hAnsi="Arial"/>
                <w:sz w:val="17"/>
                <w:szCs w:val="17"/>
                <w:color w:val="auto"/>
              </w:rPr>
              <w:t>understanding and oversight of large complex organizations</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54"/>
        </w:trPr>
        <w:tc>
          <w:tcPr>
            <w:tcW w:w="5320" w:type="dxa"/>
            <w:vAlign w:val="bottom"/>
          </w:tcPr>
          <w:p>
            <w:pPr>
              <w:ind w:left="660"/>
              <w:spacing w:after="0"/>
              <w:rPr>
                <w:sz w:val="20"/>
                <w:szCs w:val="20"/>
                <w:color w:val="auto"/>
              </w:rPr>
            </w:pPr>
            <w:r>
              <w:rPr>
                <w:rFonts w:ascii="Arial" w:cs="Arial" w:eastAsia="Arial" w:hAnsi="Arial"/>
                <w:sz w:val="15"/>
                <w:szCs w:val="15"/>
                <w:b w:val="1"/>
                <w:bCs w:val="1"/>
                <w:color w:val="auto"/>
              </w:rPr>
              <w:t>ENVIRONMENTAL, SAFETY &amp; SUSTAINABILITY</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2"/>
        </w:trPr>
        <w:tc>
          <w:tcPr>
            <w:tcW w:w="5320" w:type="dxa"/>
            <w:vAlign w:val="bottom"/>
          </w:tcPr>
          <w:p>
            <w:pPr>
              <w:ind w:left="660"/>
              <w:spacing w:after="0"/>
              <w:rPr>
                <w:sz w:val="20"/>
                <w:szCs w:val="20"/>
                <w:color w:val="auto"/>
              </w:rPr>
            </w:pPr>
            <w:r>
              <w:rPr>
                <w:rFonts w:ascii="Arial" w:cs="Arial" w:eastAsia="Arial" w:hAnsi="Arial"/>
                <w:sz w:val="17"/>
                <w:szCs w:val="17"/>
                <w:color w:val="auto"/>
              </w:rPr>
              <w:t>Strengthens the Board’s oversight of climate risks and our</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4"/>
        </w:trPr>
        <w:tc>
          <w:tcPr>
            <w:tcW w:w="5320" w:type="dxa"/>
            <w:vAlign w:val="bottom"/>
          </w:tcPr>
          <w:p>
            <w:pPr>
              <w:ind w:left="660"/>
              <w:spacing w:after="0"/>
              <w:rPr>
                <w:sz w:val="20"/>
                <w:szCs w:val="20"/>
                <w:color w:val="auto"/>
              </w:rPr>
            </w:pPr>
            <w:r>
              <w:rPr>
                <w:rFonts w:ascii="Arial" w:cs="Arial" w:eastAsia="Arial" w:hAnsi="Arial"/>
                <w:sz w:val="17"/>
                <w:szCs w:val="17"/>
                <w:color w:val="auto"/>
              </w:rPr>
              <w:t>environmental, safety and sustainability initiatives</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41"/>
        </w:trPr>
        <w:tc>
          <w:tcPr>
            <w:tcW w:w="5320" w:type="dxa"/>
            <w:vAlign w:val="bottom"/>
          </w:tcPr>
          <w:p>
            <w:pPr>
              <w:ind w:left="660"/>
              <w:spacing w:after="0"/>
              <w:rPr>
                <w:sz w:val="20"/>
                <w:szCs w:val="20"/>
                <w:color w:val="auto"/>
              </w:rPr>
            </w:pPr>
            <w:r>
              <w:rPr>
                <w:rFonts w:ascii="Arial" w:cs="Arial" w:eastAsia="Arial" w:hAnsi="Arial"/>
                <w:sz w:val="15"/>
                <w:szCs w:val="15"/>
                <w:b w:val="1"/>
                <w:bCs w:val="1"/>
                <w:color w:val="auto"/>
              </w:rPr>
              <w:t>HUMAN CAPITAL MANAGEMENT</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2"/>
        </w:trPr>
        <w:tc>
          <w:tcPr>
            <w:tcW w:w="5320" w:type="dxa"/>
            <w:vAlign w:val="bottom"/>
          </w:tcPr>
          <w:p>
            <w:pPr>
              <w:ind w:left="660"/>
              <w:spacing w:after="0"/>
              <w:rPr>
                <w:sz w:val="20"/>
                <w:szCs w:val="20"/>
                <w:color w:val="auto"/>
              </w:rPr>
            </w:pPr>
            <w:r>
              <w:rPr>
                <w:rFonts w:ascii="Arial" w:cs="Arial" w:eastAsia="Arial" w:hAnsi="Arial"/>
                <w:sz w:val="17"/>
                <w:szCs w:val="17"/>
                <w:color w:val="auto"/>
              </w:rPr>
              <w:t>Contributes to our strategy to attract, motivate and retain a</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4"/>
        </w:trPr>
        <w:tc>
          <w:tcPr>
            <w:tcW w:w="5320" w:type="dxa"/>
            <w:vAlign w:val="bottom"/>
          </w:tcPr>
          <w:p>
            <w:pPr>
              <w:ind w:left="660"/>
              <w:spacing w:after="0"/>
              <w:rPr>
                <w:sz w:val="20"/>
                <w:szCs w:val="20"/>
                <w:color w:val="auto"/>
              </w:rPr>
            </w:pPr>
            <w:r>
              <w:rPr>
                <w:rFonts w:ascii="Arial" w:cs="Arial" w:eastAsia="Arial" w:hAnsi="Arial"/>
                <w:sz w:val="17"/>
                <w:szCs w:val="17"/>
                <w:color w:val="auto"/>
              </w:rPr>
              <w:t>highly qualified workforce, including executives</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68"/>
        </w:trPr>
        <w:tc>
          <w:tcPr>
            <w:tcW w:w="5320" w:type="dxa"/>
            <w:vAlign w:val="bottom"/>
          </w:tcPr>
          <w:p>
            <w:pPr>
              <w:ind w:left="660"/>
              <w:spacing w:after="0"/>
              <w:rPr>
                <w:sz w:val="20"/>
                <w:szCs w:val="20"/>
                <w:color w:val="auto"/>
              </w:rPr>
            </w:pPr>
            <w:r>
              <w:rPr>
                <w:rFonts w:ascii="Arial" w:cs="Arial" w:eastAsia="Arial" w:hAnsi="Arial"/>
                <w:sz w:val="15"/>
                <w:szCs w:val="15"/>
                <w:b w:val="1"/>
                <w:bCs w:val="1"/>
                <w:color w:val="auto"/>
              </w:rPr>
              <w:t>FINANCIAL EXPERT</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2"/>
        </w:trPr>
        <w:tc>
          <w:tcPr>
            <w:tcW w:w="5320" w:type="dxa"/>
            <w:vAlign w:val="bottom"/>
          </w:tcPr>
          <w:p>
            <w:pPr>
              <w:ind w:left="660"/>
              <w:spacing w:after="0"/>
              <w:rPr>
                <w:sz w:val="20"/>
                <w:szCs w:val="20"/>
                <w:color w:val="auto"/>
              </w:rPr>
            </w:pPr>
            <w:r>
              <w:rPr>
                <w:rFonts w:ascii="Arial" w:cs="Arial" w:eastAsia="Arial" w:hAnsi="Arial"/>
                <w:sz w:val="17"/>
                <w:szCs w:val="17"/>
                <w:color w:val="auto"/>
              </w:rPr>
              <w:t>Meets the Securities and Exchange Commission’s (SEC)</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4"/>
        </w:trPr>
        <w:tc>
          <w:tcPr>
            <w:tcW w:w="5320" w:type="dxa"/>
            <w:vAlign w:val="bottom"/>
          </w:tcPr>
          <w:p>
            <w:pPr>
              <w:ind w:left="660"/>
              <w:spacing w:after="0"/>
              <w:rPr>
                <w:sz w:val="20"/>
                <w:szCs w:val="20"/>
                <w:color w:val="auto"/>
              </w:rPr>
            </w:pPr>
            <w:r>
              <w:rPr>
                <w:rFonts w:ascii="Arial" w:cs="Arial" w:eastAsia="Arial" w:hAnsi="Arial"/>
                <w:sz w:val="17"/>
                <w:szCs w:val="17"/>
                <w:color w:val="auto"/>
              </w:rPr>
              <w:t>criteria as an independent “audit committee financial expert”</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81"/>
        </w:trPr>
        <w:tc>
          <w:tcPr>
            <w:tcW w:w="5320" w:type="dxa"/>
            <w:vAlign w:val="bottom"/>
          </w:tcPr>
          <w:p>
            <w:pPr>
              <w:ind w:left="660"/>
              <w:spacing w:after="0"/>
              <w:rPr>
                <w:sz w:val="20"/>
                <w:szCs w:val="20"/>
                <w:color w:val="auto"/>
              </w:rPr>
            </w:pPr>
            <w:r>
              <w:rPr>
                <w:rFonts w:ascii="Arial" w:cs="Arial" w:eastAsia="Arial" w:hAnsi="Arial"/>
                <w:sz w:val="15"/>
                <w:szCs w:val="15"/>
                <w:b w:val="1"/>
                <w:bCs w:val="1"/>
                <w:color w:val="auto"/>
              </w:rPr>
              <w:t>MANUFACTURING</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2"/>
        </w:trPr>
        <w:tc>
          <w:tcPr>
            <w:tcW w:w="5320" w:type="dxa"/>
            <w:vAlign w:val="bottom"/>
          </w:tcPr>
          <w:p>
            <w:pPr>
              <w:ind w:left="660"/>
              <w:spacing w:after="0"/>
              <w:rPr>
                <w:sz w:val="20"/>
                <w:szCs w:val="20"/>
                <w:color w:val="auto"/>
              </w:rPr>
            </w:pPr>
            <w:r>
              <w:rPr>
                <w:rFonts w:ascii="Arial" w:cs="Arial" w:eastAsia="Arial" w:hAnsi="Arial"/>
                <w:sz w:val="17"/>
                <w:szCs w:val="17"/>
                <w:color w:val="auto"/>
              </w:rPr>
              <w:t>Contributes to the understanding of the challenges of</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4"/>
        </w:trPr>
        <w:tc>
          <w:tcPr>
            <w:tcW w:w="5320" w:type="dxa"/>
            <w:vAlign w:val="bottom"/>
          </w:tcPr>
          <w:p>
            <w:pPr>
              <w:ind w:left="660"/>
              <w:spacing w:after="0"/>
              <w:rPr>
                <w:sz w:val="20"/>
                <w:szCs w:val="20"/>
                <w:color w:val="auto"/>
              </w:rPr>
            </w:pPr>
            <w:r>
              <w:rPr>
                <w:rFonts w:ascii="Arial" w:cs="Arial" w:eastAsia="Arial" w:hAnsi="Arial"/>
                <w:sz w:val="17"/>
                <w:szCs w:val="17"/>
                <w:color w:val="auto"/>
              </w:rPr>
              <w:t>complex manufacturing</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41"/>
        </w:trPr>
        <w:tc>
          <w:tcPr>
            <w:tcW w:w="5320" w:type="dxa"/>
            <w:vAlign w:val="bottom"/>
          </w:tcPr>
          <w:p>
            <w:pPr>
              <w:ind w:left="660"/>
              <w:spacing w:after="0"/>
              <w:rPr>
                <w:sz w:val="20"/>
                <w:szCs w:val="20"/>
                <w:color w:val="auto"/>
              </w:rPr>
            </w:pPr>
            <w:r>
              <w:rPr>
                <w:rFonts w:ascii="Arial" w:cs="Arial" w:eastAsia="Arial" w:hAnsi="Arial"/>
                <w:sz w:val="15"/>
                <w:szCs w:val="15"/>
                <w:b w:val="1"/>
                <w:bCs w:val="1"/>
                <w:color w:val="auto"/>
              </w:rPr>
              <w:t>GOVERNMENT / MILITARY EXPERIENCE</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2"/>
        </w:trPr>
        <w:tc>
          <w:tcPr>
            <w:tcW w:w="5320" w:type="dxa"/>
            <w:vAlign w:val="bottom"/>
          </w:tcPr>
          <w:p>
            <w:pPr>
              <w:ind w:left="660"/>
              <w:spacing w:after="0"/>
              <w:rPr>
                <w:sz w:val="20"/>
                <w:szCs w:val="20"/>
                <w:color w:val="auto"/>
              </w:rPr>
            </w:pPr>
            <w:r>
              <w:rPr>
                <w:rFonts w:ascii="Arial" w:cs="Arial" w:eastAsia="Arial" w:hAnsi="Arial"/>
                <w:sz w:val="17"/>
                <w:szCs w:val="17"/>
                <w:color w:val="auto"/>
              </w:rPr>
              <w:t>Contributes to the understanding of our customers and the</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4"/>
        </w:trPr>
        <w:tc>
          <w:tcPr>
            <w:tcW w:w="5320" w:type="dxa"/>
            <w:vAlign w:val="bottom"/>
          </w:tcPr>
          <w:p>
            <w:pPr>
              <w:ind w:left="660"/>
              <w:spacing w:after="0"/>
              <w:rPr>
                <w:sz w:val="20"/>
                <w:szCs w:val="20"/>
                <w:color w:val="auto"/>
              </w:rPr>
            </w:pPr>
            <w:r>
              <w:rPr>
                <w:rFonts w:ascii="Arial" w:cs="Arial" w:eastAsia="Arial" w:hAnsi="Arial"/>
                <w:sz w:val="17"/>
                <w:szCs w:val="17"/>
                <w:color w:val="auto"/>
              </w:rPr>
              <w:t>relevant policy issues</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41"/>
        </w:trPr>
        <w:tc>
          <w:tcPr>
            <w:tcW w:w="5320" w:type="dxa"/>
            <w:vAlign w:val="bottom"/>
          </w:tcPr>
          <w:p>
            <w:pPr>
              <w:ind w:left="660"/>
              <w:spacing w:after="0"/>
              <w:rPr>
                <w:sz w:val="20"/>
                <w:szCs w:val="20"/>
                <w:color w:val="auto"/>
              </w:rPr>
            </w:pPr>
            <w:r>
              <w:rPr>
                <w:rFonts w:ascii="Arial" w:cs="Arial" w:eastAsia="Arial" w:hAnsi="Arial"/>
                <w:sz w:val="15"/>
                <w:szCs w:val="15"/>
                <w:b w:val="1"/>
                <w:bCs w:val="1"/>
                <w:color w:val="auto"/>
              </w:rPr>
              <w:t>GLOBAL EXPERIENCE</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2"/>
        </w:trPr>
        <w:tc>
          <w:tcPr>
            <w:tcW w:w="5320" w:type="dxa"/>
            <w:vAlign w:val="bottom"/>
          </w:tcPr>
          <w:p>
            <w:pPr>
              <w:ind w:left="660"/>
              <w:spacing w:after="0"/>
              <w:rPr>
                <w:sz w:val="20"/>
                <w:szCs w:val="20"/>
                <w:color w:val="auto"/>
              </w:rPr>
            </w:pPr>
            <w:r>
              <w:rPr>
                <w:rFonts w:ascii="Arial" w:cs="Arial" w:eastAsia="Arial" w:hAnsi="Arial"/>
                <w:sz w:val="17"/>
                <w:szCs w:val="17"/>
                <w:color w:val="auto"/>
              </w:rPr>
              <w:t>Contributes to the understanding of operations and business</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4"/>
        </w:trPr>
        <w:tc>
          <w:tcPr>
            <w:tcW w:w="5320" w:type="dxa"/>
            <w:vAlign w:val="bottom"/>
          </w:tcPr>
          <w:p>
            <w:pPr>
              <w:ind w:left="660"/>
              <w:spacing w:after="0"/>
              <w:rPr>
                <w:sz w:val="20"/>
                <w:szCs w:val="20"/>
                <w:color w:val="auto"/>
              </w:rPr>
            </w:pPr>
            <w:r>
              <w:rPr>
                <w:rFonts w:ascii="Arial" w:cs="Arial" w:eastAsia="Arial" w:hAnsi="Arial"/>
                <w:sz w:val="17"/>
                <w:szCs w:val="17"/>
                <w:color w:val="auto"/>
              </w:rPr>
              <w:t>strategy abroad</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41"/>
        </w:trPr>
        <w:tc>
          <w:tcPr>
            <w:tcW w:w="5320" w:type="dxa"/>
            <w:vAlign w:val="bottom"/>
          </w:tcPr>
          <w:p>
            <w:pPr>
              <w:ind w:left="660"/>
              <w:spacing w:after="0"/>
              <w:rPr>
                <w:sz w:val="20"/>
                <w:szCs w:val="20"/>
                <w:color w:val="auto"/>
              </w:rPr>
            </w:pPr>
            <w:r>
              <w:rPr>
                <w:rFonts w:ascii="Arial" w:cs="Arial" w:eastAsia="Arial" w:hAnsi="Arial"/>
                <w:sz w:val="15"/>
                <w:szCs w:val="15"/>
                <w:b w:val="1"/>
                <w:bCs w:val="1"/>
                <w:color w:val="auto"/>
              </w:rPr>
              <w:t>ENGINEERING, TECHNOLOGY &amp; INNOVATION</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2"/>
        </w:trPr>
        <w:tc>
          <w:tcPr>
            <w:tcW w:w="5320" w:type="dxa"/>
            <w:vAlign w:val="bottom"/>
          </w:tcPr>
          <w:p>
            <w:pPr>
              <w:ind w:left="660"/>
              <w:spacing w:after="0"/>
              <w:rPr>
                <w:sz w:val="20"/>
                <w:szCs w:val="20"/>
                <w:color w:val="auto"/>
              </w:rPr>
            </w:pPr>
            <w:r>
              <w:rPr>
                <w:rFonts w:ascii="Arial" w:cs="Arial" w:eastAsia="Arial" w:hAnsi="Arial"/>
                <w:sz w:val="17"/>
                <w:szCs w:val="17"/>
                <w:color w:val="auto"/>
              </w:rPr>
              <w:t>Contributes to the understanding of key technology</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4"/>
        </w:trPr>
        <w:tc>
          <w:tcPr>
            <w:tcW w:w="5320" w:type="dxa"/>
            <w:vAlign w:val="bottom"/>
          </w:tcPr>
          <w:p>
            <w:pPr>
              <w:ind w:left="660"/>
              <w:spacing w:after="0"/>
              <w:rPr>
                <w:sz w:val="20"/>
                <w:szCs w:val="20"/>
                <w:color w:val="auto"/>
              </w:rPr>
            </w:pPr>
            <w:r>
              <w:rPr>
                <w:rFonts w:ascii="Arial" w:cs="Arial" w:eastAsia="Arial" w:hAnsi="Arial"/>
                <w:sz w:val="17"/>
                <w:szCs w:val="17"/>
                <w:color w:val="auto"/>
              </w:rPr>
              <w:t>imperatives</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28"/>
        </w:trPr>
        <w:tc>
          <w:tcPr>
            <w:tcW w:w="5320" w:type="dxa"/>
            <w:vAlign w:val="bottom"/>
          </w:tcPr>
          <w:p>
            <w:pPr>
              <w:ind w:left="660"/>
              <w:spacing w:after="0"/>
              <w:rPr>
                <w:sz w:val="20"/>
                <w:szCs w:val="20"/>
                <w:color w:val="auto"/>
              </w:rPr>
            </w:pPr>
            <w:r>
              <w:rPr>
                <w:rFonts w:ascii="Arial" w:cs="Arial" w:eastAsia="Arial" w:hAnsi="Arial"/>
                <w:sz w:val="15"/>
                <w:szCs w:val="15"/>
                <w:b w:val="1"/>
                <w:bCs w:val="1"/>
                <w:color w:val="auto"/>
              </w:rPr>
              <w:t>RISK MANAGEMENT</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2"/>
        </w:trPr>
        <w:tc>
          <w:tcPr>
            <w:tcW w:w="5320" w:type="dxa"/>
            <w:vAlign w:val="bottom"/>
          </w:tcPr>
          <w:p>
            <w:pPr>
              <w:ind w:left="660"/>
              <w:spacing w:after="0"/>
              <w:rPr>
                <w:sz w:val="20"/>
                <w:szCs w:val="20"/>
                <w:color w:val="auto"/>
              </w:rPr>
            </w:pPr>
            <w:r>
              <w:rPr>
                <w:rFonts w:ascii="Arial" w:cs="Arial" w:eastAsia="Arial" w:hAnsi="Arial"/>
                <w:sz w:val="17"/>
                <w:szCs w:val="17"/>
                <w:color w:val="auto"/>
              </w:rPr>
              <w:t>Contributes to the identification, assessment and mitigation</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4"/>
        </w:trPr>
        <w:tc>
          <w:tcPr>
            <w:tcW w:w="5320" w:type="dxa"/>
            <w:vAlign w:val="bottom"/>
          </w:tcPr>
          <w:p>
            <w:pPr>
              <w:ind w:left="660"/>
              <w:spacing w:after="0"/>
              <w:rPr>
                <w:sz w:val="20"/>
                <w:szCs w:val="20"/>
                <w:color w:val="auto"/>
              </w:rPr>
            </w:pPr>
            <w:r>
              <w:rPr>
                <w:rFonts w:ascii="Arial" w:cs="Arial" w:eastAsia="Arial" w:hAnsi="Arial"/>
                <w:sz w:val="17"/>
                <w:szCs w:val="17"/>
                <w:color w:val="auto"/>
              </w:rPr>
              <w:t>of risks facing the Company</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41"/>
        </w:trPr>
        <w:tc>
          <w:tcPr>
            <w:tcW w:w="5320" w:type="dxa"/>
            <w:vAlign w:val="bottom"/>
          </w:tcPr>
          <w:p>
            <w:pPr>
              <w:ind w:left="660"/>
              <w:spacing w:after="0"/>
              <w:rPr>
                <w:sz w:val="20"/>
                <w:szCs w:val="20"/>
                <w:color w:val="auto"/>
              </w:rPr>
            </w:pPr>
            <w:r>
              <w:rPr>
                <w:rFonts w:ascii="Arial" w:cs="Arial" w:eastAsia="Arial" w:hAnsi="Arial"/>
                <w:sz w:val="15"/>
                <w:szCs w:val="15"/>
                <w:b w:val="1"/>
                <w:bCs w:val="1"/>
                <w:color w:val="auto"/>
              </w:rPr>
              <w:t>CYBERSECURITY / INFORMATION TECHNOLOGY</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02"/>
        </w:trPr>
        <w:tc>
          <w:tcPr>
            <w:tcW w:w="5320" w:type="dxa"/>
            <w:vAlign w:val="bottom"/>
          </w:tcPr>
          <w:p>
            <w:pPr>
              <w:ind w:left="660"/>
              <w:spacing w:after="0"/>
              <w:rPr>
                <w:sz w:val="20"/>
                <w:szCs w:val="20"/>
                <w:color w:val="auto"/>
              </w:rPr>
            </w:pPr>
            <w:r>
              <w:rPr>
                <w:rFonts w:ascii="Arial" w:cs="Arial" w:eastAsia="Arial" w:hAnsi="Arial"/>
                <w:sz w:val="17"/>
                <w:szCs w:val="17"/>
                <w:color w:val="auto"/>
              </w:rPr>
              <w:t>Contributes to the understanding and oversight of</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4"/>
        </w:trPr>
        <w:tc>
          <w:tcPr>
            <w:tcW w:w="5320" w:type="dxa"/>
            <w:vAlign w:val="bottom"/>
          </w:tcPr>
          <w:p>
            <w:pPr>
              <w:ind w:left="660"/>
              <w:spacing w:after="0"/>
              <w:rPr>
                <w:sz w:val="20"/>
                <w:szCs w:val="20"/>
                <w:color w:val="auto"/>
              </w:rPr>
            </w:pPr>
            <w:r>
              <w:rPr>
                <w:rFonts w:ascii="Arial" w:cs="Arial" w:eastAsia="Arial" w:hAnsi="Arial"/>
                <w:sz w:val="17"/>
                <w:szCs w:val="17"/>
                <w:color w:val="auto"/>
              </w:rPr>
              <w:t>cybersecurity threats and digital transformation</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363"/>
        </w:trPr>
        <w:tc>
          <w:tcPr>
            <w:tcW w:w="5320" w:type="dxa"/>
            <w:vAlign w:val="bottom"/>
          </w:tcPr>
          <w:p>
            <w:pPr>
              <w:spacing w:after="0"/>
              <w:rPr>
                <w:sz w:val="20"/>
                <w:szCs w:val="20"/>
                <w:color w:val="auto"/>
              </w:rPr>
            </w:pPr>
            <w:r>
              <w:rPr>
                <w:rFonts w:ascii="Arial" w:cs="Arial" w:eastAsia="Arial" w:hAnsi="Arial"/>
                <w:sz w:val="17"/>
                <w:szCs w:val="17"/>
                <w:b w:val="1"/>
                <w:bCs w:val="1"/>
                <w:color w:val="auto"/>
              </w:rPr>
              <w:t>OTHER BOARD DEMOGRAPHICS</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09"/>
        </w:trPr>
        <w:tc>
          <w:tcPr>
            <w:tcW w:w="5320" w:type="dxa"/>
            <w:vAlign w:val="bottom"/>
          </w:tcPr>
          <w:p>
            <w:pPr>
              <w:spacing w:after="0"/>
              <w:rPr>
                <w:sz w:val="20"/>
                <w:szCs w:val="20"/>
                <w:color w:val="auto"/>
              </w:rPr>
            </w:pPr>
            <w:r>
              <w:rPr>
                <w:rFonts w:ascii="Arial" w:cs="Arial" w:eastAsia="Arial" w:hAnsi="Arial"/>
                <w:sz w:val="17"/>
                <w:szCs w:val="17"/>
                <w:color w:val="auto"/>
              </w:rPr>
              <w:t>Caucasian/White</w:t>
            </w: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69"/>
        </w:trPr>
        <w:tc>
          <w:tcPr>
            <w:tcW w:w="5320" w:type="dxa"/>
            <w:vAlign w:val="bottom"/>
          </w:tcPr>
          <w:p>
            <w:pPr>
              <w:spacing w:after="0"/>
              <w:rPr>
                <w:sz w:val="20"/>
                <w:szCs w:val="20"/>
                <w:color w:val="auto"/>
              </w:rPr>
            </w:pPr>
            <w:r>
              <w:rPr>
                <w:rFonts w:ascii="Arial" w:cs="Arial" w:eastAsia="Arial" w:hAnsi="Arial"/>
                <w:sz w:val="17"/>
                <w:szCs w:val="17"/>
                <w:color w:val="auto"/>
              </w:rPr>
              <w:t>African American/Black</w:t>
            </w: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69"/>
        </w:trPr>
        <w:tc>
          <w:tcPr>
            <w:tcW w:w="5320" w:type="dxa"/>
            <w:vAlign w:val="bottom"/>
          </w:tcPr>
          <w:p>
            <w:pPr>
              <w:spacing w:after="0"/>
              <w:rPr>
                <w:sz w:val="20"/>
                <w:szCs w:val="20"/>
                <w:color w:val="auto"/>
              </w:rPr>
            </w:pPr>
            <w:r>
              <w:rPr>
                <w:rFonts w:ascii="Arial" w:cs="Arial" w:eastAsia="Arial" w:hAnsi="Arial"/>
                <w:sz w:val="17"/>
                <w:szCs w:val="17"/>
                <w:color w:val="auto"/>
              </w:rPr>
              <w:t>Veterans of the U.S. Armed Forces</w:t>
            </w: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20" w:type="dxa"/>
            <w:vAlign w:val="bottom"/>
          </w:tcPr>
          <w:p>
            <w:pPr>
              <w:spacing w:after="0"/>
              <w:rPr>
                <w:sz w:val="23"/>
                <w:szCs w:val="23"/>
                <w:color w:val="auto"/>
              </w:rPr>
            </w:pPr>
          </w:p>
        </w:tc>
      </w:tr>
      <w:tr>
        <w:trPr>
          <w:trHeight w:val="269"/>
        </w:trPr>
        <w:tc>
          <w:tcPr>
            <w:tcW w:w="5320" w:type="dxa"/>
            <w:vAlign w:val="bottom"/>
          </w:tcPr>
          <w:p>
            <w:pPr>
              <w:spacing w:after="0"/>
              <w:rPr>
                <w:sz w:val="20"/>
                <w:szCs w:val="20"/>
                <w:color w:val="auto"/>
              </w:rPr>
            </w:pPr>
            <w:r>
              <w:rPr>
                <w:rFonts w:ascii="Arial" w:cs="Arial" w:eastAsia="Arial" w:hAnsi="Arial"/>
                <w:sz w:val="17"/>
                <w:szCs w:val="17"/>
                <w:color w:val="auto"/>
              </w:rPr>
              <w:t>Gender (Male/Female)</w:t>
            </w:r>
          </w:p>
        </w:tc>
        <w:tc>
          <w:tcPr>
            <w:tcW w:w="440" w:type="dxa"/>
            <w:vAlign w:val="bottom"/>
          </w:tcPr>
          <w:p>
            <w:pPr>
              <w:ind w:left="140"/>
              <w:spacing w:after="0"/>
              <w:rPr>
                <w:sz w:val="20"/>
                <w:szCs w:val="20"/>
                <w:color w:val="auto"/>
              </w:rPr>
            </w:pPr>
            <w:r>
              <w:rPr>
                <w:rFonts w:ascii="Arial" w:cs="Arial" w:eastAsia="Arial" w:hAnsi="Arial"/>
                <w:sz w:val="17"/>
                <w:szCs w:val="17"/>
                <w:color w:val="auto"/>
              </w:rPr>
              <w:t>M</w:t>
            </w:r>
          </w:p>
        </w:tc>
        <w:tc>
          <w:tcPr>
            <w:tcW w:w="440" w:type="dxa"/>
            <w:vAlign w:val="bottom"/>
          </w:tcPr>
          <w:p>
            <w:pPr>
              <w:ind w:left="140"/>
              <w:spacing w:after="0"/>
              <w:rPr>
                <w:sz w:val="20"/>
                <w:szCs w:val="20"/>
                <w:color w:val="auto"/>
              </w:rPr>
            </w:pPr>
            <w:r>
              <w:rPr>
                <w:rFonts w:ascii="Arial" w:cs="Arial" w:eastAsia="Arial" w:hAnsi="Arial"/>
                <w:sz w:val="17"/>
                <w:szCs w:val="17"/>
                <w:color w:val="auto"/>
              </w:rPr>
              <w:t>M</w:t>
            </w:r>
          </w:p>
        </w:tc>
        <w:tc>
          <w:tcPr>
            <w:tcW w:w="440" w:type="dxa"/>
            <w:vAlign w:val="bottom"/>
          </w:tcPr>
          <w:p>
            <w:pPr>
              <w:ind w:left="160"/>
              <w:spacing w:after="0"/>
              <w:rPr>
                <w:sz w:val="20"/>
                <w:szCs w:val="20"/>
                <w:color w:val="auto"/>
              </w:rPr>
            </w:pPr>
            <w:r>
              <w:rPr>
                <w:rFonts w:ascii="Arial" w:cs="Arial" w:eastAsia="Arial" w:hAnsi="Arial"/>
                <w:sz w:val="17"/>
                <w:szCs w:val="17"/>
                <w:color w:val="auto"/>
              </w:rPr>
              <w:t>M</w:t>
            </w:r>
          </w:p>
        </w:tc>
        <w:tc>
          <w:tcPr>
            <w:tcW w:w="460" w:type="dxa"/>
            <w:vAlign w:val="bottom"/>
          </w:tcPr>
          <w:p>
            <w:pPr>
              <w:ind w:left="160"/>
              <w:spacing w:after="0"/>
              <w:rPr>
                <w:sz w:val="20"/>
                <w:szCs w:val="20"/>
                <w:color w:val="auto"/>
              </w:rPr>
            </w:pPr>
            <w:r>
              <w:rPr>
                <w:rFonts w:ascii="Arial" w:cs="Arial" w:eastAsia="Arial" w:hAnsi="Arial"/>
                <w:sz w:val="17"/>
                <w:szCs w:val="17"/>
                <w:color w:val="auto"/>
              </w:rPr>
              <w:t>M</w:t>
            </w:r>
          </w:p>
        </w:tc>
        <w:tc>
          <w:tcPr>
            <w:tcW w:w="440" w:type="dxa"/>
            <w:vAlign w:val="bottom"/>
          </w:tcPr>
          <w:p>
            <w:pPr>
              <w:ind w:left="160"/>
              <w:spacing w:after="0"/>
              <w:rPr>
                <w:sz w:val="20"/>
                <w:szCs w:val="20"/>
                <w:color w:val="auto"/>
              </w:rPr>
            </w:pPr>
            <w:r>
              <w:rPr>
                <w:rFonts w:ascii="Arial" w:cs="Arial" w:eastAsia="Arial" w:hAnsi="Arial"/>
                <w:sz w:val="17"/>
                <w:szCs w:val="17"/>
                <w:color w:val="auto"/>
              </w:rPr>
              <w:t>M</w:t>
            </w:r>
          </w:p>
        </w:tc>
        <w:tc>
          <w:tcPr>
            <w:tcW w:w="440" w:type="dxa"/>
            <w:vAlign w:val="bottom"/>
          </w:tcPr>
          <w:p>
            <w:pPr>
              <w:ind w:left="160"/>
              <w:spacing w:after="0"/>
              <w:rPr>
                <w:sz w:val="20"/>
                <w:szCs w:val="20"/>
                <w:color w:val="auto"/>
              </w:rPr>
            </w:pPr>
            <w:r>
              <w:rPr>
                <w:rFonts w:ascii="Arial" w:cs="Arial" w:eastAsia="Arial" w:hAnsi="Arial"/>
                <w:sz w:val="17"/>
                <w:szCs w:val="17"/>
                <w:color w:val="auto"/>
              </w:rPr>
              <w:t>M</w:t>
            </w:r>
          </w:p>
        </w:tc>
        <w:tc>
          <w:tcPr>
            <w:tcW w:w="460" w:type="dxa"/>
            <w:vAlign w:val="bottom"/>
          </w:tcPr>
          <w:p>
            <w:pPr>
              <w:ind w:left="160"/>
              <w:spacing w:after="0"/>
              <w:rPr>
                <w:sz w:val="20"/>
                <w:szCs w:val="20"/>
                <w:color w:val="auto"/>
              </w:rPr>
            </w:pPr>
            <w:r>
              <w:rPr>
                <w:rFonts w:ascii="Arial" w:cs="Arial" w:eastAsia="Arial" w:hAnsi="Arial"/>
                <w:sz w:val="17"/>
                <w:szCs w:val="17"/>
                <w:color w:val="auto"/>
              </w:rPr>
              <w:t>M</w:t>
            </w:r>
          </w:p>
        </w:tc>
        <w:tc>
          <w:tcPr>
            <w:tcW w:w="440" w:type="dxa"/>
            <w:vAlign w:val="bottom"/>
          </w:tcPr>
          <w:p>
            <w:pPr>
              <w:ind w:left="160"/>
              <w:spacing w:after="0"/>
              <w:rPr>
                <w:sz w:val="20"/>
                <w:szCs w:val="20"/>
                <w:color w:val="auto"/>
              </w:rPr>
            </w:pPr>
            <w:r>
              <w:rPr>
                <w:rFonts w:ascii="Arial" w:cs="Arial" w:eastAsia="Arial" w:hAnsi="Arial"/>
                <w:sz w:val="17"/>
                <w:szCs w:val="17"/>
                <w:color w:val="auto"/>
              </w:rPr>
              <w:t>F</w:t>
            </w:r>
          </w:p>
        </w:tc>
        <w:tc>
          <w:tcPr>
            <w:tcW w:w="440" w:type="dxa"/>
            <w:vAlign w:val="bottom"/>
          </w:tcPr>
          <w:p>
            <w:pPr>
              <w:ind w:left="160"/>
              <w:spacing w:after="0"/>
              <w:rPr>
                <w:sz w:val="20"/>
                <w:szCs w:val="20"/>
                <w:color w:val="auto"/>
              </w:rPr>
            </w:pPr>
            <w:r>
              <w:rPr>
                <w:rFonts w:ascii="Arial" w:cs="Arial" w:eastAsia="Arial" w:hAnsi="Arial"/>
                <w:sz w:val="17"/>
                <w:szCs w:val="17"/>
                <w:color w:val="auto"/>
              </w:rPr>
              <w:t>F</w:t>
            </w:r>
          </w:p>
        </w:tc>
        <w:tc>
          <w:tcPr>
            <w:tcW w:w="460" w:type="dxa"/>
            <w:vAlign w:val="bottom"/>
          </w:tcPr>
          <w:p>
            <w:pPr>
              <w:ind w:left="160"/>
              <w:spacing w:after="0"/>
              <w:rPr>
                <w:sz w:val="20"/>
                <w:szCs w:val="20"/>
                <w:color w:val="auto"/>
              </w:rPr>
            </w:pPr>
            <w:r>
              <w:rPr>
                <w:rFonts w:ascii="Arial" w:cs="Arial" w:eastAsia="Arial" w:hAnsi="Arial"/>
                <w:sz w:val="17"/>
                <w:szCs w:val="17"/>
                <w:color w:val="auto"/>
              </w:rPr>
              <w:t>M</w:t>
            </w:r>
          </w:p>
        </w:tc>
        <w:tc>
          <w:tcPr>
            <w:tcW w:w="480" w:type="dxa"/>
            <w:vAlign w:val="bottom"/>
          </w:tcPr>
          <w:p>
            <w:pPr>
              <w:ind w:left="180"/>
              <w:spacing w:after="0"/>
              <w:rPr>
                <w:sz w:val="20"/>
                <w:szCs w:val="20"/>
                <w:color w:val="auto"/>
              </w:rPr>
            </w:pPr>
            <w:r>
              <w:rPr>
                <w:rFonts w:ascii="Arial" w:cs="Arial" w:eastAsia="Arial" w:hAnsi="Arial"/>
                <w:sz w:val="17"/>
                <w:szCs w:val="17"/>
                <w:color w:val="auto"/>
              </w:rPr>
              <w:t>F</w:t>
            </w:r>
          </w:p>
        </w:tc>
        <w:tc>
          <w:tcPr>
            <w:tcW w:w="480" w:type="dxa"/>
            <w:vAlign w:val="bottom"/>
          </w:tcPr>
          <w:p>
            <w:pPr>
              <w:ind w:left="160"/>
              <w:spacing w:after="0"/>
              <w:rPr>
                <w:sz w:val="20"/>
                <w:szCs w:val="20"/>
                <w:color w:val="auto"/>
              </w:rPr>
            </w:pPr>
            <w:r>
              <w:rPr>
                <w:rFonts w:ascii="Arial" w:cs="Arial" w:eastAsia="Arial" w:hAnsi="Arial"/>
                <w:sz w:val="17"/>
                <w:szCs w:val="17"/>
                <w:color w:val="auto"/>
              </w:rPr>
              <w:t>M</w:t>
            </w:r>
          </w:p>
        </w:tc>
        <w:tc>
          <w:tcPr>
            <w:tcW w:w="320" w:type="dxa"/>
            <w:vAlign w:val="bottom"/>
          </w:tcPr>
          <w:p>
            <w:pPr>
              <w:ind w:left="180"/>
              <w:spacing w:after="0"/>
              <w:rPr>
                <w:sz w:val="20"/>
                <w:szCs w:val="20"/>
                <w:color w:val="auto"/>
              </w:rPr>
            </w:pPr>
            <w:r>
              <w:rPr>
                <w:rFonts w:ascii="Arial" w:cs="Arial" w:eastAsia="Arial" w:hAnsi="Arial"/>
                <w:sz w:val="17"/>
                <w:szCs w:val="17"/>
                <w:color w:val="auto"/>
              </w:rPr>
              <w:t>F</w:t>
            </w:r>
          </w:p>
        </w:tc>
      </w:tr>
      <w:tr>
        <w:trPr>
          <w:trHeight w:val="269"/>
        </w:trPr>
        <w:tc>
          <w:tcPr>
            <w:tcW w:w="5320" w:type="dxa"/>
            <w:vAlign w:val="bottom"/>
          </w:tcPr>
          <w:p>
            <w:pPr>
              <w:spacing w:after="0"/>
              <w:rPr>
                <w:sz w:val="20"/>
                <w:szCs w:val="20"/>
                <w:color w:val="auto"/>
              </w:rPr>
            </w:pPr>
            <w:r>
              <w:rPr>
                <w:rFonts w:ascii="Arial" w:cs="Arial" w:eastAsia="Arial" w:hAnsi="Arial"/>
                <w:sz w:val="17"/>
                <w:szCs w:val="17"/>
                <w:color w:val="auto"/>
              </w:rPr>
              <w:t>Age</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73</w:t>
            </w:r>
          </w:p>
        </w:tc>
        <w:tc>
          <w:tcPr>
            <w:tcW w:w="440" w:type="dxa"/>
            <w:vAlign w:val="bottom"/>
          </w:tcPr>
          <w:p>
            <w:pPr>
              <w:ind w:left="120"/>
              <w:spacing w:after="0"/>
              <w:rPr>
                <w:sz w:val="20"/>
                <w:szCs w:val="20"/>
                <w:color w:val="auto"/>
              </w:rPr>
            </w:pPr>
            <w:r>
              <w:rPr>
                <w:rFonts w:ascii="Arial" w:cs="Arial" w:eastAsia="Arial" w:hAnsi="Arial"/>
                <w:sz w:val="17"/>
                <w:szCs w:val="17"/>
                <w:color w:val="auto"/>
              </w:rPr>
              <w:t>66</w:t>
            </w:r>
          </w:p>
        </w:tc>
        <w:tc>
          <w:tcPr>
            <w:tcW w:w="440" w:type="dxa"/>
            <w:vAlign w:val="bottom"/>
          </w:tcPr>
          <w:p>
            <w:pPr>
              <w:jc w:val="right"/>
              <w:ind w:right="35"/>
              <w:spacing w:after="0"/>
              <w:rPr>
                <w:sz w:val="20"/>
                <w:szCs w:val="20"/>
                <w:color w:val="auto"/>
              </w:rPr>
            </w:pPr>
            <w:r>
              <w:rPr>
                <w:rFonts w:ascii="Arial" w:cs="Arial" w:eastAsia="Arial" w:hAnsi="Arial"/>
                <w:sz w:val="17"/>
                <w:szCs w:val="17"/>
                <w:color w:val="auto"/>
              </w:rPr>
              <w:t>72</w:t>
            </w:r>
          </w:p>
        </w:tc>
        <w:tc>
          <w:tcPr>
            <w:tcW w:w="460" w:type="dxa"/>
            <w:vAlign w:val="bottom"/>
          </w:tcPr>
          <w:p>
            <w:pPr>
              <w:jc w:val="right"/>
              <w:ind w:right="55"/>
              <w:spacing w:after="0"/>
              <w:rPr>
                <w:sz w:val="20"/>
                <w:szCs w:val="20"/>
                <w:color w:val="auto"/>
              </w:rPr>
            </w:pPr>
            <w:r>
              <w:rPr>
                <w:rFonts w:ascii="Arial" w:cs="Arial" w:eastAsia="Arial" w:hAnsi="Arial"/>
                <w:sz w:val="17"/>
                <w:szCs w:val="17"/>
                <w:color w:val="auto"/>
              </w:rPr>
              <w:t>61</w:t>
            </w:r>
          </w:p>
        </w:tc>
        <w:tc>
          <w:tcPr>
            <w:tcW w:w="440" w:type="dxa"/>
            <w:vAlign w:val="bottom"/>
          </w:tcPr>
          <w:p>
            <w:pPr>
              <w:jc w:val="right"/>
              <w:ind w:right="35"/>
              <w:spacing w:after="0"/>
              <w:rPr>
                <w:sz w:val="20"/>
                <w:szCs w:val="20"/>
                <w:color w:val="auto"/>
              </w:rPr>
            </w:pPr>
            <w:r>
              <w:rPr>
                <w:rFonts w:ascii="Arial" w:cs="Arial" w:eastAsia="Arial" w:hAnsi="Arial"/>
                <w:sz w:val="17"/>
                <w:szCs w:val="17"/>
                <w:color w:val="auto"/>
              </w:rPr>
              <w:t>66</w:t>
            </w:r>
          </w:p>
        </w:tc>
        <w:tc>
          <w:tcPr>
            <w:tcW w:w="440" w:type="dxa"/>
            <w:vAlign w:val="bottom"/>
          </w:tcPr>
          <w:p>
            <w:pPr>
              <w:ind w:left="140"/>
              <w:spacing w:after="0"/>
              <w:rPr>
                <w:sz w:val="20"/>
                <w:szCs w:val="20"/>
                <w:color w:val="auto"/>
              </w:rPr>
            </w:pPr>
            <w:r>
              <w:rPr>
                <w:rFonts w:ascii="Arial" w:cs="Arial" w:eastAsia="Arial" w:hAnsi="Arial"/>
                <w:sz w:val="17"/>
                <w:szCs w:val="17"/>
                <w:color w:val="auto"/>
              </w:rPr>
              <w:t>74</w:t>
            </w:r>
          </w:p>
        </w:tc>
        <w:tc>
          <w:tcPr>
            <w:tcW w:w="460" w:type="dxa"/>
            <w:vAlign w:val="bottom"/>
          </w:tcPr>
          <w:p>
            <w:pPr>
              <w:ind w:left="140"/>
              <w:spacing w:after="0"/>
              <w:rPr>
                <w:sz w:val="20"/>
                <w:szCs w:val="20"/>
                <w:color w:val="auto"/>
              </w:rPr>
            </w:pPr>
            <w:r>
              <w:rPr>
                <w:rFonts w:ascii="Arial" w:cs="Arial" w:eastAsia="Arial" w:hAnsi="Arial"/>
                <w:sz w:val="17"/>
                <w:szCs w:val="17"/>
                <w:color w:val="auto"/>
              </w:rPr>
              <w:t>63</w:t>
            </w:r>
          </w:p>
        </w:tc>
        <w:tc>
          <w:tcPr>
            <w:tcW w:w="440" w:type="dxa"/>
            <w:vAlign w:val="bottom"/>
          </w:tcPr>
          <w:p>
            <w:pPr>
              <w:jc w:val="right"/>
              <w:ind w:right="55"/>
              <w:spacing w:after="0"/>
              <w:rPr>
                <w:sz w:val="20"/>
                <w:szCs w:val="20"/>
                <w:color w:val="auto"/>
              </w:rPr>
            </w:pPr>
            <w:r>
              <w:rPr>
                <w:rFonts w:ascii="Arial" w:cs="Arial" w:eastAsia="Arial" w:hAnsi="Arial"/>
                <w:sz w:val="17"/>
                <w:szCs w:val="17"/>
                <w:color w:val="auto"/>
              </w:rPr>
              <w:t>68</w:t>
            </w:r>
          </w:p>
        </w:tc>
        <w:tc>
          <w:tcPr>
            <w:tcW w:w="440" w:type="dxa"/>
            <w:vAlign w:val="bottom"/>
          </w:tcPr>
          <w:p>
            <w:pPr>
              <w:jc w:val="right"/>
              <w:ind w:right="35"/>
              <w:spacing w:after="0"/>
              <w:rPr>
                <w:sz w:val="20"/>
                <w:szCs w:val="20"/>
                <w:color w:val="auto"/>
              </w:rPr>
            </w:pPr>
            <w:r>
              <w:rPr>
                <w:rFonts w:ascii="Arial" w:cs="Arial" w:eastAsia="Arial" w:hAnsi="Arial"/>
                <w:sz w:val="17"/>
                <w:szCs w:val="17"/>
                <w:color w:val="auto"/>
              </w:rPr>
              <w:t>62</w:t>
            </w:r>
          </w:p>
        </w:tc>
        <w:tc>
          <w:tcPr>
            <w:tcW w:w="460" w:type="dxa"/>
            <w:vAlign w:val="bottom"/>
          </w:tcPr>
          <w:p>
            <w:pPr>
              <w:jc w:val="right"/>
              <w:ind w:right="55"/>
              <w:spacing w:after="0"/>
              <w:rPr>
                <w:sz w:val="20"/>
                <w:szCs w:val="20"/>
                <w:color w:val="auto"/>
              </w:rPr>
            </w:pPr>
            <w:r>
              <w:rPr>
                <w:rFonts w:ascii="Arial" w:cs="Arial" w:eastAsia="Arial" w:hAnsi="Arial"/>
                <w:sz w:val="17"/>
                <w:szCs w:val="17"/>
                <w:color w:val="auto"/>
              </w:rPr>
              <w:t>64</w:t>
            </w:r>
          </w:p>
        </w:tc>
        <w:tc>
          <w:tcPr>
            <w:tcW w:w="480" w:type="dxa"/>
            <w:vAlign w:val="bottom"/>
          </w:tcPr>
          <w:p>
            <w:pPr>
              <w:jc w:val="right"/>
              <w:ind w:right="55"/>
              <w:spacing w:after="0"/>
              <w:rPr>
                <w:sz w:val="20"/>
                <w:szCs w:val="20"/>
                <w:color w:val="auto"/>
              </w:rPr>
            </w:pPr>
            <w:r>
              <w:rPr>
                <w:rFonts w:ascii="Arial" w:cs="Arial" w:eastAsia="Arial" w:hAnsi="Arial"/>
                <w:sz w:val="17"/>
                <w:szCs w:val="17"/>
                <w:color w:val="auto"/>
              </w:rPr>
              <w:t>65</w:t>
            </w:r>
          </w:p>
        </w:tc>
        <w:tc>
          <w:tcPr>
            <w:tcW w:w="480" w:type="dxa"/>
            <w:vAlign w:val="bottom"/>
          </w:tcPr>
          <w:p>
            <w:pPr>
              <w:jc w:val="right"/>
              <w:ind w:right="75"/>
              <w:spacing w:after="0"/>
              <w:rPr>
                <w:sz w:val="20"/>
                <w:szCs w:val="20"/>
                <w:color w:val="auto"/>
              </w:rPr>
            </w:pPr>
            <w:r>
              <w:rPr>
                <w:rFonts w:ascii="Arial" w:cs="Arial" w:eastAsia="Arial" w:hAnsi="Arial"/>
                <w:sz w:val="17"/>
                <w:szCs w:val="17"/>
                <w:color w:val="auto"/>
              </w:rPr>
              <w:t>61</w:t>
            </w:r>
          </w:p>
        </w:tc>
        <w:tc>
          <w:tcPr>
            <w:tcW w:w="32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269"/>
        </w:trPr>
        <w:tc>
          <w:tcPr>
            <w:tcW w:w="5320" w:type="dxa"/>
            <w:vAlign w:val="bottom"/>
          </w:tcPr>
          <w:p>
            <w:pPr>
              <w:spacing w:after="0"/>
              <w:rPr>
                <w:sz w:val="20"/>
                <w:szCs w:val="20"/>
                <w:color w:val="auto"/>
              </w:rPr>
            </w:pPr>
            <w:r>
              <w:rPr>
                <w:rFonts w:ascii="Arial" w:cs="Arial" w:eastAsia="Arial" w:hAnsi="Arial"/>
                <w:sz w:val="17"/>
                <w:szCs w:val="17"/>
                <w:color w:val="auto"/>
              </w:rPr>
              <w:t>Tenure (rounded years)</w:t>
            </w:r>
          </w:p>
        </w:tc>
        <w:tc>
          <w:tcPr>
            <w:tcW w:w="440" w:type="dxa"/>
            <w:vAlign w:val="bottom"/>
          </w:tcPr>
          <w:p>
            <w:pPr>
              <w:jc w:val="right"/>
              <w:ind w:right="95"/>
              <w:spacing w:after="0"/>
              <w:rPr>
                <w:sz w:val="20"/>
                <w:szCs w:val="20"/>
                <w:color w:val="auto"/>
              </w:rPr>
            </w:pPr>
            <w:r>
              <w:rPr>
                <w:rFonts w:ascii="Arial" w:cs="Arial" w:eastAsia="Arial" w:hAnsi="Arial"/>
                <w:sz w:val="17"/>
                <w:szCs w:val="17"/>
                <w:color w:val="auto"/>
              </w:rPr>
              <w:t>8</w:t>
            </w:r>
          </w:p>
        </w:tc>
        <w:tc>
          <w:tcPr>
            <w:tcW w:w="440" w:type="dxa"/>
            <w:vAlign w:val="bottom"/>
          </w:tcPr>
          <w:p>
            <w:pPr>
              <w:ind w:left="120"/>
              <w:spacing w:after="0"/>
              <w:rPr>
                <w:sz w:val="20"/>
                <w:szCs w:val="20"/>
                <w:color w:val="auto"/>
              </w:rPr>
            </w:pPr>
            <w:r>
              <w:rPr>
                <w:rFonts w:ascii="Arial" w:cs="Arial" w:eastAsia="Arial" w:hAnsi="Arial"/>
                <w:sz w:val="17"/>
                <w:szCs w:val="17"/>
                <w:color w:val="auto"/>
              </w:rPr>
              <w:t>14</w:t>
            </w:r>
          </w:p>
        </w:tc>
        <w:tc>
          <w:tcPr>
            <w:tcW w:w="440" w:type="dxa"/>
            <w:vAlign w:val="bottom"/>
          </w:tcPr>
          <w:p>
            <w:pPr>
              <w:jc w:val="right"/>
              <w:ind w:right="75"/>
              <w:spacing w:after="0"/>
              <w:rPr>
                <w:sz w:val="20"/>
                <w:szCs w:val="20"/>
                <w:color w:val="auto"/>
              </w:rPr>
            </w:pPr>
            <w:r>
              <w:rPr>
                <w:rFonts w:ascii="Arial" w:cs="Arial" w:eastAsia="Arial" w:hAnsi="Arial"/>
                <w:sz w:val="17"/>
                <w:szCs w:val="17"/>
                <w:color w:val="auto"/>
              </w:rPr>
              <w:t>7</w:t>
            </w:r>
          </w:p>
        </w:tc>
        <w:tc>
          <w:tcPr>
            <w:tcW w:w="460" w:type="dxa"/>
            <w:vAlign w:val="bottom"/>
          </w:tcPr>
          <w:p>
            <w:pPr>
              <w:jc w:val="right"/>
              <w:ind w:right="95"/>
              <w:spacing w:after="0"/>
              <w:rPr>
                <w:sz w:val="20"/>
                <w:szCs w:val="20"/>
                <w:color w:val="auto"/>
              </w:rPr>
            </w:pPr>
            <w:r>
              <w:rPr>
                <w:rFonts w:ascii="Arial" w:cs="Arial" w:eastAsia="Arial" w:hAnsi="Arial"/>
                <w:sz w:val="17"/>
                <w:szCs w:val="17"/>
                <w:color w:val="auto"/>
              </w:rPr>
              <w:t>0</w:t>
            </w:r>
          </w:p>
        </w:tc>
        <w:tc>
          <w:tcPr>
            <w:tcW w:w="440" w:type="dxa"/>
            <w:vAlign w:val="bottom"/>
          </w:tcPr>
          <w:p>
            <w:pPr>
              <w:jc w:val="right"/>
              <w:ind w:right="75"/>
              <w:spacing w:after="0"/>
              <w:rPr>
                <w:sz w:val="20"/>
                <w:szCs w:val="20"/>
                <w:color w:val="auto"/>
              </w:rPr>
            </w:pPr>
            <w:r>
              <w:rPr>
                <w:rFonts w:ascii="Arial" w:cs="Arial" w:eastAsia="Arial" w:hAnsi="Arial"/>
                <w:sz w:val="17"/>
                <w:szCs w:val="17"/>
                <w:color w:val="auto"/>
              </w:rPr>
              <w:t>2</w:t>
            </w:r>
          </w:p>
        </w:tc>
        <w:tc>
          <w:tcPr>
            <w:tcW w:w="440" w:type="dxa"/>
            <w:vAlign w:val="bottom"/>
          </w:tcPr>
          <w:p>
            <w:pPr>
              <w:ind w:left="140"/>
              <w:spacing w:after="0"/>
              <w:rPr>
                <w:sz w:val="20"/>
                <w:szCs w:val="20"/>
                <w:color w:val="auto"/>
              </w:rPr>
            </w:pPr>
            <w:r>
              <w:rPr>
                <w:rFonts w:ascii="Arial" w:cs="Arial" w:eastAsia="Arial" w:hAnsi="Arial"/>
                <w:sz w:val="17"/>
                <w:szCs w:val="17"/>
                <w:color w:val="auto"/>
              </w:rPr>
              <w:t>17</w:t>
            </w:r>
          </w:p>
        </w:tc>
        <w:tc>
          <w:tcPr>
            <w:tcW w:w="460" w:type="dxa"/>
            <w:vAlign w:val="bottom"/>
          </w:tcPr>
          <w:p>
            <w:pPr>
              <w:ind w:left="140"/>
              <w:spacing w:after="0"/>
              <w:rPr>
                <w:sz w:val="20"/>
                <w:szCs w:val="20"/>
                <w:color w:val="auto"/>
              </w:rPr>
            </w:pPr>
            <w:r>
              <w:rPr>
                <w:rFonts w:ascii="Arial" w:cs="Arial" w:eastAsia="Arial" w:hAnsi="Arial"/>
                <w:sz w:val="17"/>
                <w:szCs w:val="17"/>
                <w:color w:val="auto"/>
              </w:rPr>
              <w:t>12</w:t>
            </w:r>
          </w:p>
        </w:tc>
        <w:tc>
          <w:tcPr>
            <w:tcW w:w="440" w:type="dxa"/>
            <w:vAlign w:val="bottom"/>
          </w:tcPr>
          <w:p>
            <w:pPr>
              <w:jc w:val="right"/>
              <w:ind w:right="95"/>
              <w:spacing w:after="0"/>
              <w:rPr>
                <w:sz w:val="20"/>
                <w:szCs w:val="20"/>
                <w:color w:val="auto"/>
              </w:rPr>
            </w:pPr>
            <w:r>
              <w:rPr>
                <w:rFonts w:ascii="Arial" w:cs="Arial" w:eastAsia="Arial" w:hAnsi="Arial"/>
                <w:sz w:val="17"/>
                <w:szCs w:val="17"/>
                <w:color w:val="auto"/>
              </w:rPr>
              <w:t>6</w:t>
            </w:r>
          </w:p>
        </w:tc>
        <w:tc>
          <w:tcPr>
            <w:tcW w:w="440" w:type="dxa"/>
            <w:vAlign w:val="bottom"/>
          </w:tcPr>
          <w:p>
            <w:pPr>
              <w:jc w:val="right"/>
              <w:ind w:right="95"/>
              <w:spacing w:after="0"/>
              <w:rPr>
                <w:sz w:val="20"/>
                <w:szCs w:val="20"/>
                <w:color w:val="auto"/>
              </w:rPr>
            </w:pPr>
            <w:r>
              <w:rPr>
                <w:rFonts w:ascii="Arial" w:cs="Arial" w:eastAsia="Arial" w:hAnsi="Arial"/>
                <w:sz w:val="17"/>
                <w:szCs w:val="17"/>
                <w:color w:val="auto"/>
              </w:rPr>
              <w:t>4</w:t>
            </w:r>
          </w:p>
        </w:tc>
        <w:tc>
          <w:tcPr>
            <w:tcW w:w="460" w:type="dxa"/>
            <w:vAlign w:val="bottom"/>
          </w:tcPr>
          <w:p>
            <w:pPr>
              <w:jc w:val="right"/>
              <w:ind w:right="115"/>
              <w:spacing w:after="0"/>
              <w:rPr>
                <w:sz w:val="20"/>
                <w:szCs w:val="20"/>
                <w:color w:val="auto"/>
              </w:rPr>
            </w:pPr>
            <w:r>
              <w:rPr>
                <w:rFonts w:ascii="Arial" w:cs="Arial" w:eastAsia="Arial" w:hAnsi="Arial"/>
                <w:sz w:val="17"/>
                <w:szCs w:val="17"/>
                <w:color w:val="auto"/>
              </w:rPr>
              <w:t>4</w:t>
            </w:r>
          </w:p>
        </w:tc>
        <w:tc>
          <w:tcPr>
            <w:tcW w:w="480" w:type="dxa"/>
            <w:vAlign w:val="bottom"/>
          </w:tcPr>
          <w:p>
            <w:pPr>
              <w:jc w:val="right"/>
              <w:ind w:right="115"/>
              <w:spacing w:after="0"/>
              <w:rPr>
                <w:sz w:val="20"/>
                <w:szCs w:val="20"/>
                <w:color w:val="auto"/>
              </w:rPr>
            </w:pPr>
            <w:r>
              <w:rPr>
                <w:rFonts w:ascii="Arial" w:cs="Arial" w:eastAsia="Arial" w:hAnsi="Arial"/>
                <w:sz w:val="17"/>
                <w:szCs w:val="17"/>
                <w:color w:val="auto"/>
              </w:rPr>
              <w:t>2</w:t>
            </w:r>
          </w:p>
        </w:tc>
        <w:tc>
          <w:tcPr>
            <w:tcW w:w="480" w:type="dxa"/>
            <w:vAlign w:val="bottom"/>
          </w:tcPr>
          <w:p>
            <w:pPr>
              <w:jc w:val="right"/>
              <w:ind w:right="115"/>
              <w:spacing w:after="0"/>
              <w:rPr>
                <w:sz w:val="20"/>
                <w:szCs w:val="20"/>
                <w:color w:val="auto"/>
              </w:rPr>
            </w:pPr>
            <w:r>
              <w:rPr>
                <w:rFonts w:ascii="Arial" w:cs="Arial" w:eastAsia="Arial" w:hAnsi="Arial"/>
                <w:sz w:val="17"/>
                <w:szCs w:val="17"/>
                <w:color w:val="auto"/>
              </w:rPr>
              <w:t>4</w:t>
            </w:r>
          </w:p>
        </w:tc>
        <w:tc>
          <w:tcPr>
            <w:tcW w:w="320" w:type="dxa"/>
            <w:vAlign w:val="bottom"/>
          </w:tcPr>
          <w:p>
            <w:pPr>
              <w:jc w:val="right"/>
              <w:spacing w:after="0"/>
              <w:rPr>
                <w:sz w:val="20"/>
                <w:szCs w:val="20"/>
                <w:color w:val="auto"/>
              </w:rPr>
            </w:pPr>
            <w:r>
              <w:rPr>
                <w:rFonts w:ascii="Arial" w:cs="Arial" w:eastAsia="Arial" w:hAnsi="Arial"/>
                <w:sz w:val="17"/>
                <w:szCs w:val="17"/>
                <w:color w:val="auto"/>
              </w:rPr>
              <w:t>1</w:t>
            </w:r>
          </w:p>
        </w:tc>
      </w:tr>
    </w:tbl>
    <w:p>
      <w:pPr>
        <w:spacing w:after="0" w:line="200" w:lineRule="exact"/>
        <w:rPr>
          <w:sz w:val="20"/>
          <w:szCs w:val="20"/>
          <w:color w:val="auto"/>
        </w:rPr>
      </w:pPr>
    </w:p>
    <w:p>
      <w:pPr>
        <w:sectPr>
          <w:pgSz w:w="11900" w:h="16838" w:orient="portrait"/>
          <w:cols w:equalWidth="0" w:num="1">
            <w:col w:w="11240"/>
          </w:cols>
          <w:pgMar w:left="320" w:top="254" w:right="339" w:bottom="1440" w:gutter="0" w:footer="0" w:header="0"/>
        </w:sectPr>
      </w:pPr>
    </w:p>
    <w:p>
      <w:pPr>
        <w:spacing w:after="0" w:line="200" w:lineRule="exact"/>
        <w:rPr>
          <w:sz w:val="20"/>
          <w:szCs w:val="20"/>
          <w:color w:val="auto"/>
        </w:rPr>
      </w:pPr>
    </w:p>
    <w:p>
      <w:pPr>
        <w:spacing w:after="0" w:line="303" w:lineRule="exact"/>
        <w:rPr>
          <w:sz w:val="20"/>
          <w:szCs w:val="20"/>
          <w:color w:val="auto"/>
        </w:rPr>
      </w:pPr>
    </w:p>
    <w:p>
      <w:pPr>
        <w:ind w:left="20"/>
        <w:spacing w:after="0"/>
        <w:tabs>
          <w:tab w:leader="none" w:pos="8600" w:val="left"/>
          <w:tab w:leader="none" w:pos="1112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8</w:t>
      </w:r>
    </w:p>
    <w:p>
      <w:pPr>
        <w:sectPr>
          <w:pgSz w:w="11900" w:h="16838" w:orient="portrait"/>
          <w:cols w:equalWidth="0" w:num="1">
            <w:col w:w="11240"/>
          </w:cols>
          <w:pgMar w:left="320" w:top="254" w:right="339" w:bottom="1440" w:gutter="0" w:footer="0" w:header="0"/>
          <w:type w:val="continuous"/>
        </w:sectPr>
      </w:pPr>
    </w:p>
    <w:bookmarkStart w:id="14" w:name="page15"/>
    <w:bookmarkEnd w:id="14"/>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8"/>
          <w:szCs w:val="28"/>
          <w:color w:val="003478"/>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7141210" cy="32848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1210" cy="3284855"/>
                    </a:xfrm>
                    <a:prstGeom prst="rect">
                      <a:avLst/>
                    </a:prstGeom>
                    <a:noFill/>
                  </pic:spPr>
                </pic:pic>
              </a:graphicData>
            </a:graphic>
          </wp:anchor>
        </w:drawing>
      </w:r>
    </w:p>
    <w:p>
      <w:pPr>
        <w:sectPr>
          <w:pgSz w:w="11900" w:h="16838" w:orient="portrait"/>
          <w:cols w:equalWidth="0" w:num="1">
            <w:col w:w="11200"/>
          </w:cols>
          <w:pgMar w:left="320" w:top="25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color w:val="003478"/>
        </w:rPr>
        <w:t>Daniel F. Akerson</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Age 73</w:t>
      </w:r>
    </w:p>
    <w:p>
      <w:pPr>
        <w:spacing w:after="0" w:line="112" w:lineRule="exact"/>
        <w:rPr>
          <w:sz w:val="20"/>
          <w:szCs w:val="20"/>
          <w:color w:val="auto"/>
        </w:rPr>
      </w:pPr>
    </w:p>
    <w:p>
      <w:pPr>
        <w:ind w:left="220" w:right="100"/>
        <w:spacing w:after="0" w:line="258" w:lineRule="auto"/>
        <w:rPr>
          <w:sz w:val="20"/>
          <w:szCs w:val="20"/>
          <w:color w:val="auto"/>
        </w:rPr>
      </w:pPr>
      <w:r>
        <w:rPr>
          <w:rFonts w:ascii="Arial" w:cs="Arial" w:eastAsia="Arial" w:hAnsi="Arial"/>
          <w:sz w:val="16"/>
          <w:szCs w:val="16"/>
          <w:color w:val="003478"/>
        </w:rPr>
        <w:t>Director since 2014 Independent Lead Director</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Committees</w:t>
      </w:r>
    </w:p>
    <w:p>
      <w:pPr>
        <w:ind w:left="220" w:right="120"/>
        <w:spacing w:after="0"/>
        <w:rPr>
          <w:sz w:val="20"/>
          <w:szCs w:val="20"/>
          <w:color w:val="auto"/>
        </w:rPr>
      </w:pPr>
      <w:r>
        <w:rPr>
          <w:rFonts w:ascii="Arial" w:cs="Arial" w:eastAsia="Arial" w:hAnsi="Arial"/>
          <w:sz w:val="16"/>
          <w:szCs w:val="16"/>
          <w:color w:val="003478"/>
        </w:rPr>
        <w:t>Nominating and Corporate Governance, Chair</w:t>
      </w:r>
    </w:p>
    <w:p>
      <w:pPr>
        <w:spacing w:after="0" w:line="89" w:lineRule="exact"/>
        <w:rPr>
          <w:sz w:val="20"/>
          <w:szCs w:val="20"/>
          <w:color w:val="auto"/>
        </w:rPr>
      </w:pPr>
    </w:p>
    <w:p>
      <w:pPr>
        <w:ind w:left="220" w:right="480"/>
        <w:spacing w:after="0"/>
        <w:rPr>
          <w:sz w:val="20"/>
          <w:szCs w:val="20"/>
          <w:color w:val="auto"/>
        </w:rPr>
      </w:pPr>
      <w:r>
        <w:rPr>
          <w:rFonts w:ascii="Arial" w:cs="Arial" w:eastAsia="Arial" w:hAnsi="Arial"/>
          <w:sz w:val="16"/>
          <w:szCs w:val="16"/>
          <w:color w:val="003478"/>
        </w:rPr>
        <w:t>Other Current Boards None</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003478"/>
        </w:rPr>
        <w:t>Biography</w:t>
      </w:r>
    </w:p>
    <w:p>
      <w:pPr>
        <w:spacing w:after="0" w:line="23"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Vice Chairman of The Carlyle Group from March 2014 to December 2015. Mr. Akerson was Chairman of the Board of Directors and Chief Executive Officer of General Motors Company from January 2011 until his retirement in January 2014. Prior to joining General Motors, he was a Managing Director of The Carlyle Group, serving as the Head of Global Buyout from July 2009 to August 2010 and as Co-Head of U.S. Buyout from June 2003 to June 2009. Mr. Akerson previously served as Chairman of the U.S. Naval Academy Foundation from 2015 until 2021 and served on the board of directors of KLDiscovery Inc. from December 2019 until January 2020 and CommScope Holding Company, Inc. from April 2019 until December 2020.</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002E6D"/>
        </w:rPr>
        <w:t>Skills, Qualifications and Core Competencies</w:t>
      </w:r>
    </w:p>
    <w:p>
      <w:pPr>
        <w:spacing w:after="0" w:line="10"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17"/>
          <w:szCs w:val="17"/>
          <w:color w:val="002E6D"/>
        </w:rPr>
      </w:pPr>
      <w:r>
        <w:rPr>
          <w:rFonts w:ascii="Arial" w:cs="Arial" w:eastAsia="Arial" w:hAnsi="Arial"/>
          <w:sz w:val="17"/>
          <w:szCs w:val="17"/>
          <w:color w:val="auto"/>
        </w:rPr>
        <w:t>Core leadership skills and experience with the demands and challenges of the global marketplace</w:t>
      </w:r>
    </w:p>
    <w:p>
      <w:pPr>
        <w:spacing w:after="0" w:line="19" w:lineRule="exact"/>
        <w:rPr>
          <w:rFonts w:ascii="Arial" w:cs="Arial" w:eastAsia="Arial" w:hAnsi="Arial"/>
          <w:sz w:val="17"/>
          <w:szCs w:val="17"/>
          <w:color w:val="002E6D"/>
        </w:rPr>
      </w:pPr>
    </w:p>
    <w:p>
      <w:pPr>
        <w:ind w:left="200" w:right="40" w:hanging="192"/>
        <w:spacing w:after="0" w:line="257" w:lineRule="auto"/>
        <w:tabs>
          <w:tab w:leader="none" w:pos="173" w:val="left"/>
        </w:tabs>
        <w:numPr>
          <w:ilvl w:val="0"/>
          <w:numId w:val="13"/>
        </w:numPr>
        <w:rPr>
          <w:rFonts w:ascii="Arial" w:cs="Arial" w:eastAsia="Arial" w:hAnsi="Arial"/>
          <w:sz w:val="17"/>
          <w:szCs w:val="17"/>
          <w:color w:val="002E6D"/>
        </w:rPr>
      </w:pPr>
      <w:r>
        <w:rPr>
          <w:rFonts w:ascii="Arial" w:cs="Arial" w:eastAsia="Arial" w:hAnsi="Arial"/>
          <w:sz w:val="17"/>
          <w:szCs w:val="17"/>
          <w:color w:val="auto"/>
        </w:rPr>
        <w:t>Extensive operating, marketing and senior management experience in a succession of major companies in challenging, highly competitive industries</w:t>
      </w:r>
    </w:p>
    <w:p>
      <w:pPr>
        <w:spacing w:after="0" w:line="11" w:lineRule="exact"/>
        <w:rPr>
          <w:rFonts w:ascii="Arial" w:cs="Arial" w:eastAsia="Arial" w:hAnsi="Arial"/>
          <w:sz w:val="17"/>
          <w:szCs w:val="17"/>
          <w:color w:val="002E6D"/>
        </w:rPr>
      </w:pPr>
    </w:p>
    <w:p>
      <w:pPr>
        <w:ind w:left="180" w:hanging="172"/>
        <w:spacing w:after="0"/>
        <w:tabs>
          <w:tab w:leader="none" w:pos="180" w:val="left"/>
        </w:tabs>
        <w:numPr>
          <w:ilvl w:val="0"/>
          <w:numId w:val="13"/>
        </w:numPr>
        <w:rPr>
          <w:rFonts w:ascii="Arial" w:cs="Arial" w:eastAsia="Arial" w:hAnsi="Arial"/>
          <w:sz w:val="17"/>
          <w:szCs w:val="17"/>
          <w:color w:val="002E6D"/>
        </w:rPr>
      </w:pPr>
      <w:r>
        <w:rPr>
          <w:rFonts w:ascii="Arial" w:cs="Arial" w:eastAsia="Arial" w:hAnsi="Arial"/>
          <w:sz w:val="17"/>
          <w:szCs w:val="17"/>
          <w:color w:val="auto"/>
        </w:rPr>
        <w:t>Enterprise risk management, financial, investment and mergers and acquisitions expertise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2060" w:type="dxa"/>
            <w:vAlign w:val="bottom"/>
          </w:tcPr>
          <w:p>
            <w:pPr>
              <w:spacing w:after="0"/>
              <w:rPr>
                <w:sz w:val="20"/>
                <w:szCs w:val="20"/>
                <w:color w:val="auto"/>
              </w:rPr>
            </w:pPr>
            <w:r>
              <w:rPr>
                <w:rFonts w:ascii="Arial" w:cs="Arial" w:eastAsia="Arial" w:hAnsi="Arial"/>
                <w:sz w:val="17"/>
                <w:szCs w:val="17"/>
                <w:color w:val="auto"/>
              </w:rPr>
              <w:t>CEO Leadership</w:t>
            </w:r>
          </w:p>
        </w:tc>
        <w:tc>
          <w:tcPr>
            <w:tcW w:w="2840" w:type="dxa"/>
            <w:vAlign w:val="bottom"/>
          </w:tcPr>
          <w:p>
            <w:pPr>
              <w:ind w:left="680"/>
              <w:spacing w:after="0"/>
              <w:rPr>
                <w:sz w:val="20"/>
                <w:szCs w:val="20"/>
                <w:color w:val="auto"/>
              </w:rPr>
            </w:pPr>
            <w:r>
              <w:rPr>
                <w:rFonts w:ascii="Arial" w:cs="Arial" w:eastAsia="Arial" w:hAnsi="Arial"/>
                <w:sz w:val="17"/>
                <w:szCs w:val="17"/>
                <w:color w:val="auto"/>
              </w:rPr>
              <w:t>Human Capital</w:t>
            </w:r>
          </w:p>
        </w:tc>
        <w:tc>
          <w:tcPr>
            <w:tcW w:w="2000" w:type="dxa"/>
            <w:vAlign w:val="bottom"/>
            <w:vMerge w:val="restart"/>
          </w:tcPr>
          <w:p>
            <w:pPr>
              <w:ind w:left="620"/>
              <w:spacing w:after="0"/>
              <w:rPr>
                <w:sz w:val="20"/>
                <w:szCs w:val="20"/>
                <w:color w:val="auto"/>
              </w:rPr>
            </w:pPr>
            <w:r>
              <w:rPr>
                <w:rFonts w:ascii="Arial" w:cs="Arial" w:eastAsia="Arial" w:hAnsi="Arial"/>
                <w:sz w:val="17"/>
                <w:szCs w:val="17"/>
                <w:color w:val="auto"/>
              </w:rPr>
              <w:t>Financial Expert</w:t>
            </w:r>
          </w:p>
        </w:tc>
        <w:tc>
          <w:tcPr>
            <w:tcW w:w="0" w:type="dxa"/>
            <w:vAlign w:val="bottom"/>
          </w:tcPr>
          <w:p>
            <w:pPr>
              <w:spacing w:after="0"/>
              <w:rPr>
                <w:sz w:val="1"/>
                <w:szCs w:val="1"/>
                <w:color w:val="auto"/>
              </w:rPr>
            </w:pPr>
          </w:p>
        </w:tc>
      </w:tr>
      <w:tr>
        <w:trPr>
          <w:trHeight w:val="123"/>
        </w:trPr>
        <w:tc>
          <w:tcPr>
            <w:tcW w:w="2060" w:type="dxa"/>
            <w:vAlign w:val="bottom"/>
            <w:vMerge w:val="restart"/>
          </w:tcPr>
          <w:p>
            <w:pPr>
              <w:spacing w:after="0"/>
              <w:rPr>
                <w:sz w:val="20"/>
                <w:szCs w:val="20"/>
                <w:color w:val="auto"/>
              </w:rPr>
            </w:pPr>
            <w:r>
              <w:rPr>
                <w:rFonts w:ascii="Arial" w:cs="Arial" w:eastAsia="Arial" w:hAnsi="Arial"/>
                <w:sz w:val="17"/>
                <w:szCs w:val="17"/>
                <w:color w:val="auto"/>
              </w:rPr>
              <w:t>Experience</w:t>
            </w:r>
          </w:p>
        </w:tc>
        <w:tc>
          <w:tcPr>
            <w:tcW w:w="2840" w:type="dxa"/>
            <w:vAlign w:val="bottom"/>
            <w:vMerge w:val="restart"/>
          </w:tcPr>
          <w:p>
            <w:pPr>
              <w:ind w:left="680"/>
              <w:spacing w:after="0"/>
              <w:rPr>
                <w:sz w:val="20"/>
                <w:szCs w:val="20"/>
                <w:color w:val="auto"/>
              </w:rPr>
            </w:pPr>
            <w:r>
              <w:rPr>
                <w:rFonts w:ascii="Arial" w:cs="Arial" w:eastAsia="Arial" w:hAnsi="Arial"/>
                <w:sz w:val="17"/>
                <w:szCs w:val="17"/>
                <w:color w:val="auto"/>
              </w:rPr>
              <w:t>Management</w:t>
            </w:r>
          </w:p>
        </w:tc>
        <w:tc>
          <w:tcPr>
            <w:tcW w:w="2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60" w:type="dxa"/>
            <w:vAlign w:val="bottom"/>
            <w:vMerge w:val="continue"/>
          </w:tcPr>
          <w:p>
            <w:pPr>
              <w:spacing w:after="0"/>
              <w:rPr>
                <w:sz w:val="7"/>
                <w:szCs w:val="7"/>
                <w:color w:val="auto"/>
              </w:rPr>
            </w:pPr>
          </w:p>
        </w:tc>
        <w:tc>
          <w:tcPr>
            <w:tcW w:w="2840" w:type="dxa"/>
            <w:vAlign w:val="bottom"/>
            <w:vMerge w:val="continue"/>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6"/>
        </w:trPr>
        <w:tc>
          <w:tcPr>
            <w:tcW w:w="2060" w:type="dxa"/>
            <w:vAlign w:val="bottom"/>
            <w:vMerge w:val="restart"/>
          </w:tcPr>
          <w:p>
            <w:pPr>
              <w:spacing w:after="0"/>
              <w:rPr>
                <w:sz w:val="20"/>
                <w:szCs w:val="20"/>
                <w:color w:val="auto"/>
              </w:rPr>
            </w:pPr>
            <w:r>
              <w:rPr>
                <w:rFonts w:ascii="Arial" w:cs="Arial" w:eastAsia="Arial" w:hAnsi="Arial"/>
                <w:sz w:val="17"/>
                <w:szCs w:val="17"/>
                <w:color w:val="auto"/>
              </w:rPr>
              <w:t>Manufacturing</w:t>
            </w:r>
          </w:p>
        </w:tc>
        <w:tc>
          <w:tcPr>
            <w:tcW w:w="2840" w:type="dxa"/>
            <w:vAlign w:val="bottom"/>
          </w:tcPr>
          <w:p>
            <w:pPr>
              <w:ind w:left="680"/>
              <w:spacing w:after="0"/>
              <w:rPr>
                <w:sz w:val="20"/>
                <w:szCs w:val="20"/>
                <w:color w:val="auto"/>
              </w:rPr>
            </w:pPr>
            <w:r>
              <w:rPr>
                <w:rFonts w:ascii="Arial" w:cs="Arial" w:eastAsia="Arial" w:hAnsi="Arial"/>
                <w:sz w:val="17"/>
                <w:szCs w:val="17"/>
                <w:color w:val="auto"/>
              </w:rPr>
              <w:t>Government/Military</w:t>
            </w:r>
          </w:p>
        </w:tc>
        <w:tc>
          <w:tcPr>
            <w:tcW w:w="2000" w:type="dxa"/>
            <w:vAlign w:val="bottom"/>
            <w:vMerge w:val="restart"/>
          </w:tcPr>
          <w:p>
            <w:pPr>
              <w:ind w:left="620"/>
              <w:spacing w:after="0"/>
              <w:rPr>
                <w:sz w:val="20"/>
                <w:szCs w:val="20"/>
                <w:color w:val="auto"/>
              </w:rPr>
            </w:pPr>
            <w:r>
              <w:rPr>
                <w:rFonts w:ascii="Arial" w:cs="Arial" w:eastAsia="Arial" w:hAnsi="Arial"/>
                <w:sz w:val="17"/>
                <w:szCs w:val="17"/>
                <w:color w:val="auto"/>
                <w:w w:val="97"/>
              </w:rPr>
              <w:t>Global Experience</w:t>
            </w:r>
          </w:p>
        </w:tc>
        <w:tc>
          <w:tcPr>
            <w:tcW w:w="0" w:type="dxa"/>
            <w:vAlign w:val="bottom"/>
          </w:tcPr>
          <w:p>
            <w:pPr>
              <w:spacing w:after="0"/>
              <w:rPr>
                <w:sz w:val="1"/>
                <w:szCs w:val="1"/>
                <w:color w:val="auto"/>
              </w:rPr>
            </w:pPr>
          </w:p>
        </w:tc>
      </w:tr>
      <w:tr>
        <w:trPr>
          <w:trHeight w:val="123"/>
        </w:trPr>
        <w:tc>
          <w:tcPr>
            <w:tcW w:w="2060" w:type="dxa"/>
            <w:vAlign w:val="bottom"/>
            <w:vMerge w:val="continue"/>
          </w:tcPr>
          <w:p>
            <w:pPr>
              <w:spacing w:after="0"/>
              <w:rPr>
                <w:sz w:val="10"/>
                <w:szCs w:val="10"/>
                <w:color w:val="auto"/>
              </w:rPr>
            </w:pPr>
          </w:p>
        </w:tc>
        <w:tc>
          <w:tcPr>
            <w:tcW w:w="2840" w:type="dxa"/>
            <w:vAlign w:val="bottom"/>
            <w:vMerge w:val="restart"/>
          </w:tcPr>
          <w:p>
            <w:pPr>
              <w:ind w:left="680"/>
              <w:spacing w:after="0"/>
              <w:rPr>
                <w:sz w:val="20"/>
                <w:szCs w:val="20"/>
                <w:color w:val="auto"/>
              </w:rPr>
            </w:pPr>
            <w:r>
              <w:rPr>
                <w:rFonts w:ascii="Arial" w:cs="Arial" w:eastAsia="Arial" w:hAnsi="Arial"/>
                <w:sz w:val="17"/>
                <w:szCs w:val="17"/>
                <w:color w:val="auto"/>
              </w:rPr>
              <w:t>Experience</w:t>
            </w:r>
          </w:p>
        </w:tc>
        <w:tc>
          <w:tcPr>
            <w:tcW w:w="2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60" w:type="dxa"/>
            <w:vAlign w:val="bottom"/>
          </w:tcPr>
          <w:p>
            <w:pPr>
              <w:spacing w:after="0"/>
              <w:rPr>
                <w:sz w:val="7"/>
                <w:szCs w:val="7"/>
                <w:color w:val="auto"/>
              </w:rPr>
            </w:pPr>
          </w:p>
        </w:tc>
        <w:tc>
          <w:tcPr>
            <w:tcW w:w="2840" w:type="dxa"/>
            <w:vAlign w:val="bottom"/>
            <w:vMerge w:val="continue"/>
          </w:tcPr>
          <w:p>
            <w:pPr>
              <w:spacing w:after="0"/>
              <w:rPr>
                <w:sz w:val="7"/>
                <w:szCs w:val="7"/>
                <w:color w:val="auto"/>
              </w:rPr>
            </w:pPr>
          </w:p>
        </w:tc>
        <w:tc>
          <w:tcPr>
            <w:tcW w:w="2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3"/>
        </w:trPr>
        <w:tc>
          <w:tcPr>
            <w:tcW w:w="2060" w:type="dxa"/>
            <w:vAlign w:val="bottom"/>
          </w:tcPr>
          <w:p>
            <w:pPr>
              <w:spacing w:after="0"/>
              <w:rPr>
                <w:sz w:val="20"/>
                <w:szCs w:val="20"/>
                <w:color w:val="auto"/>
              </w:rPr>
            </w:pPr>
            <w:r>
              <w:rPr>
                <w:rFonts w:ascii="Arial" w:cs="Arial" w:eastAsia="Arial" w:hAnsi="Arial"/>
                <w:sz w:val="17"/>
                <w:szCs w:val="17"/>
                <w:color w:val="auto"/>
              </w:rPr>
              <w:t>Risk Management</w:t>
            </w:r>
          </w:p>
        </w:tc>
        <w:tc>
          <w:tcPr>
            <w:tcW w:w="28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386080</wp:posOffset>
            </wp:positionV>
            <wp:extent cx="7141210" cy="30460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1210" cy="30460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720"/>
            <w:col w:w="8240"/>
          </w:cols>
          <w:pgMar w:left="320" w:top="254"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Arial" w:cs="Arial" w:eastAsia="Arial" w:hAnsi="Arial"/>
          <w:sz w:val="18"/>
          <w:szCs w:val="18"/>
          <w:color w:val="003478"/>
        </w:rPr>
        <w:t>David B. Burritt</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Age 66</w:t>
      </w:r>
    </w:p>
    <w:p>
      <w:pPr>
        <w:spacing w:after="0" w:line="112" w:lineRule="exact"/>
        <w:rPr>
          <w:sz w:val="20"/>
          <w:szCs w:val="20"/>
          <w:color w:val="auto"/>
        </w:rPr>
      </w:pPr>
    </w:p>
    <w:p>
      <w:pPr>
        <w:ind w:left="220" w:right="520"/>
        <w:spacing w:after="0" w:line="258" w:lineRule="auto"/>
        <w:rPr>
          <w:sz w:val="20"/>
          <w:szCs w:val="20"/>
          <w:color w:val="auto"/>
        </w:rPr>
      </w:pPr>
      <w:r>
        <w:rPr>
          <w:rFonts w:ascii="Arial" w:cs="Arial" w:eastAsia="Arial" w:hAnsi="Arial"/>
          <w:sz w:val="16"/>
          <w:szCs w:val="16"/>
          <w:color w:val="003478"/>
        </w:rPr>
        <w:t>Director since 2008 Independent Director</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Committees</w:t>
      </w:r>
    </w:p>
    <w:p>
      <w:pPr>
        <w:ind w:left="220" w:right="380"/>
        <w:spacing w:after="0"/>
        <w:rPr>
          <w:sz w:val="20"/>
          <w:szCs w:val="20"/>
          <w:color w:val="auto"/>
        </w:rPr>
      </w:pPr>
      <w:r>
        <w:rPr>
          <w:rFonts w:ascii="Arial" w:cs="Arial" w:eastAsia="Arial" w:hAnsi="Arial"/>
          <w:sz w:val="16"/>
          <w:szCs w:val="16"/>
          <w:color w:val="003478"/>
        </w:rPr>
        <w:t>Audit; Nominating and Corporate Governance</w:t>
      </w:r>
    </w:p>
    <w:p>
      <w:pPr>
        <w:spacing w:after="0" w:line="89" w:lineRule="exact"/>
        <w:rPr>
          <w:sz w:val="20"/>
          <w:szCs w:val="20"/>
          <w:color w:val="auto"/>
        </w:rPr>
      </w:pPr>
    </w:p>
    <w:p>
      <w:pPr>
        <w:ind w:left="220" w:right="420"/>
        <w:spacing w:after="0"/>
        <w:rPr>
          <w:sz w:val="20"/>
          <w:szCs w:val="20"/>
          <w:color w:val="auto"/>
        </w:rPr>
      </w:pPr>
      <w:r>
        <w:rPr>
          <w:rFonts w:ascii="Arial" w:cs="Arial" w:eastAsia="Arial" w:hAnsi="Arial"/>
          <w:sz w:val="16"/>
          <w:szCs w:val="16"/>
          <w:color w:val="003478"/>
        </w:rPr>
        <w:t>Other Current Boards* U.S. Steel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003478"/>
        </w:rPr>
        <w:t>Biography</w:t>
      </w:r>
    </w:p>
    <w:p>
      <w:pPr>
        <w:spacing w:after="0" w:line="10"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President and Chief Executive Officer of United States Steel Corporation (U.S. Steel) since May 2017. Mr. Burritt also was named to U.S. Steel’s board of directors at that time. Mr. Burritt previously served as President and Chief Operating Officer of U.S. Steel from February 2017 to May 2017; Chief Financial Officer from September 2013 to May 2017; and Executive Vice President from September 2013 to February 2017. Prior to joining U.S. Steel, Mr. Burritt served as Chief Financial Officer of Caterpillar Inc. until his retirement in 2010, after more than 32 years with the company.</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002E6D"/>
        </w:rPr>
        <w:t>Skills, Qualifications and Core Competencies</w:t>
      </w:r>
    </w:p>
    <w:p>
      <w:pPr>
        <w:spacing w:after="0" w:line="23" w:lineRule="exact"/>
        <w:rPr>
          <w:sz w:val="20"/>
          <w:szCs w:val="20"/>
          <w:color w:val="auto"/>
        </w:rPr>
      </w:pPr>
    </w:p>
    <w:p>
      <w:pPr>
        <w:ind w:left="200" w:right="320" w:hanging="192"/>
        <w:spacing w:after="0" w:line="252" w:lineRule="auto"/>
        <w:tabs>
          <w:tab w:leader="none" w:pos="160" w:val="left"/>
        </w:tabs>
        <w:numPr>
          <w:ilvl w:val="0"/>
          <w:numId w:val="14"/>
        </w:numPr>
        <w:rPr>
          <w:rFonts w:ascii="Arial" w:cs="Arial" w:eastAsia="Arial" w:hAnsi="Arial"/>
          <w:sz w:val="17"/>
          <w:szCs w:val="17"/>
          <w:color w:val="002E6D"/>
        </w:rPr>
      </w:pPr>
      <w:r>
        <w:rPr>
          <w:rFonts w:ascii="Arial" w:cs="Arial" w:eastAsia="Arial" w:hAnsi="Arial"/>
          <w:sz w:val="17"/>
          <w:szCs w:val="17"/>
          <w:color w:val="auto"/>
        </w:rPr>
        <w:t>Expertise in public company accounting, risk management, disclosure, financial system management, manufacturing and commercial operations and business transformation from roles as CEO and CFO at U.S. Steel and CFO and Controller at Caterpillar Inc.</w:t>
      </w:r>
    </w:p>
    <w:p>
      <w:pPr>
        <w:spacing w:after="0" w:line="2" w:lineRule="exact"/>
        <w:rPr>
          <w:rFonts w:ascii="Arial" w:cs="Arial" w:eastAsia="Arial" w:hAnsi="Arial"/>
          <w:sz w:val="17"/>
          <w:szCs w:val="17"/>
          <w:color w:val="002E6D"/>
        </w:rPr>
      </w:pPr>
    </w:p>
    <w:p>
      <w:pPr>
        <w:ind w:left="200" w:hanging="192"/>
        <w:spacing w:after="0" w:line="257" w:lineRule="auto"/>
        <w:tabs>
          <w:tab w:leader="none" w:pos="173" w:val="left"/>
        </w:tabs>
        <w:numPr>
          <w:ilvl w:val="0"/>
          <w:numId w:val="14"/>
        </w:numPr>
        <w:rPr>
          <w:rFonts w:ascii="Arial" w:cs="Arial" w:eastAsia="Arial" w:hAnsi="Arial"/>
          <w:sz w:val="17"/>
          <w:szCs w:val="17"/>
          <w:color w:val="002E6D"/>
        </w:rPr>
      </w:pPr>
      <w:r>
        <w:rPr>
          <w:rFonts w:ascii="Arial" w:cs="Arial" w:eastAsia="Arial" w:hAnsi="Arial"/>
          <w:sz w:val="17"/>
          <w:szCs w:val="17"/>
          <w:color w:val="auto"/>
        </w:rPr>
        <w:t>Over 40 years’ experience with the demands and challenges of the global marketplace from his positions at U.S. Steel and Caterpillar Inc.</w:t>
      </w:r>
    </w:p>
    <w:p>
      <w:pPr>
        <w:spacing w:after="0" w:line="200" w:lineRule="exact"/>
        <w:rPr>
          <w:sz w:val="20"/>
          <w:szCs w:val="20"/>
          <w:color w:val="auto"/>
        </w:rPr>
      </w:pP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2060" w:type="dxa"/>
            <w:vAlign w:val="bottom"/>
          </w:tcPr>
          <w:p>
            <w:pPr>
              <w:spacing w:after="0"/>
              <w:rPr>
                <w:sz w:val="20"/>
                <w:szCs w:val="20"/>
                <w:color w:val="auto"/>
              </w:rPr>
            </w:pPr>
            <w:r>
              <w:rPr>
                <w:rFonts w:ascii="Arial" w:cs="Arial" w:eastAsia="Arial" w:hAnsi="Arial"/>
                <w:sz w:val="17"/>
                <w:szCs w:val="17"/>
                <w:color w:val="auto"/>
              </w:rPr>
              <w:t>CEO Leadership</w:t>
            </w:r>
          </w:p>
        </w:tc>
        <w:tc>
          <w:tcPr>
            <w:tcW w:w="2980" w:type="dxa"/>
            <w:vAlign w:val="bottom"/>
          </w:tcPr>
          <w:p>
            <w:pPr>
              <w:ind w:left="680"/>
              <w:spacing w:after="0"/>
              <w:rPr>
                <w:sz w:val="20"/>
                <w:szCs w:val="20"/>
                <w:color w:val="auto"/>
              </w:rPr>
            </w:pPr>
            <w:r>
              <w:rPr>
                <w:rFonts w:ascii="Arial" w:cs="Arial" w:eastAsia="Arial" w:hAnsi="Arial"/>
                <w:sz w:val="17"/>
                <w:szCs w:val="17"/>
                <w:color w:val="auto"/>
              </w:rPr>
              <w:t>Environmental, Safety &amp;</w:t>
            </w:r>
          </w:p>
        </w:tc>
        <w:tc>
          <w:tcPr>
            <w:tcW w:w="1860" w:type="dxa"/>
            <w:vAlign w:val="bottom"/>
          </w:tcPr>
          <w:p>
            <w:pPr>
              <w:ind w:left="460"/>
              <w:spacing w:after="0"/>
              <w:rPr>
                <w:sz w:val="20"/>
                <w:szCs w:val="20"/>
                <w:color w:val="auto"/>
              </w:rPr>
            </w:pPr>
            <w:r>
              <w:rPr>
                <w:rFonts w:ascii="Arial" w:cs="Arial" w:eastAsia="Arial" w:hAnsi="Arial"/>
                <w:sz w:val="17"/>
                <w:szCs w:val="17"/>
                <w:color w:val="auto"/>
              </w:rPr>
              <w:t>Human Capital</w:t>
            </w:r>
          </w:p>
        </w:tc>
      </w:tr>
      <w:tr>
        <w:trPr>
          <w:trHeight w:val="204"/>
        </w:trPr>
        <w:tc>
          <w:tcPr>
            <w:tcW w:w="2060" w:type="dxa"/>
            <w:vAlign w:val="bottom"/>
          </w:tcPr>
          <w:p>
            <w:pPr>
              <w:spacing w:after="0"/>
              <w:rPr>
                <w:sz w:val="20"/>
                <w:szCs w:val="20"/>
                <w:color w:val="auto"/>
              </w:rPr>
            </w:pPr>
            <w:r>
              <w:rPr>
                <w:rFonts w:ascii="Arial" w:cs="Arial" w:eastAsia="Arial" w:hAnsi="Arial"/>
                <w:sz w:val="17"/>
                <w:szCs w:val="17"/>
                <w:color w:val="auto"/>
              </w:rPr>
              <w:t>Experience</w:t>
            </w:r>
          </w:p>
        </w:tc>
        <w:tc>
          <w:tcPr>
            <w:tcW w:w="2980" w:type="dxa"/>
            <w:vAlign w:val="bottom"/>
          </w:tcPr>
          <w:p>
            <w:pPr>
              <w:ind w:left="680"/>
              <w:spacing w:after="0"/>
              <w:rPr>
                <w:sz w:val="20"/>
                <w:szCs w:val="20"/>
                <w:color w:val="auto"/>
              </w:rPr>
            </w:pPr>
            <w:r>
              <w:rPr>
                <w:rFonts w:ascii="Arial" w:cs="Arial" w:eastAsia="Arial" w:hAnsi="Arial"/>
                <w:sz w:val="17"/>
                <w:szCs w:val="17"/>
                <w:color w:val="auto"/>
              </w:rPr>
              <w:t>Sustainability</w:t>
            </w:r>
          </w:p>
        </w:tc>
        <w:tc>
          <w:tcPr>
            <w:tcW w:w="1860" w:type="dxa"/>
            <w:vAlign w:val="bottom"/>
          </w:tcPr>
          <w:p>
            <w:pPr>
              <w:ind w:left="460"/>
              <w:spacing w:after="0"/>
              <w:rPr>
                <w:sz w:val="20"/>
                <w:szCs w:val="20"/>
                <w:color w:val="auto"/>
              </w:rPr>
            </w:pPr>
            <w:r>
              <w:rPr>
                <w:rFonts w:ascii="Arial" w:cs="Arial" w:eastAsia="Arial" w:hAnsi="Arial"/>
                <w:sz w:val="17"/>
                <w:szCs w:val="17"/>
                <w:color w:val="auto"/>
              </w:rPr>
              <w:t>Management</w:t>
            </w:r>
          </w:p>
        </w:tc>
      </w:tr>
      <w:tr>
        <w:trPr>
          <w:trHeight w:val="336"/>
        </w:trPr>
        <w:tc>
          <w:tcPr>
            <w:tcW w:w="2060" w:type="dxa"/>
            <w:vAlign w:val="bottom"/>
          </w:tcPr>
          <w:p>
            <w:pPr>
              <w:spacing w:after="0"/>
              <w:rPr>
                <w:sz w:val="20"/>
                <w:szCs w:val="20"/>
                <w:color w:val="auto"/>
              </w:rPr>
            </w:pPr>
            <w:r>
              <w:rPr>
                <w:rFonts w:ascii="Arial" w:cs="Arial" w:eastAsia="Arial" w:hAnsi="Arial"/>
                <w:sz w:val="17"/>
                <w:szCs w:val="17"/>
                <w:color w:val="auto"/>
              </w:rPr>
              <w:t>Financial Expert</w:t>
            </w:r>
          </w:p>
        </w:tc>
        <w:tc>
          <w:tcPr>
            <w:tcW w:w="2980" w:type="dxa"/>
            <w:vAlign w:val="bottom"/>
          </w:tcPr>
          <w:p>
            <w:pPr>
              <w:ind w:left="680"/>
              <w:spacing w:after="0"/>
              <w:rPr>
                <w:sz w:val="20"/>
                <w:szCs w:val="20"/>
                <w:color w:val="auto"/>
              </w:rPr>
            </w:pPr>
            <w:r>
              <w:rPr>
                <w:rFonts w:ascii="Arial" w:cs="Arial" w:eastAsia="Arial" w:hAnsi="Arial"/>
                <w:sz w:val="17"/>
                <w:szCs w:val="17"/>
                <w:color w:val="auto"/>
              </w:rPr>
              <w:t>Manufacturing</w:t>
            </w:r>
          </w:p>
        </w:tc>
        <w:tc>
          <w:tcPr>
            <w:tcW w:w="1860" w:type="dxa"/>
            <w:vAlign w:val="bottom"/>
          </w:tcPr>
          <w:p>
            <w:pPr>
              <w:ind w:left="460"/>
              <w:spacing w:after="0"/>
              <w:rPr>
                <w:sz w:val="20"/>
                <w:szCs w:val="20"/>
                <w:color w:val="auto"/>
              </w:rPr>
            </w:pPr>
            <w:r>
              <w:rPr>
                <w:rFonts w:ascii="Arial" w:cs="Arial" w:eastAsia="Arial" w:hAnsi="Arial"/>
                <w:sz w:val="17"/>
                <w:szCs w:val="17"/>
                <w:color w:val="auto"/>
                <w:w w:val="99"/>
              </w:rPr>
              <w:t>Global Experience</w:t>
            </w:r>
          </w:p>
        </w:tc>
      </w:tr>
      <w:tr>
        <w:trPr>
          <w:trHeight w:val="417"/>
        </w:trPr>
        <w:tc>
          <w:tcPr>
            <w:tcW w:w="2060" w:type="dxa"/>
            <w:vAlign w:val="bottom"/>
          </w:tcPr>
          <w:p>
            <w:pPr>
              <w:spacing w:after="0"/>
              <w:rPr>
                <w:sz w:val="20"/>
                <w:szCs w:val="20"/>
                <w:color w:val="auto"/>
              </w:rPr>
            </w:pPr>
            <w:r>
              <w:rPr>
                <w:rFonts w:ascii="Arial" w:cs="Arial" w:eastAsia="Arial" w:hAnsi="Arial"/>
                <w:sz w:val="17"/>
                <w:szCs w:val="17"/>
                <w:color w:val="auto"/>
              </w:rPr>
              <w:t>Risk Management</w:t>
            </w:r>
          </w:p>
        </w:tc>
        <w:tc>
          <w:tcPr>
            <w:tcW w:w="298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2">
            <w:col w:w="2240" w:space="720"/>
            <w:col w:w="8240"/>
          </w:cols>
          <w:pgMar w:left="320" w:top="254" w:right="379" w:bottom="1440" w:gutter="0" w:footer="0" w:header="0"/>
          <w:type w:val="continuous"/>
        </w:sectPr>
      </w:pPr>
    </w:p>
    <w:p>
      <w:pPr>
        <w:spacing w:after="0" w:line="373" w:lineRule="exact"/>
        <w:rPr>
          <w:sz w:val="20"/>
          <w:szCs w:val="20"/>
          <w:color w:val="auto"/>
        </w:rPr>
      </w:pPr>
    </w:p>
    <w:p>
      <w:pPr>
        <w:ind w:left="220" w:hanging="213"/>
        <w:spacing w:after="0"/>
        <w:tabs>
          <w:tab w:leader="none" w:pos="220" w:val="left"/>
        </w:tabs>
        <w:numPr>
          <w:ilvl w:val="0"/>
          <w:numId w:val="15"/>
        </w:numPr>
        <w:rPr>
          <w:rFonts w:ascii="Arial" w:cs="Arial" w:eastAsia="Arial" w:hAnsi="Arial"/>
          <w:sz w:val="14"/>
          <w:szCs w:val="14"/>
          <w:color w:val="9D9D9C"/>
        </w:rPr>
      </w:pPr>
      <w:r>
        <w:rPr>
          <w:rFonts w:ascii="Arial" w:cs="Arial" w:eastAsia="Arial" w:hAnsi="Arial"/>
          <w:sz w:val="14"/>
          <w:szCs w:val="14"/>
          <w:color w:val="9D9D9C"/>
        </w:rPr>
        <w:t>Outside public board committees are listed in the Proxy Summary on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253365</wp:posOffset>
            </wp:positionV>
            <wp:extent cx="963930" cy="2216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9</w:t>
      </w:r>
    </w:p>
    <w:p>
      <w:pPr>
        <w:sectPr>
          <w:pgSz w:w="11900" w:h="16838" w:orient="portrait"/>
          <w:cols w:equalWidth="0" w:num="1">
            <w:col w:w="11200"/>
          </w:cols>
          <w:pgMar w:left="320" w:top="254" w:right="379" w:bottom="1440" w:gutter="0" w:footer="0" w:header="0"/>
          <w:type w:val="continuous"/>
        </w:sectPr>
      </w:pPr>
    </w:p>
    <w:bookmarkStart w:id="15" w:name="page16"/>
    <w:bookmarkEnd w:id="15"/>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746125</wp:posOffset>
            </wp:positionV>
            <wp:extent cx="7141210" cy="32937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1210" cy="32937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color w:val="003478"/>
        </w:rPr>
        <w:t>Bruce A. Carlson</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6"/>
          <w:szCs w:val="16"/>
          <w:color w:val="002E6D"/>
        </w:rPr>
        <w:t>Age 72</w:t>
      </w:r>
    </w:p>
    <w:p>
      <w:pPr>
        <w:spacing w:after="0" w:line="112" w:lineRule="exact"/>
        <w:rPr>
          <w:sz w:val="20"/>
          <w:szCs w:val="20"/>
          <w:color w:val="auto"/>
        </w:rPr>
      </w:pPr>
    </w:p>
    <w:p>
      <w:pPr>
        <w:ind w:left="220" w:right="515"/>
        <w:spacing w:after="0" w:line="258" w:lineRule="auto"/>
        <w:rPr>
          <w:sz w:val="20"/>
          <w:szCs w:val="20"/>
          <w:color w:val="auto"/>
        </w:rPr>
      </w:pPr>
      <w:r>
        <w:rPr>
          <w:rFonts w:ascii="Arial" w:cs="Arial" w:eastAsia="Arial" w:hAnsi="Arial"/>
          <w:sz w:val="16"/>
          <w:szCs w:val="16"/>
          <w:color w:val="002E6D"/>
        </w:rPr>
        <w:t>Director since 2015 Independent Director</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Committees</w:t>
      </w:r>
    </w:p>
    <w:p>
      <w:pPr>
        <w:ind w:left="220" w:right="215"/>
        <w:spacing w:after="0" w:line="236" w:lineRule="auto"/>
        <w:rPr>
          <w:sz w:val="20"/>
          <w:szCs w:val="20"/>
          <w:color w:val="auto"/>
        </w:rPr>
      </w:pPr>
      <w:r>
        <w:rPr>
          <w:rFonts w:ascii="Arial" w:cs="Arial" w:eastAsia="Arial" w:hAnsi="Arial"/>
          <w:sz w:val="16"/>
          <w:szCs w:val="16"/>
          <w:color w:val="003478"/>
        </w:rPr>
        <w:t>Classified Business and Security; Nominating and Corporate Governance</w:t>
      </w:r>
    </w:p>
    <w:p>
      <w:pPr>
        <w:spacing w:after="0" w:line="89" w:lineRule="exact"/>
        <w:rPr>
          <w:sz w:val="20"/>
          <w:szCs w:val="20"/>
          <w:color w:val="auto"/>
        </w:rPr>
      </w:pPr>
    </w:p>
    <w:p>
      <w:pPr>
        <w:ind w:left="220" w:right="475"/>
        <w:spacing w:after="0"/>
        <w:rPr>
          <w:sz w:val="20"/>
          <w:szCs w:val="20"/>
          <w:color w:val="auto"/>
        </w:rPr>
      </w:pPr>
      <w:r>
        <w:rPr>
          <w:rFonts w:ascii="Arial" w:cs="Arial" w:eastAsia="Arial" w:hAnsi="Arial"/>
          <w:sz w:val="16"/>
          <w:szCs w:val="16"/>
          <w:color w:val="003478"/>
        </w:rPr>
        <w:t xml:space="preserve">Other Current Boards </w:t>
      </w:r>
      <w:r>
        <w:rPr>
          <w:rFonts w:ascii="Arial" w:cs="Arial" w:eastAsia="Arial" w:hAnsi="Arial"/>
          <w:sz w:val="16"/>
          <w:szCs w:val="16"/>
          <w:color w:val="002E6D"/>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
        <w:spacing w:after="0"/>
        <w:rPr>
          <w:sz w:val="20"/>
          <w:szCs w:val="20"/>
          <w:color w:val="auto"/>
        </w:rPr>
      </w:pPr>
      <w:r>
        <w:rPr>
          <w:rFonts w:ascii="Arial" w:cs="Arial" w:eastAsia="Arial" w:hAnsi="Arial"/>
          <w:sz w:val="16"/>
          <w:szCs w:val="16"/>
          <w:color w:val="003478"/>
        </w:rPr>
        <w:t>Biography</w:t>
      </w:r>
    </w:p>
    <w:p>
      <w:pPr>
        <w:spacing w:after="0" w:line="23" w:lineRule="exact"/>
        <w:rPr>
          <w:sz w:val="20"/>
          <w:szCs w:val="20"/>
          <w:color w:val="auto"/>
        </w:rPr>
      </w:pPr>
    </w:p>
    <w:p>
      <w:pPr>
        <w:ind w:left="5" w:right="20"/>
        <w:spacing w:after="0" w:line="267" w:lineRule="auto"/>
        <w:rPr>
          <w:sz w:val="20"/>
          <w:szCs w:val="20"/>
          <w:color w:val="auto"/>
        </w:rPr>
      </w:pPr>
      <w:r>
        <w:rPr>
          <w:rFonts w:ascii="Arial" w:cs="Arial" w:eastAsia="Arial" w:hAnsi="Arial"/>
          <w:sz w:val="16"/>
          <w:szCs w:val="16"/>
          <w:color w:val="auto"/>
        </w:rPr>
        <w:t>Retired U.S. Air Force General, Mr. Carlson has been chairman of Utah State University’s Space Dynamics Laboratory Guidance Council since June 2013 and chairman of its board of directors since 2018. Previously, Mr. Carlson served as the 17th Director of the National Reconnaissance Office from 2009 until 2012. He retired from the U.S. Air Force in 2009 after more than 37 years of service, including service as Commander, Air Force Materiel Command at Wright-Patterson AFB, Ohio, Commander, Eighth Air Force at Barksdale AFB, Louisiana; and Director for Force Structure, Resources and Assessment (J-8) for the Joint Staff. Mr. Carlson previously served on the board of directors of Benchmark Electronics Inc. from July 2017 until October 2021.</w:t>
      </w:r>
    </w:p>
    <w:p>
      <w:pPr>
        <w:spacing w:after="0" w:line="94" w:lineRule="exact"/>
        <w:rPr>
          <w:sz w:val="20"/>
          <w:szCs w:val="20"/>
          <w:color w:val="auto"/>
        </w:rPr>
      </w:pPr>
    </w:p>
    <w:p>
      <w:pPr>
        <w:ind w:left="5"/>
        <w:spacing w:after="0"/>
        <w:rPr>
          <w:sz w:val="20"/>
          <w:szCs w:val="20"/>
          <w:color w:val="auto"/>
        </w:rPr>
      </w:pPr>
      <w:r>
        <w:rPr>
          <w:rFonts w:ascii="Arial" w:cs="Arial" w:eastAsia="Arial" w:hAnsi="Arial"/>
          <w:sz w:val="16"/>
          <w:szCs w:val="16"/>
          <w:color w:val="002E6D"/>
        </w:rPr>
        <w:t>Skills, Qualifications and Core Competencies</w:t>
      </w:r>
    </w:p>
    <w:p>
      <w:pPr>
        <w:spacing w:after="0" w:line="10" w:lineRule="exact"/>
        <w:rPr>
          <w:sz w:val="20"/>
          <w:szCs w:val="20"/>
          <w:color w:val="auto"/>
        </w:rPr>
      </w:pPr>
    </w:p>
    <w:p>
      <w:pPr>
        <w:ind w:left="185" w:right="60" w:hanging="185"/>
        <w:spacing w:after="0" w:line="255" w:lineRule="auto"/>
        <w:tabs>
          <w:tab w:leader="none" w:pos="146" w:val="left"/>
        </w:tabs>
        <w:numPr>
          <w:ilvl w:val="0"/>
          <w:numId w:val="16"/>
        </w:numPr>
        <w:rPr>
          <w:rFonts w:ascii="Arial" w:cs="Arial" w:eastAsia="Arial" w:hAnsi="Arial"/>
          <w:sz w:val="17"/>
          <w:szCs w:val="17"/>
          <w:color w:val="002E6D"/>
        </w:rPr>
      </w:pPr>
      <w:r>
        <w:rPr>
          <w:rFonts w:ascii="Arial" w:cs="Arial" w:eastAsia="Arial" w:hAnsi="Arial"/>
          <w:sz w:val="17"/>
          <w:szCs w:val="17"/>
          <w:color w:val="auto"/>
        </w:rPr>
        <w:t>Industry-specific expertise and knowledge of our core customer, including aircraft and satellite development and acquisition experience from his service in senior leadership positions with the military</w:t>
      </w:r>
    </w:p>
    <w:p>
      <w:pPr>
        <w:spacing w:after="0" w:line="1" w:lineRule="exact"/>
        <w:rPr>
          <w:rFonts w:ascii="Arial" w:cs="Arial" w:eastAsia="Arial" w:hAnsi="Arial"/>
          <w:sz w:val="17"/>
          <w:szCs w:val="17"/>
          <w:color w:val="002E6D"/>
        </w:rPr>
      </w:pPr>
    </w:p>
    <w:p>
      <w:pPr>
        <w:ind w:left="185" w:right="420" w:hanging="185"/>
        <w:spacing w:after="0" w:line="252" w:lineRule="auto"/>
        <w:tabs>
          <w:tab w:leader="none" w:pos="159" w:val="left"/>
        </w:tabs>
        <w:numPr>
          <w:ilvl w:val="0"/>
          <w:numId w:val="16"/>
        </w:numPr>
        <w:rPr>
          <w:rFonts w:ascii="Arial" w:cs="Arial" w:eastAsia="Arial" w:hAnsi="Arial"/>
          <w:sz w:val="17"/>
          <w:szCs w:val="17"/>
          <w:color w:val="002E6D"/>
        </w:rPr>
      </w:pPr>
      <w:r>
        <w:rPr>
          <w:rFonts w:ascii="Arial" w:cs="Arial" w:eastAsia="Arial" w:hAnsi="Arial"/>
          <w:sz w:val="17"/>
          <w:szCs w:val="17"/>
          <w:color w:val="auto"/>
        </w:rPr>
        <w:t>Experience with the demands and challenges associated with managing large organizations from his service as a Commander and Joint Staff Director of the Joint Chiefs and the National Reconnaissance Office</w:t>
      </w:r>
    </w:p>
    <w:p>
      <w:pPr>
        <w:spacing w:after="0" w:line="15" w:lineRule="exact"/>
        <w:rPr>
          <w:rFonts w:ascii="Arial" w:cs="Arial" w:eastAsia="Arial" w:hAnsi="Arial"/>
          <w:sz w:val="17"/>
          <w:szCs w:val="17"/>
          <w:color w:val="002E6D"/>
        </w:rPr>
      </w:pPr>
    </w:p>
    <w:p>
      <w:pPr>
        <w:ind w:left="165" w:hanging="165"/>
        <w:spacing w:after="0"/>
        <w:tabs>
          <w:tab w:leader="none" w:pos="165" w:val="left"/>
        </w:tabs>
        <w:numPr>
          <w:ilvl w:val="0"/>
          <w:numId w:val="16"/>
        </w:numPr>
        <w:rPr>
          <w:rFonts w:ascii="Arial" w:cs="Arial" w:eastAsia="Arial" w:hAnsi="Arial"/>
          <w:sz w:val="17"/>
          <w:szCs w:val="17"/>
          <w:color w:val="002E6D"/>
        </w:rPr>
      </w:pPr>
      <w:r>
        <w:rPr>
          <w:rFonts w:ascii="Arial" w:cs="Arial" w:eastAsia="Arial" w:hAnsi="Arial"/>
          <w:sz w:val="17"/>
          <w:szCs w:val="17"/>
          <w:color w:val="auto"/>
        </w:rPr>
        <w:t>Skilled in executive management, logistics and military procurement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45" w:type="dxa"/>
        <w:tblCellMar>
          <w:top w:w="0" w:type="dxa"/>
          <w:left w:w="0" w:type="dxa"/>
          <w:bottom w:w="0" w:type="dxa"/>
          <w:right w:w="0" w:type="dxa"/>
        </w:tblCellMar>
      </w:tblPr>
      <w:tr>
        <w:trPr>
          <w:trHeight w:val="195"/>
        </w:trPr>
        <w:tc>
          <w:tcPr>
            <w:tcW w:w="2080" w:type="dxa"/>
            <w:vAlign w:val="bottom"/>
          </w:tcPr>
          <w:p>
            <w:pPr>
              <w:spacing w:after="0"/>
              <w:rPr>
                <w:sz w:val="20"/>
                <w:szCs w:val="20"/>
                <w:color w:val="auto"/>
              </w:rPr>
            </w:pPr>
            <w:r>
              <w:rPr>
                <w:rFonts w:ascii="Arial" w:cs="Arial" w:eastAsia="Arial" w:hAnsi="Arial"/>
                <w:sz w:val="17"/>
                <w:szCs w:val="17"/>
                <w:color w:val="auto"/>
              </w:rPr>
              <w:t>Human Capital</w:t>
            </w:r>
          </w:p>
        </w:tc>
        <w:tc>
          <w:tcPr>
            <w:tcW w:w="2740" w:type="dxa"/>
            <w:vAlign w:val="bottom"/>
            <w:vMerge w:val="restart"/>
          </w:tcPr>
          <w:p>
            <w:pPr>
              <w:ind w:left="680"/>
              <w:spacing w:after="0"/>
              <w:rPr>
                <w:sz w:val="20"/>
                <w:szCs w:val="20"/>
                <w:color w:val="auto"/>
              </w:rPr>
            </w:pPr>
            <w:r>
              <w:rPr>
                <w:rFonts w:ascii="Arial" w:cs="Arial" w:eastAsia="Arial" w:hAnsi="Arial"/>
                <w:sz w:val="17"/>
                <w:szCs w:val="17"/>
                <w:color w:val="auto"/>
              </w:rPr>
              <w:t>Manufacturing</w:t>
            </w:r>
          </w:p>
        </w:tc>
        <w:tc>
          <w:tcPr>
            <w:tcW w:w="2220" w:type="dxa"/>
            <w:vAlign w:val="bottom"/>
          </w:tcPr>
          <w:p>
            <w:pPr>
              <w:ind w:left="700"/>
              <w:spacing w:after="0"/>
              <w:rPr>
                <w:sz w:val="20"/>
                <w:szCs w:val="20"/>
                <w:color w:val="auto"/>
              </w:rPr>
            </w:pPr>
            <w:r>
              <w:rPr>
                <w:rFonts w:ascii="Arial" w:cs="Arial" w:eastAsia="Arial" w:hAnsi="Arial"/>
                <w:sz w:val="17"/>
                <w:szCs w:val="17"/>
                <w:color w:val="auto"/>
                <w:w w:val="98"/>
              </w:rPr>
              <w:t>Government/Military</w:t>
            </w:r>
          </w:p>
        </w:tc>
        <w:tc>
          <w:tcPr>
            <w:tcW w:w="0" w:type="dxa"/>
            <w:vAlign w:val="bottom"/>
          </w:tcPr>
          <w:p>
            <w:pPr>
              <w:spacing w:after="0"/>
              <w:rPr>
                <w:sz w:val="1"/>
                <w:szCs w:val="1"/>
                <w:color w:val="auto"/>
              </w:rPr>
            </w:pPr>
          </w:p>
        </w:tc>
      </w:tr>
      <w:tr>
        <w:trPr>
          <w:trHeight w:val="123"/>
        </w:trPr>
        <w:tc>
          <w:tcPr>
            <w:tcW w:w="2080" w:type="dxa"/>
            <w:vAlign w:val="bottom"/>
            <w:vMerge w:val="restart"/>
          </w:tcPr>
          <w:p>
            <w:pPr>
              <w:spacing w:after="0"/>
              <w:rPr>
                <w:sz w:val="20"/>
                <w:szCs w:val="20"/>
                <w:color w:val="auto"/>
              </w:rPr>
            </w:pPr>
            <w:r>
              <w:rPr>
                <w:rFonts w:ascii="Arial" w:cs="Arial" w:eastAsia="Arial" w:hAnsi="Arial"/>
                <w:sz w:val="17"/>
                <w:szCs w:val="17"/>
                <w:color w:val="auto"/>
              </w:rPr>
              <w:t>Management</w:t>
            </w:r>
          </w:p>
        </w:tc>
        <w:tc>
          <w:tcPr>
            <w:tcW w:w="2740" w:type="dxa"/>
            <w:vAlign w:val="bottom"/>
            <w:vMerge w:val="continue"/>
          </w:tcPr>
          <w:p>
            <w:pPr>
              <w:spacing w:after="0"/>
              <w:rPr>
                <w:sz w:val="10"/>
                <w:szCs w:val="10"/>
                <w:color w:val="auto"/>
              </w:rPr>
            </w:pPr>
          </w:p>
        </w:tc>
        <w:tc>
          <w:tcPr>
            <w:tcW w:w="2220" w:type="dxa"/>
            <w:vAlign w:val="bottom"/>
            <w:vMerge w:val="restart"/>
          </w:tcPr>
          <w:p>
            <w:pPr>
              <w:ind w:left="700"/>
              <w:spacing w:after="0"/>
              <w:rPr>
                <w:sz w:val="20"/>
                <w:szCs w:val="20"/>
                <w:color w:val="auto"/>
              </w:rPr>
            </w:pPr>
            <w:r>
              <w:rPr>
                <w:rFonts w:ascii="Arial" w:cs="Arial" w:eastAsia="Arial" w:hAnsi="Arial"/>
                <w:sz w:val="17"/>
                <w:szCs w:val="17"/>
                <w:color w:val="auto"/>
              </w:rPr>
              <w:t>Experience</w:t>
            </w:r>
          </w:p>
        </w:tc>
        <w:tc>
          <w:tcPr>
            <w:tcW w:w="0" w:type="dxa"/>
            <w:vAlign w:val="bottom"/>
          </w:tcPr>
          <w:p>
            <w:pPr>
              <w:spacing w:after="0"/>
              <w:rPr>
                <w:sz w:val="1"/>
                <w:szCs w:val="1"/>
                <w:color w:val="auto"/>
              </w:rPr>
            </w:pPr>
          </w:p>
        </w:tc>
      </w:tr>
      <w:tr>
        <w:trPr>
          <w:trHeight w:val="94"/>
        </w:trPr>
        <w:tc>
          <w:tcPr>
            <w:tcW w:w="2080" w:type="dxa"/>
            <w:vAlign w:val="bottom"/>
            <w:vMerge w:val="continue"/>
          </w:tcPr>
          <w:p>
            <w:pPr>
              <w:spacing w:after="0"/>
              <w:rPr>
                <w:sz w:val="8"/>
                <w:szCs w:val="8"/>
                <w:color w:val="auto"/>
              </w:rPr>
            </w:pPr>
          </w:p>
        </w:tc>
        <w:tc>
          <w:tcPr>
            <w:tcW w:w="2740" w:type="dxa"/>
            <w:vAlign w:val="bottom"/>
          </w:tcPr>
          <w:p>
            <w:pPr>
              <w:spacing w:after="0"/>
              <w:rPr>
                <w:sz w:val="8"/>
                <w:szCs w:val="8"/>
                <w:color w:val="auto"/>
              </w:rPr>
            </w:pPr>
          </w:p>
        </w:tc>
        <w:tc>
          <w:tcPr>
            <w:tcW w:w="22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6"/>
        </w:trPr>
        <w:tc>
          <w:tcPr>
            <w:tcW w:w="2080" w:type="dxa"/>
            <w:vAlign w:val="bottom"/>
          </w:tcPr>
          <w:p>
            <w:pPr>
              <w:spacing w:after="0"/>
              <w:rPr>
                <w:sz w:val="20"/>
                <w:szCs w:val="20"/>
                <w:color w:val="auto"/>
              </w:rPr>
            </w:pPr>
            <w:r>
              <w:rPr>
                <w:rFonts w:ascii="Arial" w:cs="Arial" w:eastAsia="Arial" w:hAnsi="Arial"/>
                <w:sz w:val="17"/>
                <w:szCs w:val="17"/>
                <w:color w:val="auto"/>
              </w:rPr>
              <w:t>Global Experience</w:t>
            </w:r>
          </w:p>
        </w:tc>
        <w:tc>
          <w:tcPr>
            <w:tcW w:w="2740" w:type="dxa"/>
            <w:vAlign w:val="bottom"/>
          </w:tcPr>
          <w:p>
            <w:pPr>
              <w:ind w:left="680"/>
              <w:spacing w:after="0"/>
              <w:rPr>
                <w:sz w:val="20"/>
                <w:szCs w:val="20"/>
                <w:color w:val="auto"/>
              </w:rPr>
            </w:pPr>
            <w:r>
              <w:rPr>
                <w:rFonts w:ascii="Arial" w:cs="Arial" w:eastAsia="Arial" w:hAnsi="Arial"/>
                <w:sz w:val="17"/>
                <w:szCs w:val="17"/>
                <w:color w:val="auto"/>
              </w:rPr>
              <w:t>Risk Management</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-1870710</wp:posOffset>
            </wp:positionH>
            <wp:positionV relativeFrom="paragraph">
              <wp:posOffset>514350</wp:posOffset>
            </wp:positionV>
            <wp:extent cx="7141210" cy="301180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1210" cy="30118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35" w:space="720"/>
            <w:col w:w="8285"/>
          </w:cols>
          <w:pgMar w:left="320" w:top="25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20"/>
        <w:spacing w:after="0"/>
        <w:rPr>
          <w:sz w:val="20"/>
          <w:szCs w:val="20"/>
          <w:color w:val="auto"/>
        </w:rPr>
      </w:pPr>
      <w:r>
        <w:rPr>
          <w:rFonts w:ascii="Arial" w:cs="Arial" w:eastAsia="Arial" w:hAnsi="Arial"/>
          <w:sz w:val="18"/>
          <w:szCs w:val="18"/>
          <w:color w:val="003478"/>
          <w:shd w:val="clear" w:color="auto" w:fill="E5E7EF"/>
        </w:rPr>
        <w:t>John M. Donovan</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6"/>
          <w:szCs w:val="16"/>
          <w:color w:val="003478"/>
          <w:shd w:val="clear" w:color="auto" w:fill="E5E7EF"/>
        </w:rPr>
        <w:t xml:space="preserve">Age </w:t>
      </w:r>
      <w:r>
        <w:rPr>
          <w:rFonts w:ascii="Arial" w:cs="Arial" w:eastAsia="Arial" w:hAnsi="Arial"/>
          <w:sz w:val="16"/>
          <w:szCs w:val="16"/>
          <w:color w:val="003478"/>
        </w:rPr>
        <w:t>61</w:t>
      </w:r>
    </w:p>
    <w:p>
      <w:pPr>
        <w:spacing w:after="0" w:line="112" w:lineRule="exact"/>
        <w:rPr>
          <w:sz w:val="20"/>
          <w:szCs w:val="20"/>
          <w:color w:val="auto"/>
        </w:rPr>
      </w:pPr>
    </w:p>
    <w:p>
      <w:pPr>
        <w:ind w:left="220" w:right="515"/>
        <w:spacing w:after="0" w:line="258" w:lineRule="auto"/>
        <w:rPr>
          <w:sz w:val="20"/>
          <w:szCs w:val="20"/>
          <w:color w:val="auto"/>
        </w:rPr>
      </w:pPr>
      <w:r>
        <w:rPr>
          <w:rFonts w:ascii="Arial" w:cs="Arial" w:eastAsia="Arial" w:hAnsi="Arial"/>
          <w:sz w:val="16"/>
          <w:szCs w:val="16"/>
          <w:color w:val="003478"/>
          <w:shd w:val="clear" w:color="auto" w:fill="E5E7EF"/>
        </w:rPr>
        <w:t xml:space="preserve">Director since </w:t>
      </w:r>
      <w:r>
        <w:rPr>
          <w:rFonts w:ascii="Arial" w:cs="Arial" w:eastAsia="Arial" w:hAnsi="Arial"/>
          <w:sz w:val="16"/>
          <w:szCs w:val="16"/>
          <w:color w:val="002E6D"/>
        </w:rPr>
        <w:t>2021</w:t>
      </w:r>
      <w:r>
        <w:rPr>
          <w:rFonts w:ascii="Arial" w:cs="Arial" w:eastAsia="Arial" w:hAnsi="Arial"/>
          <w:sz w:val="16"/>
          <w:szCs w:val="16"/>
          <w:color w:val="003478"/>
          <w:shd w:val="clear" w:color="auto" w:fill="E5E7EF"/>
        </w:rPr>
        <w:t xml:space="preserve"> Independent Director</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Committees</w:t>
      </w:r>
    </w:p>
    <w:p>
      <w:pPr>
        <w:ind w:left="220" w:right="295"/>
        <w:spacing w:after="0"/>
        <w:rPr>
          <w:sz w:val="20"/>
          <w:szCs w:val="20"/>
          <w:color w:val="auto"/>
        </w:rPr>
      </w:pPr>
      <w:r>
        <w:rPr>
          <w:rFonts w:ascii="Arial" w:cs="Arial" w:eastAsia="Arial" w:hAnsi="Arial"/>
          <w:sz w:val="16"/>
          <w:szCs w:val="16"/>
          <w:color w:val="003478"/>
        </w:rPr>
        <w:t>Classified Business and Security</w:t>
      </w:r>
    </w:p>
    <w:p>
      <w:pPr>
        <w:spacing w:after="0" w:line="89" w:lineRule="exact"/>
        <w:rPr>
          <w:sz w:val="20"/>
          <w:szCs w:val="20"/>
          <w:color w:val="auto"/>
        </w:rPr>
      </w:pPr>
    </w:p>
    <w:p>
      <w:pPr>
        <w:ind w:left="220" w:right="415"/>
        <w:spacing w:after="0"/>
        <w:rPr>
          <w:sz w:val="20"/>
          <w:szCs w:val="20"/>
          <w:color w:val="auto"/>
        </w:rPr>
      </w:pPr>
      <w:r>
        <w:rPr>
          <w:rFonts w:ascii="Arial" w:cs="Arial" w:eastAsia="Arial" w:hAnsi="Arial"/>
          <w:sz w:val="16"/>
          <w:szCs w:val="16"/>
          <w:color w:val="003478"/>
          <w:shd w:val="clear" w:color="auto" w:fill="E5E7EF"/>
        </w:rPr>
        <w:t xml:space="preserve">Other Current Boards* </w:t>
      </w:r>
      <w:r>
        <w:rPr>
          <w:rFonts w:ascii="Arial" w:cs="Arial" w:eastAsia="Arial" w:hAnsi="Arial"/>
          <w:sz w:val="16"/>
          <w:szCs w:val="16"/>
          <w:color w:val="003478"/>
        </w:rPr>
        <w:t>Palo Alto Networks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
        <w:spacing w:after="0"/>
        <w:rPr>
          <w:sz w:val="20"/>
          <w:szCs w:val="20"/>
          <w:color w:val="auto"/>
        </w:rPr>
      </w:pPr>
      <w:r>
        <w:rPr>
          <w:rFonts w:ascii="Arial" w:cs="Arial" w:eastAsia="Arial" w:hAnsi="Arial"/>
          <w:sz w:val="16"/>
          <w:szCs w:val="16"/>
          <w:color w:val="003478"/>
        </w:rPr>
        <w:t>Biography</w:t>
      </w:r>
    </w:p>
    <w:p>
      <w:pPr>
        <w:spacing w:after="0" w:line="10" w:lineRule="exact"/>
        <w:rPr>
          <w:sz w:val="20"/>
          <w:szCs w:val="20"/>
          <w:color w:val="auto"/>
        </w:rPr>
      </w:pPr>
    </w:p>
    <w:p>
      <w:pPr>
        <w:ind w:left="5" w:right="240"/>
        <w:spacing w:after="0" w:line="250" w:lineRule="auto"/>
        <w:rPr>
          <w:sz w:val="20"/>
          <w:szCs w:val="20"/>
          <w:color w:val="auto"/>
        </w:rPr>
      </w:pPr>
      <w:r>
        <w:rPr>
          <w:rFonts w:ascii="Arial" w:cs="Arial" w:eastAsia="Arial" w:hAnsi="Arial"/>
          <w:sz w:val="17"/>
          <w:szCs w:val="17"/>
          <w:color w:val="auto"/>
        </w:rPr>
        <w:t>Retired Chief Executive Officer of AT&amp;T Communications, LLC, a wholly-owned subsidiary of AT&amp;T Inc. Mr. Donovan served as CEO from August 2017 until his retirement in October 2019. He was Chief Strategy Officer and Group President of AT&amp;T Technology and Operations from January 2012 through August 2017, and Chief Technology Officer of AT&amp;T Inc. from April 2008 through January 2012. He is chair of the President’s National Security Telecommunications Advisory Committee.</w:t>
      </w:r>
    </w:p>
    <w:p>
      <w:pPr>
        <w:spacing w:after="0" w:line="105" w:lineRule="exact"/>
        <w:rPr>
          <w:sz w:val="20"/>
          <w:szCs w:val="20"/>
          <w:color w:val="auto"/>
        </w:rPr>
      </w:pPr>
    </w:p>
    <w:p>
      <w:pPr>
        <w:ind w:left="5"/>
        <w:spacing w:after="0"/>
        <w:rPr>
          <w:sz w:val="20"/>
          <w:szCs w:val="20"/>
          <w:color w:val="auto"/>
        </w:rPr>
      </w:pPr>
      <w:r>
        <w:rPr>
          <w:rFonts w:ascii="Arial" w:cs="Arial" w:eastAsia="Arial" w:hAnsi="Arial"/>
          <w:sz w:val="16"/>
          <w:szCs w:val="16"/>
          <w:color w:val="002E6D"/>
        </w:rPr>
        <w:t>Skills, Qualifications and Core Competencies</w:t>
      </w:r>
    </w:p>
    <w:p>
      <w:pPr>
        <w:spacing w:after="0" w:line="23" w:lineRule="exact"/>
        <w:rPr>
          <w:sz w:val="20"/>
          <w:szCs w:val="20"/>
          <w:color w:val="auto"/>
        </w:rPr>
      </w:pPr>
    </w:p>
    <w:p>
      <w:pPr>
        <w:ind w:left="145" w:hanging="145"/>
        <w:spacing w:after="0"/>
        <w:tabs>
          <w:tab w:leader="none" w:pos="145" w:val="left"/>
        </w:tabs>
        <w:numPr>
          <w:ilvl w:val="0"/>
          <w:numId w:val="17"/>
        </w:numPr>
        <w:rPr>
          <w:rFonts w:ascii="Arial" w:cs="Arial" w:eastAsia="Arial" w:hAnsi="Arial"/>
          <w:sz w:val="17"/>
          <w:szCs w:val="17"/>
          <w:color w:val="002E6D"/>
        </w:rPr>
      </w:pPr>
      <w:r>
        <w:rPr>
          <w:rFonts w:ascii="Arial" w:cs="Arial" w:eastAsia="Arial" w:hAnsi="Arial"/>
          <w:sz w:val="17"/>
          <w:szCs w:val="17"/>
          <w:color w:val="auto"/>
        </w:rPr>
        <w:t>Expertise in technology and innovation, including the transition to 5G networks</w:t>
      </w:r>
    </w:p>
    <w:p>
      <w:pPr>
        <w:spacing w:after="0" w:line="19" w:lineRule="exact"/>
        <w:rPr>
          <w:rFonts w:ascii="Arial" w:cs="Arial" w:eastAsia="Arial" w:hAnsi="Arial"/>
          <w:sz w:val="17"/>
          <w:szCs w:val="17"/>
          <w:color w:val="002E6D"/>
        </w:rPr>
      </w:pPr>
    </w:p>
    <w:p>
      <w:pPr>
        <w:ind w:left="185" w:right="240" w:hanging="185"/>
        <w:spacing w:after="0" w:line="255" w:lineRule="auto"/>
        <w:tabs>
          <w:tab w:leader="none" w:pos="159" w:val="left"/>
        </w:tabs>
        <w:numPr>
          <w:ilvl w:val="0"/>
          <w:numId w:val="17"/>
        </w:numPr>
        <w:rPr>
          <w:rFonts w:ascii="Arial" w:cs="Arial" w:eastAsia="Arial" w:hAnsi="Arial"/>
          <w:sz w:val="17"/>
          <w:szCs w:val="17"/>
          <w:color w:val="002E6D"/>
        </w:rPr>
      </w:pPr>
      <w:r>
        <w:rPr>
          <w:rFonts w:ascii="Arial" w:cs="Arial" w:eastAsia="Arial" w:hAnsi="Arial"/>
          <w:sz w:val="17"/>
          <w:szCs w:val="17"/>
          <w:color w:val="auto"/>
        </w:rPr>
        <w:t>Skilled in overseeing global information, software development, supply chain, network operations and big data organizations</w:t>
      </w:r>
    </w:p>
    <w:p>
      <w:pPr>
        <w:spacing w:after="0" w:line="1" w:lineRule="exact"/>
        <w:rPr>
          <w:rFonts w:ascii="Arial" w:cs="Arial" w:eastAsia="Arial" w:hAnsi="Arial"/>
          <w:sz w:val="17"/>
          <w:szCs w:val="17"/>
          <w:color w:val="002E6D"/>
        </w:rPr>
      </w:pPr>
    </w:p>
    <w:p>
      <w:pPr>
        <w:ind w:left="165" w:hanging="165"/>
        <w:spacing w:after="0"/>
        <w:tabs>
          <w:tab w:leader="none" w:pos="165" w:val="left"/>
        </w:tabs>
        <w:numPr>
          <w:ilvl w:val="0"/>
          <w:numId w:val="17"/>
        </w:numPr>
        <w:rPr>
          <w:rFonts w:ascii="Arial" w:cs="Arial" w:eastAsia="Arial" w:hAnsi="Arial"/>
          <w:sz w:val="17"/>
          <w:szCs w:val="17"/>
          <w:color w:val="002E6D"/>
        </w:rPr>
      </w:pPr>
      <w:r>
        <w:rPr>
          <w:rFonts w:ascii="Arial" w:cs="Arial" w:eastAsia="Arial" w:hAnsi="Arial"/>
          <w:sz w:val="17"/>
          <w:szCs w:val="17"/>
          <w:color w:val="auto"/>
        </w:rPr>
        <w:t>Experience in cybersecurity, artificial intelligence and machine learning</w:t>
      </w:r>
    </w:p>
    <w:p>
      <w:pPr>
        <w:spacing w:after="0" w:line="187" w:lineRule="exact"/>
        <w:rPr>
          <w:sz w:val="20"/>
          <w:szCs w:val="20"/>
          <w:color w:val="auto"/>
        </w:rPr>
      </w:pPr>
    </w:p>
    <w:tbl>
      <w:tblPr>
        <w:tblLayout w:type="fixed"/>
        <w:tblInd w:w="445" w:type="dxa"/>
        <w:tblCellMar>
          <w:top w:w="0" w:type="dxa"/>
          <w:left w:w="0" w:type="dxa"/>
          <w:bottom w:w="0" w:type="dxa"/>
          <w:right w:w="0" w:type="dxa"/>
        </w:tblCellMar>
      </w:tblPr>
      <w:tr>
        <w:trPr>
          <w:trHeight w:val="195"/>
        </w:trPr>
        <w:tc>
          <w:tcPr>
            <w:tcW w:w="2360" w:type="dxa"/>
            <w:vAlign w:val="bottom"/>
          </w:tcPr>
          <w:p>
            <w:pPr>
              <w:spacing w:after="0"/>
              <w:rPr>
                <w:sz w:val="20"/>
                <w:szCs w:val="20"/>
                <w:color w:val="auto"/>
              </w:rPr>
            </w:pPr>
            <w:r>
              <w:rPr>
                <w:rFonts w:ascii="Arial" w:cs="Arial" w:eastAsia="Arial" w:hAnsi="Arial"/>
                <w:sz w:val="17"/>
                <w:szCs w:val="17"/>
                <w:color w:val="auto"/>
              </w:rPr>
              <w:t>Human Capital</w:t>
            </w:r>
          </w:p>
        </w:tc>
        <w:tc>
          <w:tcPr>
            <w:tcW w:w="2800" w:type="dxa"/>
            <w:vAlign w:val="bottom"/>
            <w:vMerge w:val="restart"/>
          </w:tcPr>
          <w:p>
            <w:pPr>
              <w:ind w:left="420"/>
              <w:spacing w:after="0"/>
              <w:rPr>
                <w:sz w:val="20"/>
                <w:szCs w:val="20"/>
                <w:color w:val="auto"/>
              </w:rPr>
            </w:pPr>
            <w:r>
              <w:rPr>
                <w:rFonts w:ascii="Arial" w:cs="Arial" w:eastAsia="Arial" w:hAnsi="Arial"/>
                <w:sz w:val="17"/>
                <w:szCs w:val="17"/>
                <w:color w:val="auto"/>
              </w:rPr>
              <w:t>Financial Expert</w:t>
            </w:r>
          </w:p>
        </w:tc>
        <w:tc>
          <w:tcPr>
            <w:tcW w:w="1740" w:type="dxa"/>
            <w:vAlign w:val="bottom"/>
            <w:vMerge w:val="restart"/>
          </w:tcPr>
          <w:p>
            <w:pPr>
              <w:ind w:left="380"/>
              <w:spacing w:after="0"/>
              <w:rPr>
                <w:sz w:val="20"/>
                <w:szCs w:val="20"/>
                <w:color w:val="auto"/>
              </w:rPr>
            </w:pPr>
            <w:r>
              <w:rPr>
                <w:rFonts w:ascii="Arial" w:cs="Arial" w:eastAsia="Arial" w:hAnsi="Arial"/>
                <w:sz w:val="17"/>
                <w:szCs w:val="17"/>
                <w:color w:val="auto"/>
              </w:rPr>
              <w:t>Manufacturing</w:t>
            </w:r>
          </w:p>
        </w:tc>
        <w:tc>
          <w:tcPr>
            <w:tcW w:w="0" w:type="dxa"/>
            <w:vAlign w:val="bottom"/>
          </w:tcPr>
          <w:p>
            <w:pPr>
              <w:spacing w:after="0"/>
              <w:rPr>
                <w:sz w:val="1"/>
                <w:szCs w:val="1"/>
                <w:color w:val="auto"/>
              </w:rPr>
            </w:pPr>
          </w:p>
        </w:tc>
      </w:tr>
      <w:tr>
        <w:trPr>
          <w:trHeight w:val="110"/>
        </w:trPr>
        <w:tc>
          <w:tcPr>
            <w:tcW w:w="2360" w:type="dxa"/>
            <w:vAlign w:val="bottom"/>
            <w:vMerge w:val="restart"/>
          </w:tcPr>
          <w:p>
            <w:pPr>
              <w:spacing w:after="0"/>
              <w:rPr>
                <w:sz w:val="20"/>
                <w:szCs w:val="20"/>
                <w:color w:val="auto"/>
              </w:rPr>
            </w:pPr>
            <w:r>
              <w:rPr>
                <w:rFonts w:ascii="Arial" w:cs="Arial" w:eastAsia="Arial" w:hAnsi="Arial"/>
                <w:sz w:val="17"/>
                <w:szCs w:val="17"/>
                <w:color w:val="auto"/>
              </w:rPr>
              <w:t>Management</w:t>
            </w:r>
          </w:p>
        </w:tc>
        <w:tc>
          <w:tcPr>
            <w:tcW w:w="280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360" w:type="dxa"/>
            <w:vAlign w:val="bottom"/>
            <w:vMerge w:val="continue"/>
          </w:tcPr>
          <w:p>
            <w:pPr>
              <w:spacing w:after="0"/>
              <w:rPr>
                <w:sz w:val="8"/>
                <w:szCs w:val="8"/>
                <w:color w:val="auto"/>
              </w:rPr>
            </w:pPr>
          </w:p>
        </w:tc>
        <w:tc>
          <w:tcPr>
            <w:tcW w:w="2800" w:type="dxa"/>
            <w:vAlign w:val="bottom"/>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360" w:type="dxa"/>
            <w:vAlign w:val="bottom"/>
            <w:vMerge w:val="restart"/>
          </w:tcPr>
          <w:p>
            <w:pPr>
              <w:spacing w:after="0"/>
              <w:rPr>
                <w:sz w:val="20"/>
                <w:szCs w:val="20"/>
                <w:color w:val="auto"/>
              </w:rPr>
            </w:pPr>
            <w:r>
              <w:rPr>
                <w:rFonts w:ascii="Arial" w:cs="Arial" w:eastAsia="Arial" w:hAnsi="Arial"/>
                <w:sz w:val="17"/>
                <w:szCs w:val="17"/>
                <w:color w:val="auto"/>
              </w:rPr>
              <w:t>Global Experience</w:t>
            </w:r>
          </w:p>
        </w:tc>
        <w:tc>
          <w:tcPr>
            <w:tcW w:w="2800" w:type="dxa"/>
            <w:vAlign w:val="bottom"/>
          </w:tcPr>
          <w:p>
            <w:pPr>
              <w:ind w:left="420"/>
              <w:spacing w:after="0"/>
              <w:rPr>
                <w:sz w:val="20"/>
                <w:szCs w:val="20"/>
                <w:color w:val="auto"/>
              </w:rPr>
            </w:pPr>
            <w:r>
              <w:rPr>
                <w:rFonts w:ascii="Arial" w:cs="Arial" w:eastAsia="Arial" w:hAnsi="Arial"/>
                <w:sz w:val="17"/>
                <w:szCs w:val="17"/>
                <w:color w:val="auto"/>
              </w:rPr>
              <w:t>Engineering, Technology &amp;</w:t>
            </w:r>
          </w:p>
        </w:tc>
        <w:tc>
          <w:tcPr>
            <w:tcW w:w="1740" w:type="dxa"/>
            <w:vAlign w:val="bottom"/>
            <w:vMerge w:val="restart"/>
          </w:tcPr>
          <w:p>
            <w:pPr>
              <w:ind w:left="380"/>
              <w:spacing w:after="0"/>
              <w:rPr>
                <w:sz w:val="20"/>
                <w:szCs w:val="20"/>
                <w:color w:val="auto"/>
              </w:rPr>
            </w:pPr>
            <w:r>
              <w:rPr>
                <w:rFonts w:ascii="Arial" w:cs="Arial" w:eastAsia="Arial" w:hAnsi="Arial"/>
                <w:sz w:val="17"/>
                <w:szCs w:val="17"/>
                <w:color w:val="auto"/>
                <w:w w:val="97"/>
              </w:rPr>
              <w:t>Risk Management</w:t>
            </w:r>
          </w:p>
        </w:tc>
        <w:tc>
          <w:tcPr>
            <w:tcW w:w="0" w:type="dxa"/>
            <w:vAlign w:val="bottom"/>
          </w:tcPr>
          <w:p>
            <w:pPr>
              <w:spacing w:after="0"/>
              <w:rPr>
                <w:sz w:val="1"/>
                <w:szCs w:val="1"/>
                <w:color w:val="auto"/>
              </w:rPr>
            </w:pPr>
          </w:p>
        </w:tc>
      </w:tr>
      <w:tr>
        <w:trPr>
          <w:trHeight w:val="110"/>
        </w:trPr>
        <w:tc>
          <w:tcPr>
            <w:tcW w:w="2360" w:type="dxa"/>
            <w:vAlign w:val="bottom"/>
            <w:vMerge w:val="continue"/>
          </w:tcPr>
          <w:p>
            <w:pPr>
              <w:spacing w:after="0"/>
              <w:rPr>
                <w:sz w:val="9"/>
                <w:szCs w:val="9"/>
                <w:color w:val="auto"/>
              </w:rPr>
            </w:pPr>
          </w:p>
        </w:tc>
        <w:tc>
          <w:tcPr>
            <w:tcW w:w="2800" w:type="dxa"/>
            <w:vAlign w:val="bottom"/>
            <w:vMerge w:val="restart"/>
          </w:tcPr>
          <w:p>
            <w:pPr>
              <w:ind w:left="420"/>
              <w:spacing w:after="0"/>
              <w:rPr>
                <w:sz w:val="20"/>
                <w:szCs w:val="20"/>
                <w:color w:val="auto"/>
              </w:rPr>
            </w:pPr>
            <w:r>
              <w:rPr>
                <w:rFonts w:ascii="Arial" w:cs="Arial" w:eastAsia="Arial" w:hAnsi="Arial"/>
                <w:sz w:val="17"/>
                <w:szCs w:val="17"/>
                <w:color w:val="auto"/>
              </w:rPr>
              <w:t>Innovation</w:t>
            </w:r>
          </w:p>
        </w:tc>
        <w:tc>
          <w:tcPr>
            <w:tcW w:w="1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360" w:type="dxa"/>
            <w:vAlign w:val="bottom"/>
          </w:tcPr>
          <w:p>
            <w:pPr>
              <w:spacing w:after="0"/>
              <w:rPr>
                <w:sz w:val="8"/>
                <w:szCs w:val="8"/>
                <w:color w:val="auto"/>
              </w:rPr>
            </w:pPr>
          </w:p>
        </w:tc>
        <w:tc>
          <w:tcPr>
            <w:tcW w:w="2800" w:type="dxa"/>
            <w:vAlign w:val="bottom"/>
            <w:vMerge w:val="continue"/>
          </w:tcPr>
          <w:p>
            <w:pPr>
              <w:spacing w:after="0"/>
              <w:rPr>
                <w:sz w:val="8"/>
                <w:szCs w:val="8"/>
                <w:color w:val="auto"/>
              </w:rPr>
            </w:pPr>
          </w:p>
        </w:tc>
        <w:tc>
          <w:tcPr>
            <w:tcW w:w="1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360" w:type="dxa"/>
            <w:vAlign w:val="bottom"/>
          </w:tcPr>
          <w:p>
            <w:pPr>
              <w:spacing w:after="0"/>
              <w:rPr>
                <w:sz w:val="20"/>
                <w:szCs w:val="20"/>
                <w:color w:val="auto"/>
              </w:rPr>
            </w:pPr>
            <w:r>
              <w:rPr>
                <w:rFonts w:ascii="Arial" w:cs="Arial" w:eastAsia="Arial" w:hAnsi="Arial"/>
                <w:sz w:val="17"/>
                <w:szCs w:val="17"/>
                <w:color w:val="auto"/>
              </w:rPr>
              <w:t>Cybersecurity/Information</w:t>
            </w:r>
          </w:p>
        </w:tc>
        <w:tc>
          <w:tcPr>
            <w:tcW w:w="28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360" w:type="dxa"/>
            <w:vAlign w:val="bottom"/>
          </w:tcPr>
          <w:p>
            <w:pPr>
              <w:spacing w:after="0"/>
              <w:rPr>
                <w:sz w:val="20"/>
                <w:szCs w:val="20"/>
                <w:color w:val="auto"/>
              </w:rPr>
            </w:pPr>
            <w:r>
              <w:rPr>
                <w:rFonts w:ascii="Arial" w:cs="Arial" w:eastAsia="Arial" w:hAnsi="Arial"/>
                <w:sz w:val="17"/>
                <w:szCs w:val="17"/>
                <w:color w:val="auto"/>
              </w:rPr>
              <w:t>Technology</w:t>
            </w:r>
          </w:p>
        </w:tc>
        <w:tc>
          <w:tcPr>
            <w:tcW w:w="28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00" w:lineRule="exact"/>
        <w:rPr>
          <w:sz w:val="20"/>
          <w:szCs w:val="20"/>
          <w:color w:val="auto"/>
        </w:rPr>
      </w:pPr>
    </w:p>
    <w:p>
      <w:pPr>
        <w:sectPr>
          <w:pgSz w:w="11900" w:h="16838" w:orient="portrait"/>
          <w:cols w:equalWidth="0" w:num="2">
            <w:col w:w="2235" w:space="720"/>
            <w:col w:w="8285"/>
          </w:cols>
          <w:pgMar w:left="320" w:top="254" w:right="3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220" w:hanging="213"/>
        <w:spacing w:after="0"/>
        <w:tabs>
          <w:tab w:leader="none" w:pos="220" w:val="left"/>
        </w:tabs>
        <w:numPr>
          <w:ilvl w:val="0"/>
          <w:numId w:val="18"/>
        </w:numPr>
        <w:rPr>
          <w:rFonts w:ascii="Arial" w:cs="Arial" w:eastAsia="Arial" w:hAnsi="Arial"/>
          <w:sz w:val="14"/>
          <w:szCs w:val="14"/>
          <w:color w:val="9D9D9C"/>
        </w:rPr>
      </w:pPr>
      <w:r>
        <w:rPr>
          <w:rFonts w:ascii="Arial" w:cs="Arial" w:eastAsia="Arial" w:hAnsi="Arial"/>
          <w:sz w:val="14"/>
          <w:szCs w:val="14"/>
          <w:color w:val="9D9D9C"/>
        </w:rPr>
        <w:t>Outside public board committees are listed in the Proxy Summary on page 3.</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10</w:t>
      </w:r>
    </w:p>
    <w:p>
      <w:pPr>
        <w:sectPr>
          <w:pgSz w:w="11900" w:h="16838" w:orient="portrait"/>
          <w:cols w:equalWidth="0" w:num="1">
            <w:col w:w="11240"/>
          </w:cols>
          <w:pgMar w:left="320" w:top="254" w:right="339" w:bottom="1440" w:gutter="0" w:footer="0" w:header="0"/>
          <w:type w:val="continuous"/>
        </w:sectPr>
      </w:pPr>
    </w:p>
    <w:bookmarkStart w:id="16" w:name="page17"/>
    <w:bookmarkEnd w:id="16"/>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447040</wp:posOffset>
            </wp:positionV>
            <wp:extent cx="7141210" cy="32505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1210" cy="3250565"/>
                    </a:xfrm>
                    <a:prstGeom prst="rect">
                      <a:avLst/>
                    </a:prstGeom>
                    <a:noFill/>
                  </pic:spPr>
                </pic:pic>
              </a:graphicData>
            </a:graphic>
          </wp:anchor>
        </w:drawing>
      </w:r>
    </w:p>
    <w:p>
      <w:pPr>
        <w:sectPr>
          <w:pgSz w:w="11900" w:h="16838" w:orient="portrait"/>
          <w:cols w:equalWidth="0" w:num="1">
            <w:col w:w="11220"/>
          </w:cols>
          <w:pgMar w:left="320" w:top="25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003478"/>
          <w:shd w:val="clear" w:color="auto" w:fill="E5E7EF"/>
        </w:rPr>
        <w:t>Joseph F. Dunford, Jr.</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6"/>
          <w:szCs w:val="16"/>
          <w:color w:val="003478"/>
          <w:shd w:val="clear" w:color="auto" w:fill="E5E7EF"/>
        </w:rPr>
        <w:t xml:space="preserve">Age </w:t>
      </w:r>
      <w:r>
        <w:rPr>
          <w:rFonts w:ascii="Arial" w:cs="Arial" w:eastAsia="Arial" w:hAnsi="Arial"/>
          <w:sz w:val="16"/>
          <w:szCs w:val="16"/>
          <w:color w:val="003478"/>
        </w:rPr>
        <w:t>66</w:t>
      </w:r>
    </w:p>
    <w:p>
      <w:pPr>
        <w:spacing w:after="0" w:line="112" w:lineRule="exact"/>
        <w:rPr>
          <w:sz w:val="20"/>
          <w:szCs w:val="20"/>
          <w:color w:val="auto"/>
        </w:rPr>
      </w:pPr>
    </w:p>
    <w:p>
      <w:pPr>
        <w:ind w:left="220" w:right="515"/>
        <w:spacing w:after="0" w:line="258" w:lineRule="auto"/>
        <w:rPr>
          <w:sz w:val="20"/>
          <w:szCs w:val="20"/>
          <w:color w:val="auto"/>
        </w:rPr>
      </w:pPr>
      <w:r>
        <w:rPr>
          <w:rFonts w:ascii="Arial" w:cs="Arial" w:eastAsia="Arial" w:hAnsi="Arial"/>
          <w:sz w:val="16"/>
          <w:szCs w:val="16"/>
          <w:color w:val="003478"/>
          <w:shd w:val="clear" w:color="auto" w:fill="E5E7EF"/>
        </w:rPr>
        <w:t xml:space="preserve">Director since </w:t>
      </w:r>
      <w:r>
        <w:rPr>
          <w:rFonts w:ascii="Arial" w:cs="Arial" w:eastAsia="Arial" w:hAnsi="Arial"/>
          <w:sz w:val="16"/>
          <w:szCs w:val="16"/>
          <w:color w:val="002E6D"/>
        </w:rPr>
        <w:t>2020</w:t>
      </w:r>
      <w:r>
        <w:rPr>
          <w:rFonts w:ascii="Arial" w:cs="Arial" w:eastAsia="Arial" w:hAnsi="Arial"/>
          <w:sz w:val="16"/>
          <w:szCs w:val="16"/>
          <w:color w:val="003478"/>
          <w:shd w:val="clear" w:color="auto" w:fill="E5E7EF"/>
        </w:rPr>
        <w:t xml:space="preserve"> Independent Director</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Committees</w:t>
      </w:r>
    </w:p>
    <w:p>
      <w:pPr>
        <w:ind w:left="220" w:right="215"/>
        <w:spacing w:after="0" w:line="236" w:lineRule="auto"/>
        <w:rPr>
          <w:sz w:val="20"/>
          <w:szCs w:val="20"/>
          <w:color w:val="auto"/>
        </w:rPr>
      </w:pPr>
      <w:r>
        <w:rPr>
          <w:rFonts w:ascii="Arial" w:cs="Arial" w:eastAsia="Arial" w:hAnsi="Arial"/>
          <w:sz w:val="16"/>
          <w:szCs w:val="16"/>
          <w:color w:val="003478"/>
        </w:rPr>
        <w:t>Classified Business and Security; Nominating and Corporate Governance</w:t>
      </w:r>
    </w:p>
    <w:p>
      <w:pPr>
        <w:spacing w:after="0" w:line="89" w:lineRule="exact"/>
        <w:rPr>
          <w:sz w:val="20"/>
          <w:szCs w:val="20"/>
          <w:color w:val="auto"/>
        </w:rPr>
      </w:pPr>
    </w:p>
    <w:p>
      <w:pPr>
        <w:ind w:left="220" w:right="475"/>
        <w:spacing w:after="0"/>
        <w:rPr>
          <w:sz w:val="20"/>
          <w:szCs w:val="20"/>
          <w:color w:val="auto"/>
        </w:rPr>
      </w:pPr>
      <w:r>
        <w:rPr>
          <w:rFonts w:ascii="Arial" w:cs="Arial" w:eastAsia="Arial" w:hAnsi="Arial"/>
          <w:sz w:val="16"/>
          <w:szCs w:val="16"/>
          <w:color w:val="003478"/>
          <w:shd w:val="clear" w:color="auto" w:fill="E5E7EF"/>
        </w:rPr>
        <w:t xml:space="preserve">Other Current Boards </w:t>
      </w:r>
      <w:r>
        <w:rPr>
          <w:rFonts w:ascii="Arial" w:cs="Arial" w:eastAsia="Arial" w:hAnsi="Arial"/>
          <w:sz w:val="16"/>
          <w:szCs w:val="16"/>
          <w:color w:val="003478"/>
        </w:rPr>
        <w:t>Satellogic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
        <w:spacing w:after="0"/>
        <w:rPr>
          <w:sz w:val="20"/>
          <w:szCs w:val="20"/>
          <w:color w:val="auto"/>
        </w:rPr>
      </w:pPr>
      <w:r>
        <w:rPr>
          <w:rFonts w:ascii="Arial" w:cs="Arial" w:eastAsia="Arial" w:hAnsi="Arial"/>
          <w:sz w:val="16"/>
          <w:szCs w:val="16"/>
          <w:color w:val="003478"/>
        </w:rPr>
        <w:t>Biography</w:t>
      </w:r>
    </w:p>
    <w:p>
      <w:pPr>
        <w:spacing w:after="0" w:line="23" w:lineRule="exact"/>
        <w:rPr>
          <w:sz w:val="20"/>
          <w:szCs w:val="20"/>
          <w:color w:val="auto"/>
        </w:rPr>
      </w:pPr>
    </w:p>
    <w:p>
      <w:pPr>
        <w:ind w:left="5" w:right="140"/>
        <w:spacing w:after="0" w:line="249" w:lineRule="auto"/>
        <w:rPr>
          <w:sz w:val="20"/>
          <w:szCs w:val="20"/>
          <w:color w:val="auto"/>
        </w:rPr>
      </w:pPr>
      <w:r>
        <w:rPr>
          <w:rFonts w:ascii="Arial" w:cs="Arial" w:eastAsia="Arial" w:hAnsi="Arial"/>
          <w:sz w:val="17"/>
          <w:szCs w:val="17"/>
          <w:color w:val="auto"/>
        </w:rPr>
        <w:t>Retired U.S. Marine Corps General, Mr. Dunford has served as a senior managing director and partner of Liberty Strategic Capital and as a member of the firm’s investment committee since February 2022. Previously, he served as the 19th Chairman of the Joint Chiefs of Staff from 2015 until his retirement in September 2019. His previous assignments include serving as the 36th Commandant of the Marine Corps and the Commander of all U.S. and NATO Forces in Afghanistan. He is a Senior Fellow at the Belfer Center, Harvard University, and Chairman of the Board of the Semper Fi and America’s Fund.</w:t>
      </w:r>
    </w:p>
    <w:p>
      <w:pPr>
        <w:spacing w:after="0" w:line="104" w:lineRule="exact"/>
        <w:rPr>
          <w:sz w:val="20"/>
          <w:szCs w:val="20"/>
          <w:color w:val="auto"/>
        </w:rPr>
      </w:pPr>
    </w:p>
    <w:p>
      <w:pPr>
        <w:ind w:left="5"/>
        <w:spacing w:after="0"/>
        <w:rPr>
          <w:sz w:val="20"/>
          <w:szCs w:val="20"/>
          <w:color w:val="auto"/>
        </w:rPr>
      </w:pPr>
      <w:r>
        <w:rPr>
          <w:rFonts w:ascii="Arial" w:cs="Arial" w:eastAsia="Arial" w:hAnsi="Arial"/>
          <w:sz w:val="16"/>
          <w:szCs w:val="16"/>
          <w:color w:val="002E6D"/>
        </w:rPr>
        <w:t>Skills, Qualifications and Core Competencies</w:t>
      </w:r>
    </w:p>
    <w:p>
      <w:pPr>
        <w:ind w:left="185" w:right="580" w:hanging="185"/>
        <w:spacing w:after="0" w:line="255" w:lineRule="auto"/>
        <w:tabs>
          <w:tab w:leader="none" w:pos="146" w:val="left"/>
        </w:tabs>
        <w:numPr>
          <w:ilvl w:val="0"/>
          <w:numId w:val="19"/>
        </w:numPr>
        <w:rPr>
          <w:rFonts w:ascii="Arial" w:cs="Arial" w:eastAsia="Arial" w:hAnsi="Arial"/>
          <w:sz w:val="17"/>
          <w:szCs w:val="17"/>
          <w:color w:val="002E6D"/>
        </w:rPr>
      </w:pPr>
      <w:r>
        <w:rPr>
          <w:rFonts w:ascii="Arial" w:cs="Arial" w:eastAsia="Arial" w:hAnsi="Arial"/>
          <w:sz w:val="17"/>
          <w:szCs w:val="17"/>
          <w:color w:val="auto"/>
        </w:rPr>
        <w:t>Industry-specific expertise and knowledge of our core customer from his service in senior leadership positions with the military</w:t>
      </w:r>
    </w:p>
    <w:p>
      <w:pPr>
        <w:spacing w:after="0" w:line="1" w:lineRule="exact"/>
        <w:rPr>
          <w:rFonts w:ascii="Arial" w:cs="Arial" w:eastAsia="Arial" w:hAnsi="Arial"/>
          <w:sz w:val="17"/>
          <w:szCs w:val="17"/>
          <w:color w:val="002E6D"/>
        </w:rPr>
      </w:pPr>
    </w:p>
    <w:p>
      <w:pPr>
        <w:ind w:left="185" w:right="540" w:hanging="185"/>
        <w:spacing w:after="0" w:line="255" w:lineRule="auto"/>
        <w:tabs>
          <w:tab w:leader="none" w:pos="159" w:val="left"/>
        </w:tabs>
        <w:numPr>
          <w:ilvl w:val="0"/>
          <w:numId w:val="19"/>
        </w:numPr>
        <w:rPr>
          <w:rFonts w:ascii="Arial" w:cs="Arial" w:eastAsia="Arial" w:hAnsi="Arial"/>
          <w:sz w:val="17"/>
          <w:szCs w:val="17"/>
          <w:color w:val="002E6D"/>
        </w:rPr>
      </w:pPr>
      <w:r>
        <w:rPr>
          <w:rFonts w:ascii="Arial" w:cs="Arial" w:eastAsia="Arial" w:hAnsi="Arial"/>
          <w:sz w:val="17"/>
          <w:szCs w:val="17"/>
          <w:color w:val="auto"/>
        </w:rPr>
        <w:t>Experience with the demands and challenges associated with managing large organizations from his service as a Commander and Chairman of the Joint Chiefs of Staff</w:t>
      </w:r>
    </w:p>
    <w:p>
      <w:pPr>
        <w:spacing w:after="0" w:line="1" w:lineRule="exact"/>
        <w:rPr>
          <w:rFonts w:ascii="Arial" w:cs="Arial" w:eastAsia="Arial" w:hAnsi="Arial"/>
          <w:sz w:val="17"/>
          <w:szCs w:val="17"/>
          <w:color w:val="002E6D"/>
        </w:rPr>
      </w:pPr>
    </w:p>
    <w:p>
      <w:pPr>
        <w:ind w:left="165" w:hanging="165"/>
        <w:spacing w:after="0"/>
        <w:tabs>
          <w:tab w:leader="none" w:pos="165" w:val="left"/>
        </w:tabs>
        <w:numPr>
          <w:ilvl w:val="0"/>
          <w:numId w:val="19"/>
        </w:numPr>
        <w:rPr>
          <w:rFonts w:ascii="Arial" w:cs="Arial" w:eastAsia="Arial" w:hAnsi="Arial"/>
          <w:sz w:val="17"/>
          <w:szCs w:val="17"/>
          <w:color w:val="002E6D"/>
        </w:rPr>
      </w:pPr>
      <w:r>
        <w:rPr>
          <w:rFonts w:ascii="Arial" w:cs="Arial" w:eastAsia="Arial" w:hAnsi="Arial"/>
          <w:sz w:val="17"/>
          <w:szCs w:val="17"/>
          <w:color w:val="auto"/>
        </w:rPr>
        <w:t>Skilled in executive management, logistics, military procurement and cybersecurity threats</w:t>
      </w:r>
    </w:p>
    <w:p>
      <w:pPr>
        <w:spacing w:after="0" w:line="200" w:lineRule="exact"/>
        <w:rPr>
          <w:sz w:val="20"/>
          <w:szCs w:val="20"/>
          <w:color w:val="auto"/>
        </w:rPr>
      </w:pPr>
    </w:p>
    <w:p>
      <w:pPr>
        <w:spacing w:after="0" w:line="269" w:lineRule="exact"/>
        <w:rPr>
          <w:sz w:val="20"/>
          <w:szCs w:val="20"/>
          <w:color w:val="auto"/>
        </w:rPr>
      </w:pPr>
    </w:p>
    <w:tbl>
      <w:tblPr>
        <w:tblLayout w:type="fixed"/>
        <w:tblInd w:w="445" w:type="dxa"/>
        <w:tblCellMar>
          <w:top w:w="0" w:type="dxa"/>
          <w:left w:w="0" w:type="dxa"/>
          <w:bottom w:w="0" w:type="dxa"/>
          <w:right w:w="0" w:type="dxa"/>
        </w:tblCellMar>
      </w:tblPr>
      <w:tr>
        <w:trPr>
          <w:trHeight w:val="195"/>
        </w:trPr>
        <w:tc>
          <w:tcPr>
            <w:tcW w:w="2060" w:type="dxa"/>
            <w:vAlign w:val="bottom"/>
          </w:tcPr>
          <w:p>
            <w:pPr>
              <w:spacing w:after="0"/>
              <w:rPr>
                <w:sz w:val="20"/>
                <w:szCs w:val="20"/>
                <w:color w:val="auto"/>
              </w:rPr>
            </w:pPr>
            <w:r>
              <w:rPr>
                <w:rFonts w:ascii="Arial" w:cs="Arial" w:eastAsia="Arial" w:hAnsi="Arial"/>
                <w:sz w:val="17"/>
                <w:szCs w:val="17"/>
                <w:color w:val="auto"/>
              </w:rPr>
              <w:t>Human Capital</w:t>
            </w:r>
          </w:p>
        </w:tc>
        <w:tc>
          <w:tcPr>
            <w:tcW w:w="3060" w:type="dxa"/>
            <w:vAlign w:val="bottom"/>
          </w:tcPr>
          <w:p>
            <w:pPr>
              <w:ind w:left="700"/>
              <w:spacing w:after="0"/>
              <w:rPr>
                <w:sz w:val="20"/>
                <w:szCs w:val="20"/>
                <w:color w:val="auto"/>
              </w:rPr>
            </w:pPr>
            <w:r>
              <w:rPr>
                <w:rFonts w:ascii="Arial" w:cs="Arial" w:eastAsia="Arial" w:hAnsi="Arial"/>
                <w:sz w:val="17"/>
                <w:szCs w:val="17"/>
                <w:color w:val="auto"/>
              </w:rPr>
              <w:t>Government/Military</w:t>
            </w:r>
          </w:p>
        </w:tc>
        <w:tc>
          <w:tcPr>
            <w:tcW w:w="1800" w:type="dxa"/>
            <w:vAlign w:val="bottom"/>
            <w:vMerge w:val="restart"/>
          </w:tcPr>
          <w:p>
            <w:pPr>
              <w:ind w:left="420"/>
              <w:spacing w:after="0"/>
              <w:rPr>
                <w:sz w:val="20"/>
                <w:szCs w:val="20"/>
                <w:color w:val="auto"/>
              </w:rPr>
            </w:pPr>
            <w:r>
              <w:rPr>
                <w:rFonts w:ascii="Arial" w:cs="Arial" w:eastAsia="Arial" w:hAnsi="Arial"/>
                <w:sz w:val="17"/>
                <w:szCs w:val="17"/>
                <w:color w:val="auto"/>
                <w:w w:val="97"/>
              </w:rPr>
              <w:t>Global Experience</w:t>
            </w:r>
          </w:p>
        </w:tc>
        <w:tc>
          <w:tcPr>
            <w:tcW w:w="0" w:type="dxa"/>
            <w:vAlign w:val="bottom"/>
          </w:tcPr>
          <w:p>
            <w:pPr>
              <w:spacing w:after="0"/>
              <w:rPr>
                <w:sz w:val="1"/>
                <w:szCs w:val="1"/>
                <w:color w:val="auto"/>
              </w:rPr>
            </w:pPr>
          </w:p>
        </w:tc>
      </w:tr>
      <w:tr>
        <w:trPr>
          <w:trHeight w:val="123"/>
        </w:trPr>
        <w:tc>
          <w:tcPr>
            <w:tcW w:w="2060" w:type="dxa"/>
            <w:vAlign w:val="bottom"/>
            <w:vMerge w:val="restart"/>
          </w:tcPr>
          <w:p>
            <w:pPr>
              <w:spacing w:after="0"/>
              <w:rPr>
                <w:sz w:val="20"/>
                <w:szCs w:val="20"/>
                <w:color w:val="auto"/>
              </w:rPr>
            </w:pPr>
            <w:r>
              <w:rPr>
                <w:rFonts w:ascii="Arial" w:cs="Arial" w:eastAsia="Arial" w:hAnsi="Arial"/>
                <w:sz w:val="17"/>
                <w:szCs w:val="17"/>
                <w:color w:val="auto"/>
              </w:rPr>
              <w:t>Management</w:t>
            </w:r>
          </w:p>
        </w:tc>
        <w:tc>
          <w:tcPr>
            <w:tcW w:w="3060" w:type="dxa"/>
            <w:vAlign w:val="bottom"/>
            <w:vMerge w:val="restart"/>
          </w:tcPr>
          <w:p>
            <w:pPr>
              <w:ind w:left="700"/>
              <w:spacing w:after="0"/>
              <w:rPr>
                <w:sz w:val="20"/>
                <w:szCs w:val="20"/>
                <w:color w:val="auto"/>
              </w:rPr>
            </w:pPr>
            <w:r>
              <w:rPr>
                <w:rFonts w:ascii="Arial" w:cs="Arial" w:eastAsia="Arial" w:hAnsi="Arial"/>
                <w:sz w:val="17"/>
                <w:szCs w:val="17"/>
                <w:color w:val="auto"/>
              </w:rPr>
              <w:t>Experience</w:t>
            </w:r>
          </w:p>
        </w:tc>
        <w:tc>
          <w:tcPr>
            <w:tcW w:w="1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60" w:type="dxa"/>
            <w:vAlign w:val="bottom"/>
            <w:vMerge w:val="continue"/>
          </w:tcPr>
          <w:p>
            <w:pPr>
              <w:spacing w:after="0"/>
              <w:rPr>
                <w:sz w:val="7"/>
                <w:szCs w:val="7"/>
                <w:color w:val="auto"/>
              </w:rPr>
            </w:pPr>
          </w:p>
        </w:tc>
        <w:tc>
          <w:tcPr>
            <w:tcW w:w="306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0"/>
        </w:trPr>
        <w:tc>
          <w:tcPr>
            <w:tcW w:w="2060" w:type="dxa"/>
            <w:vAlign w:val="bottom"/>
            <w:vMerge w:val="restart"/>
          </w:tcPr>
          <w:p>
            <w:pPr>
              <w:spacing w:after="0"/>
              <w:rPr>
                <w:sz w:val="20"/>
                <w:szCs w:val="20"/>
                <w:color w:val="auto"/>
              </w:rPr>
            </w:pPr>
            <w:r>
              <w:rPr>
                <w:rFonts w:ascii="Arial" w:cs="Arial" w:eastAsia="Arial" w:hAnsi="Arial"/>
                <w:sz w:val="17"/>
                <w:szCs w:val="17"/>
                <w:color w:val="auto"/>
              </w:rPr>
              <w:t>Risk Management</w:t>
            </w:r>
          </w:p>
        </w:tc>
        <w:tc>
          <w:tcPr>
            <w:tcW w:w="3060" w:type="dxa"/>
            <w:vAlign w:val="bottom"/>
          </w:tcPr>
          <w:p>
            <w:pPr>
              <w:ind w:left="700"/>
              <w:spacing w:after="0"/>
              <w:rPr>
                <w:sz w:val="20"/>
                <w:szCs w:val="20"/>
                <w:color w:val="auto"/>
              </w:rPr>
            </w:pPr>
            <w:r>
              <w:rPr>
                <w:rFonts w:ascii="Arial" w:cs="Arial" w:eastAsia="Arial" w:hAnsi="Arial"/>
                <w:sz w:val="17"/>
                <w:szCs w:val="17"/>
                <w:color w:val="auto"/>
              </w:rPr>
              <w:t>Cybersecurity/Information</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60" w:type="dxa"/>
            <w:vAlign w:val="bottom"/>
            <w:vMerge w:val="continue"/>
          </w:tcPr>
          <w:p>
            <w:pPr>
              <w:spacing w:after="0"/>
              <w:rPr>
                <w:sz w:val="10"/>
                <w:szCs w:val="10"/>
                <w:color w:val="auto"/>
              </w:rPr>
            </w:pPr>
          </w:p>
        </w:tc>
        <w:tc>
          <w:tcPr>
            <w:tcW w:w="3060" w:type="dxa"/>
            <w:vAlign w:val="bottom"/>
            <w:vMerge w:val="restart"/>
          </w:tcPr>
          <w:p>
            <w:pPr>
              <w:ind w:left="700"/>
              <w:spacing w:after="0"/>
              <w:rPr>
                <w:sz w:val="20"/>
                <w:szCs w:val="20"/>
                <w:color w:val="auto"/>
              </w:rPr>
            </w:pPr>
            <w:r>
              <w:rPr>
                <w:rFonts w:ascii="Arial" w:cs="Arial" w:eastAsia="Arial" w:hAnsi="Arial"/>
                <w:sz w:val="17"/>
                <w:szCs w:val="17"/>
                <w:color w:val="auto"/>
              </w:rPr>
              <w:t>Technology</w:t>
            </w: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060" w:type="dxa"/>
            <w:vAlign w:val="bottom"/>
          </w:tcPr>
          <w:p>
            <w:pPr>
              <w:spacing w:after="0"/>
              <w:rPr>
                <w:sz w:val="7"/>
                <w:szCs w:val="7"/>
                <w:color w:val="auto"/>
              </w:rPr>
            </w:pPr>
          </w:p>
        </w:tc>
        <w:tc>
          <w:tcPr>
            <w:tcW w:w="306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-1870710</wp:posOffset>
            </wp:positionH>
            <wp:positionV relativeFrom="paragraph">
              <wp:posOffset>718820</wp:posOffset>
            </wp:positionV>
            <wp:extent cx="7141210" cy="34467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1210" cy="3446780"/>
                    </a:xfrm>
                    <a:prstGeom prst="rect">
                      <a:avLst/>
                    </a:prstGeom>
                    <a:noFill/>
                  </pic:spPr>
                </pic:pic>
              </a:graphicData>
            </a:graphic>
          </wp:anchor>
        </w:drawing>
      </w:r>
    </w:p>
    <w:p>
      <w:pPr>
        <w:spacing w:after="0" w:line="452" w:lineRule="exact"/>
        <w:rPr>
          <w:sz w:val="20"/>
          <w:szCs w:val="20"/>
          <w:color w:val="auto"/>
        </w:rPr>
      </w:pPr>
    </w:p>
    <w:p>
      <w:pPr>
        <w:sectPr>
          <w:pgSz w:w="11900" w:h="16838" w:orient="portrait"/>
          <w:cols w:equalWidth="0" w:num="2">
            <w:col w:w="2235" w:space="720"/>
            <w:col w:w="8265"/>
          </w:cols>
          <w:pgMar w:left="320" w:top="25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spacing w:after="0"/>
        <w:rPr>
          <w:sz w:val="20"/>
          <w:szCs w:val="20"/>
          <w:color w:val="auto"/>
        </w:rPr>
      </w:pPr>
      <w:r>
        <w:rPr>
          <w:rFonts w:ascii="Arial" w:cs="Arial" w:eastAsia="Arial" w:hAnsi="Arial"/>
          <w:sz w:val="18"/>
          <w:szCs w:val="18"/>
          <w:color w:val="003478"/>
          <w:shd w:val="clear" w:color="auto" w:fill="E5E7EF"/>
        </w:rPr>
        <w:t>James O. Ellis, Jr.</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6"/>
          <w:szCs w:val="16"/>
          <w:color w:val="003478"/>
          <w:shd w:val="clear" w:color="auto" w:fill="E5E7EF"/>
        </w:rPr>
        <w:t xml:space="preserve">Age </w:t>
      </w:r>
      <w:r>
        <w:rPr>
          <w:rFonts w:ascii="Arial" w:cs="Arial" w:eastAsia="Arial" w:hAnsi="Arial"/>
          <w:sz w:val="16"/>
          <w:szCs w:val="16"/>
          <w:color w:val="003478"/>
        </w:rPr>
        <w:t>74</w:t>
      </w:r>
    </w:p>
    <w:p>
      <w:pPr>
        <w:spacing w:after="0" w:line="112" w:lineRule="exact"/>
        <w:rPr>
          <w:sz w:val="20"/>
          <w:szCs w:val="20"/>
          <w:color w:val="auto"/>
        </w:rPr>
      </w:pPr>
    </w:p>
    <w:p>
      <w:pPr>
        <w:ind w:left="220" w:right="680"/>
        <w:spacing w:after="0" w:line="258" w:lineRule="auto"/>
        <w:rPr>
          <w:sz w:val="20"/>
          <w:szCs w:val="20"/>
          <w:color w:val="auto"/>
        </w:rPr>
      </w:pPr>
      <w:r>
        <w:rPr>
          <w:rFonts w:ascii="Arial" w:cs="Arial" w:eastAsia="Arial" w:hAnsi="Arial"/>
          <w:sz w:val="16"/>
          <w:szCs w:val="16"/>
          <w:color w:val="003478"/>
          <w:shd w:val="clear" w:color="auto" w:fill="E5E7EF"/>
        </w:rPr>
        <w:t xml:space="preserve">Director since </w:t>
      </w:r>
      <w:r>
        <w:rPr>
          <w:rFonts w:ascii="Arial" w:cs="Arial" w:eastAsia="Arial" w:hAnsi="Arial"/>
          <w:sz w:val="16"/>
          <w:szCs w:val="16"/>
          <w:color w:val="002E6D"/>
        </w:rPr>
        <w:t>2004</w:t>
      </w:r>
      <w:r>
        <w:rPr>
          <w:rFonts w:ascii="Arial" w:cs="Arial" w:eastAsia="Arial" w:hAnsi="Arial"/>
          <w:sz w:val="16"/>
          <w:szCs w:val="16"/>
          <w:color w:val="003478"/>
          <w:shd w:val="clear" w:color="auto" w:fill="E5E7EF"/>
        </w:rPr>
        <w:t xml:space="preserve"> Independent Director</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Committees</w:t>
      </w:r>
    </w:p>
    <w:p>
      <w:pPr>
        <w:ind w:left="220"/>
        <w:spacing w:after="0"/>
        <w:rPr>
          <w:sz w:val="20"/>
          <w:szCs w:val="20"/>
          <w:color w:val="auto"/>
        </w:rPr>
      </w:pPr>
      <w:r>
        <w:rPr>
          <w:rFonts w:ascii="Arial" w:cs="Arial" w:eastAsia="Arial" w:hAnsi="Arial"/>
          <w:sz w:val="16"/>
          <w:szCs w:val="16"/>
          <w:color w:val="003478"/>
        </w:rPr>
        <w:t>Audit; Classified Business and Security, Chair</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6"/>
          <w:szCs w:val="16"/>
          <w:color w:val="003478"/>
          <w:shd w:val="clear" w:color="auto" w:fill="E5E7EF"/>
        </w:rPr>
        <w:t>Other Current Boards*</w:t>
      </w:r>
    </w:p>
    <w:p>
      <w:pPr>
        <w:ind w:left="220"/>
        <w:spacing w:after="0"/>
        <w:rPr>
          <w:sz w:val="20"/>
          <w:szCs w:val="20"/>
          <w:color w:val="auto"/>
        </w:rPr>
      </w:pPr>
      <w:r>
        <w:rPr>
          <w:rFonts w:ascii="Arial" w:cs="Arial" w:eastAsia="Arial" w:hAnsi="Arial"/>
          <w:sz w:val="16"/>
          <w:szCs w:val="16"/>
          <w:color w:val="003478"/>
        </w:rPr>
        <w:t>Dominion Energy,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
        <w:spacing w:after="0"/>
        <w:rPr>
          <w:sz w:val="20"/>
          <w:szCs w:val="20"/>
          <w:color w:val="auto"/>
        </w:rPr>
      </w:pPr>
      <w:r>
        <w:rPr>
          <w:rFonts w:ascii="Arial" w:cs="Arial" w:eastAsia="Arial" w:hAnsi="Arial"/>
          <w:sz w:val="16"/>
          <w:szCs w:val="16"/>
          <w:color w:val="003478"/>
        </w:rPr>
        <w:t>Biography</w:t>
      </w:r>
    </w:p>
    <w:p>
      <w:pPr>
        <w:spacing w:after="0" w:line="10" w:lineRule="exact"/>
        <w:rPr>
          <w:sz w:val="20"/>
          <w:szCs w:val="20"/>
          <w:color w:val="auto"/>
        </w:rPr>
      </w:pPr>
    </w:p>
    <w:p>
      <w:pPr>
        <w:ind w:left="5"/>
        <w:spacing w:after="0" w:line="249" w:lineRule="auto"/>
        <w:rPr>
          <w:sz w:val="20"/>
          <w:szCs w:val="20"/>
          <w:color w:val="auto"/>
        </w:rPr>
      </w:pPr>
      <w:r>
        <w:rPr>
          <w:rFonts w:ascii="Arial" w:cs="Arial" w:eastAsia="Arial" w:hAnsi="Arial"/>
          <w:sz w:val="17"/>
          <w:szCs w:val="17"/>
          <w:color w:val="auto"/>
        </w:rPr>
        <w:t>Retired U.S. Navy Admiral, Mr. Ellis has served as an Annenberg Distinguished Fellow at the Hoover Institution at Stanford University since 2014. Previously, he served as President and Chief Executive Officer of the Institute of Nuclear Power Operations from May 2005 until his retirement in May 2012. Mr. Ellis retired from active duty in July 2004 after serving as Admiral and Commander, United States Strategic Command, Offutt Air Force Base, Nebraska. He formerly served as a director of Level 3 Communications, Inc. from March 2005 to November 2017.</w:t>
      </w:r>
    </w:p>
    <w:p>
      <w:pPr>
        <w:spacing w:after="0" w:line="108" w:lineRule="exact"/>
        <w:rPr>
          <w:sz w:val="20"/>
          <w:szCs w:val="20"/>
          <w:color w:val="auto"/>
        </w:rPr>
      </w:pPr>
    </w:p>
    <w:p>
      <w:pPr>
        <w:ind w:left="5"/>
        <w:spacing w:after="0"/>
        <w:rPr>
          <w:sz w:val="20"/>
          <w:szCs w:val="20"/>
          <w:color w:val="auto"/>
        </w:rPr>
      </w:pPr>
      <w:r>
        <w:rPr>
          <w:rFonts w:ascii="Arial" w:cs="Arial" w:eastAsia="Arial" w:hAnsi="Arial"/>
          <w:sz w:val="16"/>
          <w:szCs w:val="16"/>
          <w:color w:val="002E6D"/>
        </w:rPr>
        <w:t>Skills, Qualifications and Core Competencies</w:t>
      </w:r>
    </w:p>
    <w:p>
      <w:pPr>
        <w:spacing w:after="0" w:line="23" w:lineRule="exact"/>
        <w:rPr>
          <w:sz w:val="20"/>
          <w:szCs w:val="20"/>
          <w:color w:val="auto"/>
        </w:rPr>
      </w:pPr>
    </w:p>
    <w:p>
      <w:pPr>
        <w:ind w:left="185" w:right="500" w:hanging="185"/>
        <w:spacing w:after="0" w:line="255" w:lineRule="auto"/>
        <w:tabs>
          <w:tab w:leader="none" w:pos="146" w:val="left"/>
        </w:tabs>
        <w:numPr>
          <w:ilvl w:val="0"/>
          <w:numId w:val="20"/>
        </w:numPr>
        <w:rPr>
          <w:rFonts w:ascii="Arial" w:cs="Arial" w:eastAsia="Arial" w:hAnsi="Arial"/>
          <w:sz w:val="17"/>
          <w:szCs w:val="17"/>
          <w:color w:val="002E6D"/>
        </w:rPr>
      </w:pPr>
      <w:r>
        <w:rPr>
          <w:rFonts w:ascii="Arial" w:cs="Arial" w:eastAsia="Arial" w:hAnsi="Arial"/>
          <w:sz w:val="17"/>
          <w:szCs w:val="17"/>
          <w:color w:val="auto"/>
        </w:rPr>
        <w:t>Industry-specific expertise and knowledge of our core customers from his service in senior leadership positions with the military and the private sector</w:t>
      </w:r>
    </w:p>
    <w:p>
      <w:pPr>
        <w:spacing w:after="0" w:line="1" w:lineRule="exact"/>
        <w:rPr>
          <w:rFonts w:ascii="Arial" w:cs="Arial" w:eastAsia="Arial" w:hAnsi="Arial"/>
          <w:sz w:val="17"/>
          <w:szCs w:val="17"/>
          <w:color w:val="002E6D"/>
        </w:rPr>
      </w:pPr>
    </w:p>
    <w:p>
      <w:pPr>
        <w:ind w:left="165" w:hanging="165"/>
        <w:spacing w:after="0"/>
        <w:tabs>
          <w:tab w:leader="none" w:pos="165" w:val="left"/>
        </w:tabs>
        <w:numPr>
          <w:ilvl w:val="0"/>
          <w:numId w:val="20"/>
        </w:numPr>
        <w:rPr>
          <w:rFonts w:ascii="Arial" w:cs="Arial" w:eastAsia="Arial" w:hAnsi="Arial"/>
          <w:sz w:val="17"/>
          <w:szCs w:val="17"/>
          <w:color w:val="002E6D"/>
        </w:rPr>
      </w:pPr>
      <w:r>
        <w:rPr>
          <w:rFonts w:ascii="Arial" w:cs="Arial" w:eastAsia="Arial" w:hAnsi="Arial"/>
          <w:sz w:val="17"/>
          <w:szCs w:val="17"/>
          <w:color w:val="auto"/>
        </w:rPr>
        <w:t>Expertise in aeronautical and aerospace engineering, information technology and emerging energy issues</w:t>
      </w:r>
    </w:p>
    <w:p>
      <w:pPr>
        <w:spacing w:after="0" w:line="19" w:lineRule="exact"/>
        <w:rPr>
          <w:rFonts w:ascii="Arial" w:cs="Arial" w:eastAsia="Arial" w:hAnsi="Arial"/>
          <w:sz w:val="17"/>
          <w:szCs w:val="17"/>
          <w:color w:val="002E6D"/>
        </w:rPr>
      </w:pPr>
    </w:p>
    <w:p>
      <w:pPr>
        <w:ind w:left="165" w:hanging="165"/>
        <w:spacing w:after="0"/>
        <w:tabs>
          <w:tab w:leader="none" w:pos="165" w:val="left"/>
        </w:tabs>
        <w:numPr>
          <w:ilvl w:val="0"/>
          <w:numId w:val="20"/>
        </w:numPr>
        <w:rPr>
          <w:rFonts w:ascii="Arial" w:cs="Arial" w:eastAsia="Arial" w:hAnsi="Arial"/>
          <w:sz w:val="17"/>
          <w:szCs w:val="17"/>
          <w:color w:val="002E6D"/>
        </w:rPr>
      </w:pPr>
      <w:r>
        <w:rPr>
          <w:rFonts w:ascii="Arial" w:cs="Arial" w:eastAsia="Arial" w:hAnsi="Arial"/>
          <w:sz w:val="17"/>
          <w:szCs w:val="17"/>
          <w:color w:val="auto"/>
        </w:rPr>
        <w:t>Skilled in enterprise risk management</w:t>
      </w:r>
    </w:p>
    <w:p>
      <w:pPr>
        <w:spacing w:after="0" w:line="32" w:lineRule="exact"/>
        <w:rPr>
          <w:rFonts w:ascii="Arial" w:cs="Arial" w:eastAsia="Arial" w:hAnsi="Arial"/>
          <w:sz w:val="17"/>
          <w:szCs w:val="17"/>
          <w:color w:val="002E6D"/>
        </w:rPr>
      </w:pPr>
    </w:p>
    <w:p>
      <w:pPr>
        <w:ind w:left="185" w:right="140" w:hanging="185"/>
        <w:spacing w:after="0" w:line="257" w:lineRule="auto"/>
        <w:tabs>
          <w:tab w:leader="none" w:pos="159" w:val="left"/>
        </w:tabs>
        <w:numPr>
          <w:ilvl w:val="0"/>
          <w:numId w:val="20"/>
        </w:numPr>
        <w:rPr>
          <w:rFonts w:ascii="Arial" w:cs="Arial" w:eastAsia="Arial" w:hAnsi="Arial"/>
          <w:sz w:val="17"/>
          <w:szCs w:val="17"/>
          <w:color w:val="002E6D"/>
        </w:rPr>
      </w:pPr>
      <w:r>
        <w:rPr>
          <w:rFonts w:ascii="Arial" w:cs="Arial" w:eastAsia="Arial" w:hAnsi="Arial"/>
          <w:sz w:val="17"/>
          <w:szCs w:val="17"/>
          <w:color w:val="auto"/>
        </w:rPr>
        <w:t>Over 40 years’ experience in managing and leading large and complex technology-focused organizations, in large part as a result of serving for 35 years as an active-duty member of the United States Navy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445" w:type="dxa"/>
        <w:tblCellMar>
          <w:top w:w="0" w:type="dxa"/>
          <w:left w:w="0" w:type="dxa"/>
          <w:bottom w:w="0" w:type="dxa"/>
          <w:right w:w="0" w:type="dxa"/>
        </w:tblCellMar>
      </w:tblPr>
      <w:tr>
        <w:trPr>
          <w:trHeight w:val="195"/>
        </w:trPr>
        <w:tc>
          <w:tcPr>
            <w:tcW w:w="2380" w:type="dxa"/>
            <w:vAlign w:val="bottom"/>
          </w:tcPr>
          <w:p>
            <w:pPr>
              <w:spacing w:after="0"/>
              <w:rPr>
                <w:sz w:val="20"/>
                <w:szCs w:val="20"/>
                <w:color w:val="auto"/>
              </w:rPr>
            </w:pPr>
            <w:r>
              <w:rPr>
                <w:rFonts w:ascii="Arial" w:cs="Arial" w:eastAsia="Arial" w:hAnsi="Arial"/>
                <w:sz w:val="17"/>
                <w:szCs w:val="17"/>
                <w:color w:val="auto"/>
              </w:rPr>
              <w:t>Human Capital</w:t>
            </w:r>
          </w:p>
        </w:tc>
        <w:tc>
          <w:tcPr>
            <w:tcW w:w="2500" w:type="dxa"/>
            <w:vAlign w:val="bottom"/>
          </w:tcPr>
          <w:p>
            <w:pPr>
              <w:ind w:left="360"/>
              <w:spacing w:after="0"/>
              <w:rPr>
                <w:sz w:val="20"/>
                <w:szCs w:val="20"/>
                <w:color w:val="auto"/>
              </w:rPr>
            </w:pPr>
            <w:r>
              <w:rPr>
                <w:rFonts w:ascii="Arial" w:cs="Arial" w:eastAsia="Arial" w:hAnsi="Arial"/>
                <w:sz w:val="17"/>
                <w:szCs w:val="17"/>
                <w:color w:val="auto"/>
              </w:rPr>
              <w:t>Government/Military</w:t>
            </w:r>
          </w:p>
        </w:tc>
        <w:tc>
          <w:tcPr>
            <w:tcW w:w="2560" w:type="dxa"/>
            <w:vAlign w:val="bottom"/>
            <w:vMerge w:val="restart"/>
          </w:tcPr>
          <w:p>
            <w:pPr>
              <w:ind w:left="620"/>
              <w:spacing w:after="0"/>
              <w:rPr>
                <w:sz w:val="20"/>
                <w:szCs w:val="20"/>
                <w:color w:val="auto"/>
              </w:rPr>
            </w:pPr>
            <w:r>
              <w:rPr>
                <w:rFonts w:ascii="Arial" w:cs="Arial" w:eastAsia="Arial" w:hAnsi="Arial"/>
                <w:sz w:val="17"/>
                <w:szCs w:val="17"/>
                <w:color w:val="auto"/>
              </w:rPr>
              <w:t>Global Experience</w:t>
            </w:r>
          </w:p>
        </w:tc>
        <w:tc>
          <w:tcPr>
            <w:tcW w:w="0" w:type="dxa"/>
            <w:vAlign w:val="bottom"/>
          </w:tcPr>
          <w:p>
            <w:pPr>
              <w:spacing w:after="0"/>
              <w:rPr>
                <w:sz w:val="1"/>
                <w:szCs w:val="1"/>
                <w:color w:val="auto"/>
              </w:rPr>
            </w:pPr>
          </w:p>
        </w:tc>
      </w:tr>
      <w:tr>
        <w:trPr>
          <w:trHeight w:val="123"/>
        </w:trPr>
        <w:tc>
          <w:tcPr>
            <w:tcW w:w="2380" w:type="dxa"/>
            <w:vAlign w:val="bottom"/>
            <w:vMerge w:val="restart"/>
          </w:tcPr>
          <w:p>
            <w:pPr>
              <w:spacing w:after="0"/>
              <w:rPr>
                <w:sz w:val="20"/>
                <w:szCs w:val="20"/>
                <w:color w:val="auto"/>
              </w:rPr>
            </w:pPr>
            <w:r>
              <w:rPr>
                <w:rFonts w:ascii="Arial" w:cs="Arial" w:eastAsia="Arial" w:hAnsi="Arial"/>
                <w:sz w:val="17"/>
                <w:szCs w:val="17"/>
                <w:color w:val="auto"/>
              </w:rPr>
              <w:t>Management</w:t>
            </w:r>
          </w:p>
        </w:tc>
        <w:tc>
          <w:tcPr>
            <w:tcW w:w="2500" w:type="dxa"/>
            <w:vAlign w:val="bottom"/>
            <w:vMerge w:val="restart"/>
          </w:tcPr>
          <w:p>
            <w:pPr>
              <w:ind w:left="360"/>
              <w:spacing w:after="0"/>
              <w:rPr>
                <w:sz w:val="20"/>
                <w:szCs w:val="20"/>
                <w:color w:val="auto"/>
              </w:rPr>
            </w:pPr>
            <w:r>
              <w:rPr>
                <w:rFonts w:ascii="Arial" w:cs="Arial" w:eastAsia="Arial" w:hAnsi="Arial"/>
                <w:sz w:val="17"/>
                <w:szCs w:val="17"/>
                <w:color w:val="auto"/>
              </w:rPr>
              <w:t>Experience</w:t>
            </w:r>
          </w:p>
        </w:tc>
        <w:tc>
          <w:tcPr>
            <w:tcW w:w="2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380" w:type="dxa"/>
            <w:vAlign w:val="bottom"/>
            <w:vMerge w:val="continue"/>
          </w:tcPr>
          <w:p>
            <w:pPr>
              <w:spacing w:after="0"/>
              <w:rPr>
                <w:sz w:val="7"/>
                <w:szCs w:val="7"/>
                <w:color w:val="auto"/>
              </w:rPr>
            </w:pPr>
          </w:p>
        </w:tc>
        <w:tc>
          <w:tcPr>
            <w:tcW w:w="2500" w:type="dxa"/>
            <w:vAlign w:val="bottom"/>
            <w:vMerge w:val="continue"/>
          </w:tcPr>
          <w:p>
            <w:pPr>
              <w:spacing w:after="0"/>
              <w:rPr>
                <w:sz w:val="7"/>
                <w:szCs w:val="7"/>
                <w:color w:val="auto"/>
              </w:rPr>
            </w:pPr>
          </w:p>
        </w:tc>
        <w:tc>
          <w:tcPr>
            <w:tcW w:w="2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0"/>
        </w:trPr>
        <w:tc>
          <w:tcPr>
            <w:tcW w:w="2380" w:type="dxa"/>
            <w:vAlign w:val="bottom"/>
          </w:tcPr>
          <w:p>
            <w:pPr>
              <w:spacing w:after="0"/>
              <w:rPr>
                <w:sz w:val="20"/>
                <w:szCs w:val="20"/>
                <w:color w:val="auto"/>
              </w:rPr>
            </w:pPr>
            <w:r>
              <w:rPr>
                <w:rFonts w:ascii="Arial" w:cs="Arial" w:eastAsia="Arial" w:hAnsi="Arial"/>
                <w:sz w:val="17"/>
                <w:szCs w:val="17"/>
                <w:color w:val="auto"/>
              </w:rPr>
              <w:t>Engineering, Technology &amp;</w:t>
            </w:r>
          </w:p>
        </w:tc>
        <w:tc>
          <w:tcPr>
            <w:tcW w:w="2500" w:type="dxa"/>
            <w:vAlign w:val="bottom"/>
            <w:vMerge w:val="restart"/>
          </w:tcPr>
          <w:p>
            <w:pPr>
              <w:ind w:left="360"/>
              <w:spacing w:after="0"/>
              <w:rPr>
                <w:sz w:val="20"/>
                <w:szCs w:val="20"/>
                <w:color w:val="auto"/>
              </w:rPr>
            </w:pPr>
            <w:r>
              <w:rPr>
                <w:rFonts w:ascii="Arial" w:cs="Arial" w:eastAsia="Arial" w:hAnsi="Arial"/>
                <w:sz w:val="17"/>
                <w:szCs w:val="17"/>
                <w:color w:val="auto"/>
              </w:rPr>
              <w:t>Risk Management</w:t>
            </w:r>
          </w:p>
        </w:tc>
        <w:tc>
          <w:tcPr>
            <w:tcW w:w="2560" w:type="dxa"/>
            <w:vAlign w:val="bottom"/>
          </w:tcPr>
          <w:p>
            <w:pPr>
              <w:ind w:left="620"/>
              <w:spacing w:after="0"/>
              <w:rPr>
                <w:sz w:val="20"/>
                <w:szCs w:val="20"/>
                <w:color w:val="auto"/>
              </w:rPr>
            </w:pPr>
            <w:r>
              <w:rPr>
                <w:rFonts w:ascii="Arial" w:cs="Arial" w:eastAsia="Arial" w:hAnsi="Arial"/>
                <w:sz w:val="17"/>
                <w:szCs w:val="17"/>
                <w:color w:val="auto"/>
                <w:w w:val="99"/>
              </w:rPr>
              <w:t>Cybersecurity/Information</w:t>
            </w:r>
          </w:p>
        </w:tc>
        <w:tc>
          <w:tcPr>
            <w:tcW w:w="0" w:type="dxa"/>
            <w:vAlign w:val="bottom"/>
          </w:tcPr>
          <w:p>
            <w:pPr>
              <w:spacing w:after="0"/>
              <w:rPr>
                <w:sz w:val="1"/>
                <w:szCs w:val="1"/>
                <w:color w:val="auto"/>
              </w:rPr>
            </w:pPr>
          </w:p>
        </w:tc>
      </w:tr>
      <w:tr>
        <w:trPr>
          <w:trHeight w:val="123"/>
        </w:trPr>
        <w:tc>
          <w:tcPr>
            <w:tcW w:w="2380" w:type="dxa"/>
            <w:vAlign w:val="bottom"/>
            <w:vMerge w:val="restart"/>
          </w:tcPr>
          <w:p>
            <w:pPr>
              <w:spacing w:after="0"/>
              <w:rPr>
                <w:sz w:val="20"/>
                <w:szCs w:val="20"/>
                <w:color w:val="auto"/>
              </w:rPr>
            </w:pPr>
            <w:r>
              <w:rPr>
                <w:rFonts w:ascii="Arial" w:cs="Arial" w:eastAsia="Arial" w:hAnsi="Arial"/>
                <w:sz w:val="17"/>
                <w:szCs w:val="17"/>
                <w:color w:val="auto"/>
              </w:rPr>
              <w:t>Innovation</w:t>
            </w:r>
          </w:p>
        </w:tc>
        <w:tc>
          <w:tcPr>
            <w:tcW w:w="2500" w:type="dxa"/>
            <w:vAlign w:val="bottom"/>
            <w:vMerge w:val="continue"/>
          </w:tcPr>
          <w:p>
            <w:pPr>
              <w:spacing w:after="0"/>
              <w:rPr>
                <w:sz w:val="10"/>
                <w:szCs w:val="10"/>
                <w:color w:val="auto"/>
              </w:rPr>
            </w:pPr>
          </w:p>
        </w:tc>
        <w:tc>
          <w:tcPr>
            <w:tcW w:w="2560" w:type="dxa"/>
            <w:vAlign w:val="bottom"/>
            <w:vMerge w:val="restart"/>
          </w:tcPr>
          <w:p>
            <w:pPr>
              <w:ind w:left="620"/>
              <w:spacing w:after="0"/>
              <w:rPr>
                <w:sz w:val="20"/>
                <w:szCs w:val="20"/>
                <w:color w:val="auto"/>
              </w:rPr>
            </w:pPr>
            <w:r>
              <w:rPr>
                <w:rFonts w:ascii="Arial" w:cs="Arial" w:eastAsia="Arial" w:hAnsi="Arial"/>
                <w:sz w:val="17"/>
                <w:szCs w:val="17"/>
                <w:color w:val="auto"/>
              </w:rPr>
              <w:t>Technology</w:t>
            </w:r>
          </w:p>
        </w:tc>
        <w:tc>
          <w:tcPr>
            <w:tcW w:w="0" w:type="dxa"/>
            <w:vAlign w:val="bottom"/>
          </w:tcPr>
          <w:p>
            <w:pPr>
              <w:spacing w:after="0"/>
              <w:rPr>
                <w:sz w:val="1"/>
                <w:szCs w:val="1"/>
                <w:color w:val="auto"/>
              </w:rPr>
            </w:pPr>
          </w:p>
        </w:tc>
      </w:tr>
      <w:tr>
        <w:trPr>
          <w:trHeight w:val="81"/>
        </w:trPr>
        <w:tc>
          <w:tcPr>
            <w:tcW w:w="2380" w:type="dxa"/>
            <w:vAlign w:val="bottom"/>
            <w:vMerge w:val="continue"/>
          </w:tcPr>
          <w:p>
            <w:pPr>
              <w:spacing w:after="0"/>
              <w:rPr>
                <w:sz w:val="7"/>
                <w:szCs w:val="7"/>
                <w:color w:val="auto"/>
              </w:rPr>
            </w:pPr>
          </w:p>
        </w:tc>
        <w:tc>
          <w:tcPr>
            <w:tcW w:w="2500" w:type="dxa"/>
            <w:vAlign w:val="bottom"/>
          </w:tcPr>
          <w:p>
            <w:pPr>
              <w:spacing w:after="0"/>
              <w:rPr>
                <w:sz w:val="7"/>
                <w:szCs w:val="7"/>
                <w:color w:val="auto"/>
              </w:rPr>
            </w:pPr>
          </w:p>
        </w:tc>
        <w:tc>
          <w:tcPr>
            <w:tcW w:w="2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400" w:space="555"/>
            <w:col w:w="8265"/>
          </w:cols>
          <w:pgMar w:left="320" w:top="25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hanging="213"/>
        <w:spacing w:after="0"/>
        <w:tabs>
          <w:tab w:leader="none" w:pos="220" w:val="left"/>
        </w:tabs>
        <w:numPr>
          <w:ilvl w:val="0"/>
          <w:numId w:val="21"/>
        </w:numPr>
        <w:rPr>
          <w:rFonts w:ascii="Arial" w:cs="Arial" w:eastAsia="Arial" w:hAnsi="Arial"/>
          <w:sz w:val="14"/>
          <w:szCs w:val="14"/>
          <w:color w:val="9D9D9C"/>
        </w:rPr>
      </w:pPr>
      <w:r>
        <w:rPr>
          <w:rFonts w:ascii="Arial" w:cs="Arial" w:eastAsia="Arial" w:hAnsi="Arial"/>
          <w:sz w:val="14"/>
          <w:szCs w:val="14"/>
          <w:color w:val="9D9D9C"/>
        </w:rPr>
        <w:t>Outside public board committees are listed in the Proxy Summary on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253365</wp:posOffset>
            </wp:positionV>
            <wp:extent cx="963930" cy="2216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11</w:t>
      </w:r>
    </w:p>
    <w:p>
      <w:pPr>
        <w:sectPr>
          <w:pgSz w:w="11900" w:h="16838" w:orient="portrait"/>
          <w:cols w:equalWidth="0" w:num="1">
            <w:col w:w="11220"/>
          </w:cols>
          <w:pgMar w:left="320" w:top="254" w:right="359" w:bottom="1440" w:gutter="0" w:footer="0" w:header="0"/>
          <w:type w:val="continuous"/>
        </w:sectPr>
      </w:pPr>
    </w:p>
    <w:bookmarkStart w:id="17" w:name="page18"/>
    <w:bookmarkEnd w:id="17"/>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447040</wp:posOffset>
            </wp:positionV>
            <wp:extent cx="7141210" cy="32334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1210" cy="3233420"/>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003478"/>
          <w:shd w:val="clear" w:color="auto" w:fill="E5E7EF"/>
        </w:rPr>
        <w:t>Thomas J. Falk</w:t>
      </w:r>
    </w:p>
    <w:p>
      <w:pPr>
        <w:spacing w:after="0" w:line="105" w:lineRule="exact"/>
        <w:rPr>
          <w:sz w:val="20"/>
          <w:szCs w:val="20"/>
          <w:color w:val="auto"/>
        </w:rPr>
      </w:pPr>
    </w:p>
    <w:p>
      <w:pPr>
        <w:ind w:left="220"/>
        <w:spacing w:after="0"/>
        <w:rPr>
          <w:sz w:val="20"/>
          <w:szCs w:val="20"/>
          <w:color w:val="auto"/>
        </w:rPr>
      </w:pPr>
      <w:r>
        <w:rPr>
          <w:rFonts w:ascii="Arial" w:cs="Arial" w:eastAsia="Arial" w:hAnsi="Arial"/>
          <w:sz w:val="16"/>
          <w:szCs w:val="16"/>
          <w:color w:val="003478"/>
          <w:shd w:val="clear" w:color="auto" w:fill="E5E7EF"/>
        </w:rPr>
        <w:t xml:space="preserve">Age </w:t>
      </w:r>
      <w:r>
        <w:rPr>
          <w:rFonts w:ascii="Arial" w:cs="Arial" w:eastAsia="Arial" w:hAnsi="Arial"/>
          <w:sz w:val="16"/>
          <w:szCs w:val="16"/>
          <w:color w:val="003478"/>
        </w:rPr>
        <w:t>63</w:t>
      </w:r>
    </w:p>
    <w:p>
      <w:pPr>
        <w:spacing w:after="0" w:line="125" w:lineRule="exact"/>
        <w:rPr>
          <w:sz w:val="20"/>
          <w:szCs w:val="20"/>
          <w:color w:val="auto"/>
        </w:rPr>
      </w:pPr>
    </w:p>
    <w:p>
      <w:pPr>
        <w:ind w:left="220" w:right="515"/>
        <w:spacing w:after="0" w:line="258" w:lineRule="auto"/>
        <w:rPr>
          <w:sz w:val="20"/>
          <w:szCs w:val="20"/>
          <w:color w:val="auto"/>
        </w:rPr>
      </w:pPr>
      <w:r>
        <w:rPr>
          <w:rFonts w:ascii="Arial" w:cs="Arial" w:eastAsia="Arial" w:hAnsi="Arial"/>
          <w:sz w:val="16"/>
          <w:szCs w:val="16"/>
          <w:color w:val="003478"/>
          <w:shd w:val="clear" w:color="auto" w:fill="E5E7EF"/>
        </w:rPr>
        <w:t xml:space="preserve">Director since </w:t>
      </w:r>
      <w:r>
        <w:rPr>
          <w:rFonts w:ascii="Arial" w:cs="Arial" w:eastAsia="Arial" w:hAnsi="Arial"/>
          <w:sz w:val="16"/>
          <w:szCs w:val="16"/>
          <w:color w:val="002E6D"/>
        </w:rPr>
        <w:t>2010</w:t>
      </w:r>
      <w:r>
        <w:rPr>
          <w:rFonts w:ascii="Arial" w:cs="Arial" w:eastAsia="Arial" w:hAnsi="Arial"/>
          <w:sz w:val="16"/>
          <w:szCs w:val="16"/>
          <w:color w:val="003478"/>
          <w:shd w:val="clear" w:color="auto" w:fill="E5E7EF"/>
        </w:rPr>
        <w:t xml:space="preserve"> Independent Director</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Committees</w:t>
      </w:r>
    </w:p>
    <w:p>
      <w:pPr>
        <w:ind w:left="220" w:right="135"/>
        <w:spacing w:after="0" w:line="236" w:lineRule="auto"/>
        <w:rPr>
          <w:sz w:val="20"/>
          <w:szCs w:val="20"/>
          <w:color w:val="auto"/>
        </w:rPr>
      </w:pPr>
      <w:r>
        <w:rPr>
          <w:rFonts w:ascii="Arial" w:cs="Arial" w:eastAsia="Arial" w:hAnsi="Arial"/>
          <w:sz w:val="16"/>
          <w:szCs w:val="16"/>
          <w:color w:val="003478"/>
        </w:rPr>
        <w:t>Audit, Chair; Management Development and Compensation</w:t>
      </w:r>
    </w:p>
    <w:p>
      <w:pPr>
        <w:spacing w:after="0" w:line="89" w:lineRule="exact"/>
        <w:rPr>
          <w:sz w:val="20"/>
          <w:szCs w:val="20"/>
          <w:color w:val="auto"/>
        </w:rPr>
      </w:pPr>
    </w:p>
    <w:p>
      <w:pPr>
        <w:ind w:left="220" w:right="475"/>
        <w:spacing w:after="0"/>
        <w:rPr>
          <w:sz w:val="20"/>
          <w:szCs w:val="20"/>
          <w:color w:val="auto"/>
        </w:rPr>
      </w:pPr>
      <w:r>
        <w:rPr>
          <w:rFonts w:ascii="Arial" w:cs="Arial" w:eastAsia="Arial" w:hAnsi="Arial"/>
          <w:sz w:val="16"/>
          <w:szCs w:val="16"/>
          <w:color w:val="003478"/>
          <w:shd w:val="clear" w:color="auto" w:fill="E5E7EF"/>
        </w:rPr>
        <w:t xml:space="preserve">Other Current Boards </w:t>
      </w:r>
      <w:r>
        <w:rPr>
          <w:rFonts w:ascii="Arial" w:cs="Arial" w:eastAsia="Arial" w:hAnsi="Arial"/>
          <w:sz w:val="16"/>
          <w:szCs w:val="16"/>
          <w:color w:val="002E6D"/>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
        <w:spacing w:after="0"/>
        <w:rPr>
          <w:sz w:val="20"/>
          <w:szCs w:val="20"/>
          <w:color w:val="auto"/>
        </w:rPr>
      </w:pPr>
      <w:r>
        <w:rPr>
          <w:rFonts w:ascii="Arial" w:cs="Arial" w:eastAsia="Arial" w:hAnsi="Arial"/>
          <w:sz w:val="16"/>
          <w:szCs w:val="16"/>
          <w:color w:val="003478"/>
        </w:rPr>
        <w:t>Biography</w:t>
      </w:r>
    </w:p>
    <w:p>
      <w:pPr>
        <w:spacing w:after="0" w:line="23" w:lineRule="exact"/>
        <w:rPr>
          <w:sz w:val="20"/>
          <w:szCs w:val="20"/>
          <w:color w:val="auto"/>
        </w:rPr>
      </w:pPr>
    </w:p>
    <w:p>
      <w:pPr>
        <w:ind w:left="5" w:right="60"/>
        <w:spacing w:after="0" w:line="250" w:lineRule="auto"/>
        <w:rPr>
          <w:sz w:val="20"/>
          <w:szCs w:val="20"/>
          <w:color w:val="auto"/>
        </w:rPr>
      </w:pPr>
      <w:r>
        <w:rPr>
          <w:rFonts w:ascii="Arial" w:cs="Arial" w:eastAsia="Arial" w:hAnsi="Arial"/>
          <w:sz w:val="17"/>
          <w:szCs w:val="17"/>
          <w:color w:val="auto"/>
        </w:rPr>
        <w:t>Executive Chairman of Kimberly-Clark Corporation from January 2019 through December 2019. Having served 36 years at Kimberly-Clark Corporation, Mr. Falk was Chairman of the Board and Chief Executive Officer from 2003 until December 2018; Chief Executive Officer from 2002 and President and Chief Operating Officer from 1999 to 2002.</w:t>
      </w:r>
    </w:p>
    <w:p>
      <w:pPr>
        <w:spacing w:after="0" w:line="107" w:lineRule="exact"/>
        <w:rPr>
          <w:sz w:val="20"/>
          <w:szCs w:val="20"/>
          <w:color w:val="auto"/>
        </w:rPr>
      </w:pPr>
    </w:p>
    <w:p>
      <w:pPr>
        <w:ind w:left="5"/>
        <w:spacing w:after="0"/>
        <w:rPr>
          <w:sz w:val="20"/>
          <w:szCs w:val="20"/>
          <w:color w:val="auto"/>
        </w:rPr>
      </w:pPr>
      <w:r>
        <w:rPr>
          <w:rFonts w:ascii="Arial" w:cs="Arial" w:eastAsia="Arial" w:hAnsi="Arial"/>
          <w:sz w:val="16"/>
          <w:szCs w:val="16"/>
          <w:color w:val="002E6D"/>
        </w:rPr>
        <w:t>Skills, Qualifications and Core Competencies</w:t>
      </w:r>
    </w:p>
    <w:p>
      <w:pPr>
        <w:spacing w:after="0" w:line="10" w:lineRule="exact"/>
        <w:rPr>
          <w:sz w:val="20"/>
          <w:szCs w:val="20"/>
          <w:color w:val="auto"/>
        </w:rPr>
      </w:pPr>
    </w:p>
    <w:p>
      <w:pPr>
        <w:ind w:left="185" w:right="500" w:hanging="185"/>
        <w:spacing w:after="0" w:line="255" w:lineRule="auto"/>
        <w:tabs>
          <w:tab w:leader="none" w:pos="146" w:val="left"/>
        </w:tabs>
        <w:numPr>
          <w:ilvl w:val="0"/>
          <w:numId w:val="22"/>
        </w:numPr>
        <w:rPr>
          <w:rFonts w:ascii="Arial" w:cs="Arial" w:eastAsia="Arial" w:hAnsi="Arial"/>
          <w:sz w:val="17"/>
          <w:szCs w:val="17"/>
          <w:color w:val="002E6D"/>
        </w:rPr>
      </w:pPr>
      <w:r>
        <w:rPr>
          <w:rFonts w:ascii="Arial" w:cs="Arial" w:eastAsia="Arial" w:hAnsi="Arial"/>
          <w:sz w:val="17"/>
          <w:szCs w:val="17"/>
          <w:color w:val="auto"/>
        </w:rPr>
        <w:t>Experience with the demands and challenges associated with managing global organizations from his experience as Chairman and Chief Executive Officer of Kimberly-Clark Corporation</w:t>
      </w:r>
    </w:p>
    <w:p>
      <w:pPr>
        <w:spacing w:after="0" w:line="1" w:lineRule="exact"/>
        <w:rPr>
          <w:rFonts w:ascii="Arial" w:cs="Arial" w:eastAsia="Arial" w:hAnsi="Arial"/>
          <w:sz w:val="17"/>
          <w:szCs w:val="17"/>
          <w:color w:val="002E6D"/>
        </w:rPr>
      </w:pPr>
    </w:p>
    <w:p>
      <w:pPr>
        <w:ind w:left="185" w:right="420" w:hanging="185"/>
        <w:spacing w:after="0" w:line="257" w:lineRule="auto"/>
        <w:tabs>
          <w:tab w:leader="none" w:pos="159" w:val="left"/>
        </w:tabs>
        <w:numPr>
          <w:ilvl w:val="0"/>
          <w:numId w:val="22"/>
        </w:numPr>
        <w:rPr>
          <w:rFonts w:ascii="Arial" w:cs="Arial" w:eastAsia="Arial" w:hAnsi="Arial"/>
          <w:sz w:val="17"/>
          <w:szCs w:val="17"/>
          <w:color w:val="002E6D"/>
        </w:rPr>
      </w:pPr>
      <w:r>
        <w:rPr>
          <w:rFonts w:ascii="Arial" w:cs="Arial" w:eastAsia="Arial" w:hAnsi="Arial"/>
          <w:sz w:val="17"/>
          <w:szCs w:val="17"/>
          <w:color w:val="auto"/>
        </w:rPr>
        <w:t>Knowledge of financial system management, public company accounting, disclosure requirements and financial markets</w:t>
      </w:r>
    </w:p>
    <w:p>
      <w:pPr>
        <w:spacing w:after="0" w:line="11" w:lineRule="exact"/>
        <w:rPr>
          <w:rFonts w:ascii="Arial" w:cs="Arial" w:eastAsia="Arial" w:hAnsi="Arial"/>
          <w:sz w:val="17"/>
          <w:szCs w:val="17"/>
          <w:color w:val="002E6D"/>
        </w:rPr>
      </w:pPr>
    </w:p>
    <w:p>
      <w:pPr>
        <w:ind w:left="185" w:right="660" w:hanging="185"/>
        <w:spacing w:after="0" w:line="257" w:lineRule="auto"/>
        <w:tabs>
          <w:tab w:leader="none" w:pos="159" w:val="left"/>
        </w:tabs>
        <w:numPr>
          <w:ilvl w:val="0"/>
          <w:numId w:val="22"/>
        </w:numPr>
        <w:rPr>
          <w:rFonts w:ascii="Arial" w:cs="Arial" w:eastAsia="Arial" w:hAnsi="Arial"/>
          <w:sz w:val="17"/>
          <w:szCs w:val="17"/>
          <w:color w:val="002E6D"/>
        </w:rPr>
      </w:pPr>
      <w:r>
        <w:rPr>
          <w:rFonts w:ascii="Arial" w:cs="Arial" w:eastAsia="Arial" w:hAnsi="Arial"/>
          <w:sz w:val="17"/>
          <w:szCs w:val="17"/>
          <w:color w:val="auto"/>
        </w:rPr>
        <w:t>Manufacturing, human capital management, compensation, governance and public company board experience</w:t>
      </w:r>
    </w:p>
    <w:p>
      <w:pPr>
        <w:spacing w:after="0" w:line="200" w:lineRule="exact"/>
        <w:rPr>
          <w:sz w:val="20"/>
          <w:szCs w:val="20"/>
          <w:color w:val="auto"/>
        </w:rPr>
      </w:pPr>
    </w:p>
    <w:p>
      <w:pPr>
        <w:spacing w:after="0" w:line="247" w:lineRule="exact"/>
        <w:rPr>
          <w:sz w:val="20"/>
          <w:szCs w:val="20"/>
          <w:color w:val="auto"/>
        </w:rPr>
      </w:pPr>
    </w:p>
    <w:tbl>
      <w:tblPr>
        <w:tblLayout w:type="fixed"/>
        <w:tblInd w:w="445" w:type="dxa"/>
        <w:tblCellMar>
          <w:top w:w="0" w:type="dxa"/>
          <w:left w:w="0" w:type="dxa"/>
          <w:bottom w:w="0" w:type="dxa"/>
          <w:right w:w="0" w:type="dxa"/>
        </w:tblCellMar>
      </w:tblPr>
      <w:tr>
        <w:trPr>
          <w:trHeight w:val="195"/>
        </w:trPr>
        <w:tc>
          <w:tcPr>
            <w:tcW w:w="2060" w:type="dxa"/>
            <w:vAlign w:val="bottom"/>
          </w:tcPr>
          <w:p>
            <w:pPr>
              <w:spacing w:after="0"/>
              <w:rPr>
                <w:sz w:val="20"/>
                <w:szCs w:val="20"/>
                <w:color w:val="auto"/>
              </w:rPr>
            </w:pPr>
            <w:r>
              <w:rPr>
                <w:rFonts w:ascii="Arial" w:cs="Arial" w:eastAsia="Arial" w:hAnsi="Arial"/>
                <w:sz w:val="17"/>
                <w:szCs w:val="17"/>
                <w:color w:val="auto"/>
              </w:rPr>
              <w:t>CEO Leadership</w:t>
            </w:r>
          </w:p>
        </w:tc>
        <w:tc>
          <w:tcPr>
            <w:tcW w:w="2980" w:type="dxa"/>
            <w:vAlign w:val="bottom"/>
          </w:tcPr>
          <w:p>
            <w:pPr>
              <w:ind w:left="700"/>
              <w:spacing w:after="0"/>
              <w:rPr>
                <w:sz w:val="20"/>
                <w:szCs w:val="20"/>
                <w:color w:val="auto"/>
              </w:rPr>
            </w:pPr>
            <w:r>
              <w:rPr>
                <w:rFonts w:ascii="Arial" w:cs="Arial" w:eastAsia="Arial" w:hAnsi="Arial"/>
                <w:sz w:val="17"/>
                <w:szCs w:val="17"/>
                <w:color w:val="auto"/>
              </w:rPr>
              <w:t>Environmental, Safety &amp;</w:t>
            </w:r>
          </w:p>
        </w:tc>
        <w:tc>
          <w:tcPr>
            <w:tcW w:w="2640" w:type="dxa"/>
            <w:vAlign w:val="bottom"/>
            <w:vMerge w:val="restart"/>
          </w:tcPr>
          <w:p>
            <w:pPr>
              <w:ind w:left="480"/>
              <w:spacing w:after="0"/>
              <w:rPr>
                <w:sz w:val="20"/>
                <w:szCs w:val="20"/>
                <w:color w:val="auto"/>
              </w:rPr>
            </w:pPr>
            <w:r>
              <w:rPr>
                <w:rFonts w:ascii="Arial" w:cs="Arial" w:eastAsia="Arial" w:hAnsi="Arial"/>
                <w:sz w:val="17"/>
                <w:szCs w:val="17"/>
                <w:color w:val="auto"/>
                <w:w w:val="98"/>
              </w:rPr>
              <w:t>Human Capital Management</w:t>
            </w:r>
          </w:p>
        </w:tc>
        <w:tc>
          <w:tcPr>
            <w:tcW w:w="0" w:type="dxa"/>
            <w:vAlign w:val="bottom"/>
          </w:tcPr>
          <w:p>
            <w:pPr>
              <w:spacing w:after="0"/>
              <w:rPr>
                <w:sz w:val="1"/>
                <w:szCs w:val="1"/>
                <w:color w:val="auto"/>
              </w:rPr>
            </w:pPr>
          </w:p>
        </w:tc>
      </w:tr>
      <w:tr>
        <w:trPr>
          <w:trHeight w:val="110"/>
        </w:trPr>
        <w:tc>
          <w:tcPr>
            <w:tcW w:w="2060" w:type="dxa"/>
            <w:vAlign w:val="bottom"/>
            <w:vMerge w:val="restart"/>
          </w:tcPr>
          <w:p>
            <w:pPr>
              <w:spacing w:after="0"/>
              <w:rPr>
                <w:sz w:val="20"/>
                <w:szCs w:val="20"/>
                <w:color w:val="auto"/>
              </w:rPr>
            </w:pPr>
            <w:r>
              <w:rPr>
                <w:rFonts w:ascii="Arial" w:cs="Arial" w:eastAsia="Arial" w:hAnsi="Arial"/>
                <w:sz w:val="17"/>
                <w:szCs w:val="17"/>
                <w:color w:val="auto"/>
              </w:rPr>
              <w:t>Experience</w:t>
            </w:r>
          </w:p>
        </w:tc>
        <w:tc>
          <w:tcPr>
            <w:tcW w:w="2980" w:type="dxa"/>
            <w:vAlign w:val="bottom"/>
            <w:vMerge w:val="restart"/>
          </w:tcPr>
          <w:p>
            <w:pPr>
              <w:ind w:left="700"/>
              <w:spacing w:after="0"/>
              <w:rPr>
                <w:sz w:val="20"/>
                <w:szCs w:val="20"/>
                <w:color w:val="auto"/>
              </w:rPr>
            </w:pPr>
            <w:r>
              <w:rPr>
                <w:rFonts w:ascii="Arial" w:cs="Arial" w:eastAsia="Arial" w:hAnsi="Arial"/>
                <w:sz w:val="17"/>
                <w:szCs w:val="17"/>
                <w:color w:val="auto"/>
              </w:rPr>
              <w:t>Sustainability</w:t>
            </w: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060" w:type="dxa"/>
            <w:vAlign w:val="bottom"/>
            <w:vMerge w:val="continue"/>
          </w:tcPr>
          <w:p>
            <w:pPr>
              <w:spacing w:after="0"/>
              <w:rPr>
                <w:sz w:val="8"/>
                <w:szCs w:val="8"/>
                <w:color w:val="auto"/>
              </w:rPr>
            </w:pPr>
          </w:p>
        </w:tc>
        <w:tc>
          <w:tcPr>
            <w:tcW w:w="2980" w:type="dxa"/>
            <w:vAlign w:val="bottom"/>
            <w:vMerge w:val="continue"/>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6"/>
        </w:trPr>
        <w:tc>
          <w:tcPr>
            <w:tcW w:w="2060" w:type="dxa"/>
            <w:vAlign w:val="bottom"/>
          </w:tcPr>
          <w:p>
            <w:pPr>
              <w:spacing w:after="0"/>
              <w:rPr>
                <w:sz w:val="20"/>
                <w:szCs w:val="20"/>
                <w:color w:val="auto"/>
              </w:rPr>
            </w:pPr>
            <w:r>
              <w:rPr>
                <w:rFonts w:ascii="Arial" w:cs="Arial" w:eastAsia="Arial" w:hAnsi="Arial"/>
                <w:sz w:val="17"/>
                <w:szCs w:val="17"/>
                <w:color w:val="auto"/>
              </w:rPr>
              <w:t>Financial Expert</w:t>
            </w:r>
          </w:p>
        </w:tc>
        <w:tc>
          <w:tcPr>
            <w:tcW w:w="2980" w:type="dxa"/>
            <w:vAlign w:val="bottom"/>
          </w:tcPr>
          <w:p>
            <w:pPr>
              <w:ind w:left="700"/>
              <w:spacing w:after="0"/>
              <w:rPr>
                <w:sz w:val="20"/>
                <w:szCs w:val="20"/>
                <w:color w:val="auto"/>
              </w:rPr>
            </w:pPr>
            <w:r>
              <w:rPr>
                <w:rFonts w:ascii="Arial" w:cs="Arial" w:eastAsia="Arial" w:hAnsi="Arial"/>
                <w:sz w:val="17"/>
                <w:szCs w:val="17"/>
                <w:color w:val="auto"/>
              </w:rPr>
              <w:t>Manufacturing</w:t>
            </w:r>
          </w:p>
        </w:tc>
        <w:tc>
          <w:tcPr>
            <w:tcW w:w="2640" w:type="dxa"/>
            <w:vAlign w:val="bottom"/>
          </w:tcPr>
          <w:p>
            <w:pPr>
              <w:ind w:left="480"/>
              <w:spacing w:after="0"/>
              <w:rPr>
                <w:sz w:val="20"/>
                <w:szCs w:val="20"/>
                <w:color w:val="auto"/>
              </w:rPr>
            </w:pPr>
            <w:r>
              <w:rPr>
                <w:rFonts w:ascii="Arial" w:cs="Arial" w:eastAsia="Arial" w:hAnsi="Arial"/>
                <w:sz w:val="17"/>
                <w:szCs w:val="17"/>
                <w:color w:val="auto"/>
              </w:rPr>
              <w:t>Global Experience</w:t>
            </w:r>
          </w:p>
        </w:tc>
        <w:tc>
          <w:tcPr>
            <w:tcW w:w="0" w:type="dxa"/>
            <w:vAlign w:val="bottom"/>
          </w:tcPr>
          <w:p>
            <w:pPr>
              <w:spacing w:after="0"/>
              <w:rPr>
                <w:sz w:val="1"/>
                <w:szCs w:val="1"/>
                <w:color w:val="auto"/>
              </w:rPr>
            </w:pPr>
          </w:p>
        </w:tc>
      </w:tr>
      <w:tr>
        <w:trPr>
          <w:trHeight w:val="403"/>
        </w:trPr>
        <w:tc>
          <w:tcPr>
            <w:tcW w:w="2060" w:type="dxa"/>
            <w:vAlign w:val="bottom"/>
          </w:tcPr>
          <w:p>
            <w:pPr>
              <w:spacing w:after="0"/>
              <w:rPr>
                <w:sz w:val="20"/>
                <w:szCs w:val="20"/>
                <w:color w:val="auto"/>
              </w:rPr>
            </w:pPr>
            <w:r>
              <w:rPr>
                <w:rFonts w:ascii="Arial" w:cs="Arial" w:eastAsia="Arial" w:hAnsi="Arial"/>
                <w:sz w:val="17"/>
                <w:szCs w:val="17"/>
                <w:color w:val="auto"/>
              </w:rPr>
              <w:t>Risk Management</w:t>
            </w:r>
          </w:p>
        </w:tc>
        <w:tc>
          <w:tcPr>
            <w:tcW w:w="29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-1870710</wp:posOffset>
            </wp:positionH>
            <wp:positionV relativeFrom="paragraph">
              <wp:posOffset>676275</wp:posOffset>
            </wp:positionV>
            <wp:extent cx="7141210" cy="34556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1210" cy="3455670"/>
                    </a:xfrm>
                    <a:prstGeom prst="rect">
                      <a:avLst/>
                    </a:prstGeom>
                    <a:noFill/>
                  </pic:spPr>
                </pic:pic>
              </a:graphicData>
            </a:graphic>
          </wp:anchor>
        </w:drawing>
      </w:r>
    </w:p>
    <w:p>
      <w:pPr>
        <w:spacing w:after="0" w:line="439" w:lineRule="exact"/>
        <w:rPr>
          <w:sz w:val="20"/>
          <w:szCs w:val="20"/>
          <w:color w:val="auto"/>
        </w:rPr>
      </w:pPr>
    </w:p>
    <w:p>
      <w:pPr>
        <w:sectPr>
          <w:pgSz w:w="11900" w:h="16838" w:orient="portrait"/>
          <w:cols w:equalWidth="0" w:num="2">
            <w:col w:w="2235" w:space="720"/>
            <w:col w:w="8285"/>
          </w:cols>
          <w:pgMar w:left="320" w:top="25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20"/>
        <w:spacing w:after="0"/>
        <w:rPr>
          <w:sz w:val="20"/>
          <w:szCs w:val="20"/>
          <w:color w:val="auto"/>
        </w:rPr>
      </w:pPr>
      <w:r>
        <w:rPr>
          <w:rFonts w:ascii="Arial" w:cs="Arial" w:eastAsia="Arial" w:hAnsi="Arial"/>
          <w:sz w:val="18"/>
          <w:szCs w:val="18"/>
          <w:color w:val="003478"/>
          <w:shd w:val="clear" w:color="auto" w:fill="E5E7EF"/>
        </w:rPr>
        <w:t>Ilene S. Gordon</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6"/>
          <w:szCs w:val="16"/>
          <w:color w:val="003478"/>
          <w:shd w:val="clear" w:color="auto" w:fill="E5E7EF"/>
        </w:rPr>
        <w:t xml:space="preserve">Age </w:t>
      </w:r>
      <w:r>
        <w:rPr>
          <w:rFonts w:ascii="Arial" w:cs="Arial" w:eastAsia="Arial" w:hAnsi="Arial"/>
          <w:sz w:val="16"/>
          <w:szCs w:val="16"/>
          <w:color w:val="003478"/>
        </w:rPr>
        <w:t>68</w:t>
      </w:r>
    </w:p>
    <w:p>
      <w:pPr>
        <w:spacing w:after="0" w:line="112" w:lineRule="exact"/>
        <w:rPr>
          <w:sz w:val="20"/>
          <w:szCs w:val="20"/>
          <w:color w:val="auto"/>
        </w:rPr>
      </w:pPr>
    </w:p>
    <w:p>
      <w:pPr>
        <w:ind w:left="220" w:right="640"/>
        <w:spacing w:after="0" w:line="258" w:lineRule="auto"/>
        <w:rPr>
          <w:sz w:val="20"/>
          <w:szCs w:val="20"/>
          <w:color w:val="auto"/>
        </w:rPr>
      </w:pPr>
      <w:r>
        <w:rPr>
          <w:rFonts w:ascii="Arial" w:cs="Arial" w:eastAsia="Arial" w:hAnsi="Arial"/>
          <w:sz w:val="16"/>
          <w:szCs w:val="16"/>
          <w:color w:val="003478"/>
          <w:shd w:val="clear" w:color="auto" w:fill="E5E7EF"/>
        </w:rPr>
        <w:t xml:space="preserve">Director since </w:t>
      </w:r>
      <w:r>
        <w:rPr>
          <w:rFonts w:ascii="Arial" w:cs="Arial" w:eastAsia="Arial" w:hAnsi="Arial"/>
          <w:sz w:val="16"/>
          <w:szCs w:val="16"/>
          <w:color w:val="002E6D"/>
        </w:rPr>
        <w:t>2016</w:t>
      </w:r>
      <w:r>
        <w:rPr>
          <w:rFonts w:ascii="Arial" w:cs="Arial" w:eastAsia="Arial" w:hAnsi="Arial"/>
          <w:sz w:val="16"/>
          <w:szCs w:val="16"/>
          <w:color w:val="003478"/>
          <w:shd w:val="clear" w:color="auto" w:fill="E5E7EF"/>
        </w:rPr>
        <w:t xml:space="preserve"> Independent Director</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Committees</w:t>
      </w:r>
    </w:p>
    <w:p>
      <w:pPr>
        <w:ind w:left="220" w:right="620"/>
        <w:spacing w:after="0" w:line="236" w:lineRule="auto"/>
        <w:rPr>
          <w:sz w:val="20"/>
          <w:szCs w:val="20"/>
          <w:color w:val="auto"/>
        </w:rPr>
      </w:pPr>
      <w:r>
        <w:rPr>
          <w:rFonts w:ascii="Arial" w:cs="Arial" w:eastAsia="Arial" w:hAnsi="Arial"/>
          <w:sz w:val="16"/>
          <w:szCs w:val="16"/>
          <w:color w:val="003478"/>
        </w:rPr>
        <w:t>Audit; Management Development and Compensation, Chair</w:t>
      </w:r>
    </w:p>
    <w:p>
      <w:pPr>
        <w:spacing w:after="0" w:line="89" w:lineRule="exact"/>
        <w:rPr>
          <w:sz w:val="20"/>
          <w:szCs w:val="20"/>
          <w:color w:val="auto"/>
        </w:rPr>
      </w:pPr>
    </w:p>
    <w:p>
      <w:pPr>
        <w:ind w:left="220"/>
        <w:spacing w:after="0" w:line="234" w:lineRule="auto"/>
        <w:rPr>
          <w:sz w:val="20"/>
          <w:szCs w:val="20"/>
          <w:color w:val="auto"/>
        </w:rPr>
      </w:pPr>
      <w:r>
        <w:rPr>
          <w:rFonts w:ascii="Arial" w:cs="Arial" w:eastAsia="Arial" w:hAnsi="Arial"/>
          <w:sz w:val="16"/>
          <w:szCs w:val="16"/>
          <w:color w:val="003478"/>
          <w:shd w:val="clear" w:color="auto" w:fill="E5E7EF"/>
        </w:rPr>
        <w:t xml:space="preserve">Other Current Boards* </w:t>
      </w:r>
      <w:r>
        <w:rPr>
          <w:rFonts w:ascii="Arial" w:cs="Arial" w:eastAsia="Arial" w:hAnsi="Arial"/>
          <w:sz w:val="16"/>
          <w:szCs w:val="16"/>
          <w:color w:val="003478"/>
        </w:rPr>
        <w:t>International Paper Company; International Flavors &amp; Fragrances,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
        <w:spacing w:after="0"/>
        <w:rPr>
          <w:sz w:val="20"/>
          <w:szCs w:val="20"/>
          <w:color w:val="auto"/>
        </w:rPr>
      </w:pPr>
      <w:r>
        <w:rPr>
          <w:rFonts w:ascii="Arial" w:cs="Arial" w:eastAsia="Arial" w:hAnsi="Arial"/>
          <w:sz w:val="16"/>
          <w:szCs w:val="16"/>
          <w:color w:val="003478"/>
        </w:rPr>
        <w:t>Biography</w:t>
      </w:r>
    </w:p>
    <w:p>
      <w:pPr>
        <w:spacing w:after="0" w:line="10" w:lineRule="exact"/>
        <w:rPr>
          <w:sz w:val="20"/>
          <w:szCs w:val="20"/>
          <w:color w:val="auto"/>
        </w:rPr>
      </w:pPr>
    </w:p>
    <w:p>
      <w:pPr>
        <w:ind w:left="5" w:right="40"/>
        <w:spacing w:after="0" w:line="250" w:lineRule="auto"/>
        <w:rPr>
          <w:sz w:val="20"/>
          <w:szCs w:val="20"/>
          <w:color w:val="auto"/>
        </w:rPr>
      </w:pPr>
      <w:r>
        <w:rPr>
          <w:rFonts w:ascii="Arial" w:cs="Arial" w:eastAsia="Arial" w:hAnsi="Arial"/>
          <w:sz w:val="17"/>
          <w:szCs w:val="17"/>
          <w:color w:val="auto"/>
        </w:rPr>
        <w:t>Executive Chairman of the Board of Ingredion Incorporated from January 2018 through July 2018. Previously, Ms. Gordon was Chairman of the Board, President and Chief Executive Officer of Ingredion Incorporated from May 2009 through December 2017. Ingredion Incorporated is a publicly traded corporation manufacturing food ingredients globally.</w:t>
      </w:r>
    </w:p>
    <w:p>
      <w:pPr>
        <w:spacing w:after="0" w:line="107" w:lineRule="exact"/>
        <w:rPr>
          <w:sz w:val="20"/>
          <w:szCs w:val="20"/>
          <w:color w:val="auto"/>
        </w:rPr>
      </w:pPr>
    </w:p>
    <w:p>
      <w:pPr>
        <w:ind w:left="5"/>
        <w:spacing w:after="0"/>
        <w:rPr>
          <w:sz w:val="20"/>
          <w:szCs w:val="20"/>
          <w:color w:val="auto"/>
        </w:rPr>
      </w:pPr>
      <w:r>
        <w:rPr>
          <w:rFonts w:ascii="Arial" w:cs="Arial" w:eastAsia="Arial" w:hAnsi="Arial"/>
          <w:sz w:val="16"/>
          <w:szCs w:val="16"/>
          <w:color w:val="002E6D"/>
        </w:rPr>
        <w:t>Skills, Qualifications and Core Competencies</w:t>
      </w:r>
    </w:p>
    <w:p>
      <w:pPr>
        <w:spacing w:after="0" w:line="23" w:lineRule="exact"/>
        <w:rPr>
          <w:sz w:val="20"/>
          <w:szCs w:val="20"/>
          <w:color w:val="auto"/>
        </w:rPr>
      </w:pPr>
    </w:p>
    <w:p>
      <w:pPr>
        <w:ind w:left="185" w:right="460" w:hanging="185"/>
        <w:spacing w:after="0" w:line="255" w:lineRule="auto"/>
        <w:tabs>
          <w:tab w:leader="none" w:pos="159" w:val="left"/>
        </w:tabs>
        <w:numPr>
          <w:ilvl w:val="0"/>
          <w:numId w:val="23"/>
        </w:numPr>
        <w:rPr>
          <w:rFonts w:ascii="Arial" w:cs="Arial" w:eastAsia="Arial" w:hAnsi="Arial"/>
          <w:sz w:val="17"/>
          <w:szCs w:val="17"/>
          <w:color w:val="002E6D"/>
        </w:rPr>
      </w:pPr>
      <w:r>
        <w:rPr>
          <w:rFonts w:ascii="Arial" w:cs="Arial" w:eastAsia="Arial" w:hAnsi="Arial"/>
          <w:sz w:val="17"/>
          <w:szCs w:val="17"/>
          <w:color w:val="auto"/>
        </w:rPr>
        <w:t>Experience with the demands and challenges associated with managing global organizations from her experience as Chairman, President and Chief Executive Officer of Ingredion Incorporated</w:t>
      </w:r>
    </w:p>
    <w:p>
      <w:pPr>
        <w:spacing w:after="0" w:line="1" w:lineRule="exact"/>
        <w:rPr>
          <w:rFonts w:ascii="Arial" w:cs="Arial" w:eastAsia="Arial" w:hAnsi="Arial"/>
          <w:sz w:val="17"/>
          <w:szCs w:val="17"/>
          <w:color w:val="002E6D"/>
        </w:rPr>
      </w:pPr>
    </w:p>
    <w:p>
      <w:pPr>
        <w:ind w:left="185" w:right="420" w:hanging="185"/>
        <w:spacing w:after="0" w:line="255" w:lineRule="auto"/>
        <w:tabs>
          <w:tab w:leader="none" w:pos="159" w:val="left"/>
        </w:tabs>
        <w:numPr>
          <w:ilvl w:val="0"/>
          <w:numId w:val="23"/>
        </w:numPr>
        <w:rPr>
          <w:rFonts w:ascii="Arial" w:cs="Arial" w:eastAsia="Arial" w:hAnsi="Arial"/>
          <w:sz w:val="17"/>
          <w:szCs w:val="17"/>
          <w:color w:val="002E6D"/>
        </w:rPr>
      </w:pPr>
      <w:r>
        <w:rPr>
          <w:rFonts w:ascii="Arial" w:cs="Arial" w:eastAsia="Arial" w:hAnsi="Arial"/>
          <w:sz w:val="17"/>
          <w:szCs w:val="17"/>
          <w:color w:val="auto"/>
        </w:rPr>
        <w:t>Knowledge of financial system management, public company accounting, disclosure requirements and financial markets</w:t>
      </w:r>
    </w:p>
    <w:p>
      <w:pPr>
        <w:spacing w:after="0" w:line="1" w:lineRule="exact"/>
        <w:rPr>
          <w:rFonts w:ascii="Arial" w:cs="Arial" w:eastAsia="Arial" w:hAnsi="Arial"/>
          <w:sz w:val="17"/>
          <w:szCs w:val="17"/>
          <w:color w:val="002E6D"/>
        </w:rPr>
      </w:pPr>
    </w:p>
    <w:p>
      <w:pPr>
        <w:ind w:left="165" w:hanging="165"/>
        <w:spacing w:after="0"/>
        <w:tabs>
          <w:tab w:leader="none" w:pos="165" w:val="left"/>
        </w:tabs>
        <w:numPr>
          <w:ilvl w:val="0"/>
          <w:numId w:val="23"/>
        </w:numPr>
        <w:rPr>
          <w:rFonts w:ascii="Arial" w:cs="Arial" w:eastAsia="Arial" w:hAnsi="Arial"/>
          <w:sz w:val="17"/>
          <w:szCs w:val="17"/>
          <w:color w:val="002E6D"/>
        </w:rPr>
      </w:pPr>
      <w:r>
        <w:rPr>
          <w:rFonts w:ascii="Arial" w:cs="Arial" w:eastAsia="Arial" w:hAnsi="Arial"/>
          <w:sz w:val="17"/>
          <w:szCs w:val="17"/>
          <w:color w:val="auto"/>
        </w:rPr>
        <w:t>Marketing, human capital management, compensation, governance and public company board experience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445" w:type="dxa"/>
        <w:tblCellMar>
          <w:top w:w="0" w:type="dxa"/>
          <w:left w:w="0" w:type="dxa"/>
          <w:bottom w:w="0" w:type="dxa"/>
          <w:right w:w="0" w:type="dxa"/>
        </w:tblCellMar>
      </w:tblPr>
      <w:tr>
        <w:trPr>
          <w:trHeight w:val="195"/>
        </w:trPr>
        <w:tc>
          <w:tcPr>
            <w:tcW w:w="2380" w:type="dxa"/>
            <w:vAlign w:val="bottom"/>
          </w:tcPr>
          <w:p>
            <w:pPr>
              <w:spacing w:after="0"/>
              <w:rPr>
                <w:sz w:val="20"/>
                <w:szCs w:val="20"/>
                <w:color w:val="auto"/>
              </w:rPr>
            </w:pPr>
            <w:r>
              <w:rPr>
                <w:rFonts w:ascii="Arial" w:cs="Arial" w:eastAsia="Arial" w:hAnsi="Arial"/>
                <w:sz w:val="17"/>
                <w:szCs w:val="17"/>
                <w:color w:val="auto"/>
              </w:rPr>
              <w:t>CEO Leadership</w:t>
            </w:r>
          </w:p>
        </w:tc>
        <w:tc>
          <w:tcPr>
            <w:tcW w:w="2660" w:type="dxa"/>
            <w:vAlign w:val="bottom"/>
          </w:tcPr>
          <w:p>
            <w:pPr>
              <w:ind w:left="380"/>
              <w:spacing w:after="0"/>
              <w:rPr>
                <w:sz w:val="20"/>
                <w:szCs w:val="20"/>
                <w:color w:val="auto"/>
              </w:rPr>
            </w:pPr>
            <w:r>
              <w:rPr>
                <w:rFonts w:ascii="Arial" w:cs="Arial" w:eastAsia="Arial" w:hAnsi="Arial"/>
                <w:sz w:val="17"/>
                <w:szCs w:val="17"/>
                <w:color w:val="auto"/>
              </w:rPr>
              <w:t>Environmental, Safety &amp;</w:t>
            </w:r>
          </w:p>
        </w:tc>
        <w:tc>
          <w:tcPr>
            <w:tcW w:w="2640" w:type="dxa"/>
            <w:vAlign w:val="bottom"/>
            <w:vMerge w:val="restart"/>
          </w:tcPr>
          <w:p>
            <w:pPr>
              <w:ind w:left="480"/>
              <w:spacing w:after="0"/>
              <w:rPr>
                <w:sz w:val="20"/>
                <w:szCs w:val="20"/>
                <w:color w:val="auto"/>
              </w:rPr>
            </w:pPr>
            <w:r>
              <w:rPr>
                <w:rFonts w:ascii="Arial" w:cs="Arial" w:eastAsia="Arial" w:hAnsi="Arial"/>
                <w:sz w:val="17"/>
                <w:szCs w:val="17"/>
                <w:color w:val="auto"/>
                <w:w w:val="98"/>
              </w:rPr>
              <w:t>Human Capital Management</w:t>
            </w:r>
          </w:p>
        </w:tc>
        <w:tc>
          <w:tcPr>
            <w:tcW w:w="0" w:type="dxa"/>
            <w:vAlign w:val="bottom"/>
          </w:tcPr>
          <w:p>
            <w:pPr>
              <w:spacing w:after="0"/>
              <w:rPr>
                <w:sz w:val="1"/>
                <w:szCs w:val="1"/>
                <w:color w:val="auto"/>
              </w:rPr>
            </w:pPr>
          </w:p>
        </w:tc>
      </w:tr>
      <w:tr>
        <w:trPr>
          <w:trHeight w:val="110"/>
        </w:trPr>
        <w:tc>
          <w:tcPr>
            <w:tcW w:w="2380" w:type="dxa"/>
            <w:vAlign w:val="bottom"/>
            <w:vMerge w:val="restart"/>
          </w:tcPr>
          <w:p>
            <w:pPr>
              <w:spacing w:after="0"/>
              <w:rPr>
                <w:sz w:val="20"/>
                <w:szCs w:val="20"/>
                <w:color w:val="auto"/>
              </w:rPr>
            </w:pPr>
            <w:r>
              <w:rPr>
                <w:rFonts w:ascii="Arial" w:cs="Arial" w:eastAsia="Arial" w:hAnsi="Arial"/>
                <w:sz w:val="17"/>
                <w:szCs w:val="17"/>
                <w:color w:val="auto"/>
              </w:rPr>
              <w:t>Experience</w:t>
            </w:r>
          </w:p>
        </w:tc>
        <w:tc>
          <w:tcPr>
            <w:tcW w:w="2660" w:type="dxa"/>
            <w:vAlign w:val="bottom"/>
            <w:vMerge w:val="restart"/>
          </w:tcPr>
          <w:p>
            <w:pPr>
              <w:ind w:left="380"/>
              <w:spacing w:after="0"/>
              <w:rPr>
                <w:sz w:val="20"/>
                <w:szCs w:val="20"/>
                <w:color w:val="auto"/>
              </w:rPr>
            </w:pPr>
            <w:r>
              <w:rPr>
                <w:rFonts w:ascii="Arial" w:cs="Arial" w:eastAsia="Arial" w:hAnsi="Arial"/>
                <w:sz w:val="17"/>
                <w:szCs w:val="17"/>
                <w:color w:val="auto"/>
              </w:rPr>
              <w:t>Sustainability</w:t>
            </w: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380" w:type="dxa"/>
            <w:vAlign w:val="bottom"/>
            <w:vMerge w:val="continue"/>
          </w:tcPr>
          <w:p>
            <w:pPr>
              <w:spacing w:after="0"/>
              <w:rPr>
                <w:sz w:val="8"/>
                <w:szCs w:val="8"/>
                <w:color w:val="auto"/>
              </w:rPr>
            </w:pPr>
          </w:p>
        </w:tc>
        <w:tc>
          <w:tcPr>
            <w:tcW w:w="2660" w:type="dxa"/>
            <w:vAlign w:val="bottom"/>
            <w:vMerge w:val="continue"/>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6"/>
        </w:trPr>
        <w:tc>
          <w:tcPr>
            <w:tcW w:w="2380" w:type="dxa"/>
            <w:vAlign w:val="bottom"/>
          </w:tcPr>
          <w:p>
            <w:pPr>
              <w:spacing w:after="0"/>
              <w:rPr>
                <w:sz w:val="20"/>
                <w:szCs w:val="20"/>
                <w:color w:val="auto"/>
              </w:rPr>
            </w:pPr>
            <w:r>
              <w:rPr>
                <w:rFonts w:ascii="Arial" w:cs="Arial" w:eastAsia="Arial" w:hAnsi="Arial"/>
                <w:sz w:val="17"/>
                <w:szCs w:val="17"/>
                <w:color w:val="auto"/>
              </w:rPr>
              <w:t>Financial Expert</w:t>
            </w:r>
          </w:p>
        </w:tc>
        <w:tc>
          <w:tcPr>
            <w:tcW w:w="2660" w:type="dxa"/>
            <w:vAlign w:val="bottom"/>
          </w:tcPr>
          <w:p>
            <w:pPr>
              <w:ind w:left="380"/>
              <w:spacing w:after="0"/>
              <w:rPr>
                <w:sz w:val="20"/>
                <w:szCs w:val="20"/>
                <w:color w:val="auto"/>
              </w:rPr>
            </w:pPr>
            <w:r>
              <w:rPr>
                <w:rFonts w:ascii="Arial" w:cs="Arial" w:eastAsia="Arial" w:hAnsi="Arial"/>
                <w:sz w:val="17"/>
                <w:szCs w:val="17"/>
                <w:color w:val="auto"/>
              </w:rPr>
              <w:t>Manufacturing</w:t>
            </w:r>
          </w:p>
        </w:tc>
        <w:tc>
          <w:tcPr>
            <w:tcW w:w="2640" w:type="dxa"/>
            <w:vAlign w:val="bottom"/>
          </w:tcPr>
          <w:p>
            <w:pPr>
              <w:ind w:left="480"/>
              <w:spacing w:after="0"/>
              <w:rPr>
                <w:sz w:val="20"/>
                <w:szCs w:val="20"/>
                <w:color w:val="auto"/>
              </w:rPr>
            </w:pPr>
            <w:r>
              <w:rPr>
                <w:rFonts w:ascii="Arial" w:cs="Arial" w:eastAsia="Arial" w:hAnsi="Arial"/>
                <w:sz w:val="17"/>
                <w:szCs w:val="17"/>
                <w:color w:val="auto"/>
              </w:rPr>
              <w:t>Global Experience</w:t>
            </w:r>
          </w:p>
        </w:tc>
        <w:tc>
          <w:tcPr>
            <w:tcW w:w="0" w:type="dxa"/>
            <w:vAlign w:val="bottom"/>
          </w:tcPr>
          <w:p>
            <w:pPr>
              <w:spacing w:after="0"/>
              <w:rPr>
                <w:sz w:val="1"/>
                <w:szCs w:val="1"/>
                <w:color w:val="auto"/>
              </w:rPr>
            </w:pPr>
          </w:p>
        </w:tc>
      </w:tr>
      <w:tr>
        <w:trPr>
          <w:trHeight w:val="320"/>
        </w:trPr>
        <w:tc>
          <w:tcPr>
            <w:tcW w:w="2380" w:type="dxa"/>
            <w:vAlign w:val="bottom"/>
          </w:tcPr>
          <w:p>
            <w:pPr>
              <w:spacing w:after="0"/>
              <w:rPr>
                <w:sz w:val="20"/>
                <w:szCs w:val="20"/>
                <w:color w:val="auto"/>
              </w:rPr>
            </w:pPr>
            <w:r>
              <w:rPr>
                <w:rFonts w:ascii="Arial" w:cs="Arial" w:eastAsia="Arial" w:hAnsi="Arial"/>
                <w:sz w:val="17"/>
                <w:szCs w:val="17"/>
                <w:color w:val="auto"/>
              </w:rPr>
              <w:t>Engineering, Technology &amp;</w:t>
            </w:r>
          </w:p>
        </w:tc>
        <w:tc>
          <w:tcPr>
            <w:tcW w:w="2660" w:type="dxa"/>
            <w:vAlign w:val="bottom"/>
            <w:vMerge w:val="restart"/>
          </w:tcPr>
          <w:p>
            <w:pPr>
              <w:ind w:left="380"/>
              <w:spacing w:after="0"/>
              <w:rPr>
                <w:sz w:val="20"/>
                <w:szCs w:val="20"/>
                <w:color w:val="auto"/>
              </w:rPr>
            </w:pPr>
            <w:r>
              <w:rPr>
                <w:rFonts w:ascii="Arial" w:cs="Arial" w:eastAsia="Arial" w:hAnsi="Arial"/>
                <w:sz w:val="17"/>
                <w:szCs w:val="17"/>
                <w:color w:val="auto"/>
              </w:rPr>
              <w:t>Risk Management</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380" w:type="dxa"/>
            <w:vAlign w:val="bottom"/>
            <w:vMerge w:val="restart"/>
          </w:tcPr>
          <w:p>
            <w:pPr>
              <w:spacing w:after="0"/>
              <w:rPr>
                <w:sz w:val="20"/>
                <w:szCs w:val="20"/>
                <w:color w:val="auto"/>
              </w:rPr>
            </w:pPr>
            <w:r>
              <w:rPr>
                <w:rFonts w:ascii="Arial" w:cs="Arial" w:eastAsia="Arial" w:hAnsi="Arial"/>
                <w:sz w:val="17"/>
                <w:szCs w:val="17"/>
                <w:color w:val="auto"/>
              </w:rPr>
              <w:t>Innovation</w:t>
            </w:r>
          </w:p>
        </w:tc>
        <w:tc>
          <w:tcPr>
            <w:tcW w:w="2660" w:type="dxa"/>
            <w:vAlign w:val="bottom"/>
            <w:vMerge w:val="continue"/>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380" w:type="dxa"/>
            <w:vAlign w:val="bottom"/>
            <w:vMerge w:val="continue"/>
          </w:tcPr>
          <w:p>
            <w:pPr>
              <w:spacing w:after="0"/>
              <w:rPr>
                <w:sz w:val="8"/>
                <w:szCs w:val="8"/>
                <w:color w:val="auto"/>
              </w:rPr>
            </w:pPr>
          </w:p>
        </w:tc>
        <w:tc>
          <w:tcPr>
            <w:tcW w:w="26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08" w:lineRule="exact"/>
        <w:rPr>
          <w:sz w:val="20"/>
          <w:szCs w:val="20"/>
          <w:color w:val="auto"/>
        </w:rPr>
      </w:pPr>
    </w:p>
    <w:p>
      <w:pPr>
        <w:sectPr>
          <w:pgSz w:w="11900" w:h="16838" w:orient="portrait"/>
          <w:cols w:equalWidth="0" w:num="2">
            <w:col w:w="2360" w:space="595"/>
            <w:col w:w="8285"/>
          </w:cols>
          <w:pgMar w:left="320" w:top="25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20" w:hanging="213"/>
        <w:spacing w:after="0"/>
        <w:tabs>
          <w:tab w:leader="none" w:pos="220" w:val="left"/>
        </w:tabs>
        <w:numPr>
          <w:ilvl w:val="0"/>
          <w:numId w:val="24"/>
        </w:numPr>
        <w:rPr>
          <w:rFonts w:ascii="Arial" w:cs="Arial" w:eastAsia="Arial" w:hAnsi="Arial"/>
          <w:sz w:val="14"/>
          <w:szCs w:val="14"/>
          <w:color w:val="9D9D9C"/>
        </w:rPr>
      </w:pPr>
      <w:r>
        <w:rPr>
          <w:rFonts w:ascii="Arial" w:cs="Arial" w:eastAsia="Arial" w:hAnsi="Arial"/>
          <w:sz w:val="14"/>
          <w:szCs w:val="14"/>
          <w:color w:val="9D9D9C"/>
        </w:rPr>
        <w:t>Outside public board committees are listed in the Proxy Summary on page 3.</w:t>
      </w:r>
    </w:p>
    <w:p>
      <w:pPr>
        <w:sectPr>
          <w:pgSz w:w="11900" w:h="16838" w:orient="portrait"/>
          <w:cols w:equalWidth="0" w:num="1">
            <w:col w:w="11240"/>
          </w:cols>
          <w:pgMar w:left="320" w:top="25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12</w:t>
      </w:r>
    </w:p>
    <w:p>
      <w:pPr>
        <w:sectPr>
          <w:pgSz w:w="11900" w:h="16838" w:orient="portrait"/>
          <w:cols w:equalWidth="0" w:num="1">
            <w:col w:w="11240"/>
          </w:cols>
          <w:pgMar w:left="320" w:top="254" w:right="339" w:bottom="1440" w:gutter="0" w:footer="0" w:header="0"/>
          <w:type w:val="continuous"/>
        </w:sectPr>
      </w:pPr>
    </w:p>
    <w:bookmarkStart w:id="18" w:name="page19"/>
    <w:bookmarkEnd w:id="18"/>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447040</wp:posOffset>
            </wp:positionV>
            <wp:extent cx="7141210" cy="3327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1210" cy="3327400"/>
                    </a:xfrm>
                    <a:prstGeom prst="rect">
                      <a:avLst/>
                    </a:prstGeom>
                    <a:noFill/>
                  </pic:spPr>
                </pic:pic>
              </a:graphicData>
            </a:graphic>
          </wp:anchor>
        </w:drawing>
      </w:r>
    </w:p>
    <w:p>
      <w:pPr>
        <w:sectPr>
          <w:pgSz w:w="11900" w:h="16838" w:orient="portrait"/>
          <w:cols w:equalWidth="0" w:num="1">
            <w:col w:w="11200"/>
          </w:cols>
          <w:pgMar w:left="320" w:top="25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8"/>
          <w:szCs w:val="18"/>
          <w:color w:val="003478"/>
          <w:shd w:val="clear" w:color="auto" w:fill="E5E7EF"/>
        </w:rPr>
        <w:t>Vicki A. Hollub</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6"/>
          <w:szCs w:val="16"/>
          <w:color w:val="003478"/>
          <w:shd w:val="clear" w:color="auto" w:fill="E5E7EF"/>
        </w:rPr>
        <w:t xml:space="preserve">Age </w:t>
      </w:r>
      <w:r>
        <w:rPr>
          <w:rFonts w:ascii="Arial" w:cs="Arial" w:eastAsia="Arial" w:hAnsi="Arial"/>
          <w:sz w:val="16"/>
          <w:szCs w:val="16"/>
          <w:color w:val="003478"/>
        </w:rPr>
        <w:t>62</w:t>
      </w:r>
    </w:p>
    <w:p>
      <w:pPr>
        <w:spacing w:after="0" w:line="112" w:lineRule="exact"/>
        <w:rPr>
          <w:sz w:val="20"/>
          <w:szCs w:val="20"/>
          <w:color w:val="auto"/>
        </w:rPr>
      </w:pPr>
    </w:p>
    <w:p>
      <w:pPr>
        <w:ind w:left="220" w:right="760"/>
        <w:spacing w:after="0" w:line="258" w:lineRule="auto"/>
        <w:rPr>
          <w:sz w:val="20"/>
          <w:szCs w:val="20"/>
          <w:color w:val="auto"/>
        </w:rPr>
      </w:pPr>
      <w:r>
        <w:rPr>
          <w:rFonts w:ascii="Arial" w:cs="Arial" w:eastAsia="Arial" w:hAnsi="Arial"/>
          <w:sz w:val="16"/>
          <w:szCs w:val="16"/>
          <w:color w:val="003478"/>
          <w:shd w:val="clear" w:color="auto" w:fill="E5E7EF"/>
        </w:rPr>
        <w:t xml:space="preserve">Director since </w:t>
      </w:r>
      <w:r>
        <w:rPr>
          <w:rFonts w:ascii="Arial" w:cs="Arial" w:eastAsia="Arial" w:hAnsi="Arial"/>
          <w:sz w:val="16"/>
          <w:szCs w:val="16"/>
          <w:color w:val="002E6D"/>
        </w:rPr>
        <w:t>2018</w:t>
      </w:r>
      <w:r>
        <w:rPr>
          <w:rFonts w:ascii="Arial" w:cs="Arial" w:eastAsia="Arial" w:hAnsi="Arial"/>
          <w:sz w:val="16"/>
          <w:szCs w:val="16"/>
          <w:color w:val="003478"/>
          <w:shd w:val="clear" w:color="auto" w:fill="E5E7EF"/>
        </w:rPr>
        <w:t xml:space="preserve"> Independent Director</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Committees</w:t>
      </w:r>
    </w:p>
    <w:p>
      <w:pPr>
        <w:ind w:left="220"/>
        <w:spacing w:after="0" w:line="236" w:lineRule="auto"/>
        <w:rPr>
          <w:sz w:val="20"/>
          <w:szCs w:val="20"/>
          <w:color w:val="auto"/>
        </w:rPr>
      </w:pPr>
      <w:r>
        <w:rPr>
          <w:rFonts w:ascii="Arial" w:cs="Arial" w:eastAsia="Arial" w:hAnsi="Arial"/>
          <w:sz w:val="16"/>
          <w:szCs w:val="16"/>
          <w:color w:val="003478"/>
        </w:rPr>
        <w:t>Management Development and Compensation; Nominating and Corporate Governance</w:t>
      </w:r>
    </w:p>
    <w:p>
      <w:pPr>
        <w:spacing w:after="0" w:line="89" w:lineRule="exact"/>
        <w:rPr>
          <w:sz w:val="20"/>
          <w:szCs w:val="20"/>
          <w:color w:val="auto"/>
        </w:rPr>
      </w:pPr>
    </w:p>
    <w:p>
      <w:pPr>
        <w:ind w:left="220" w:right="720"/>
        <w:spacing w:after="0"/>
        <w:rPr>
          <w:sz w:val="20"/>
          <w:szCs w:val="20"/>
          <w:color w:val="auto"/>
        </w:rPr>
      </w:pPr>
      <w:r>
        <w:rPr>
          <w:rFonts w:ascii="Arial" w:cs="Arial" w:eastAsia="Arial" w:hAnsi="Arial"/>
          <w:sz w:val="16"/>
          <w:szCs w:val="16"/>
          <w:color w:val="003478"/>
          <w:shd w:val="clear" w:color="auto" w:fill="E5E7EF"/>
        </w:rPr>
        <w:t xml:space="preserve">Other Current Boards </w:t>
      </w:r>
      <w:r>
        <w:rPr>
          <w:rFonts w:ascii="Arial" w:cs="Arial" w:eastAsia="Arial" w:hAnsi="Arial"/>
          <w:sz w:val="16"/>
          <w:szCs w:val="16"/>
          <w:color w:val="003478"/>
        </w:rPr>
        <w:t>Occidental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
        <w:spacing w:after="0"/>
        <w:rPr>
          <w:sz w:val="20"/>
          <w:szCs w:val="20"/>
          <w:color w:val="auto"/>
        </w:rPr>
      </w:pPr>
      <w:r>
        <w:rPr>
          <w:rFonts w:ascii="Arial" w:cs="Arial" w:eastAsia="Arial" w:hAnsi="Arial"/>
          <w:sz w:val="16"/>
          <w:szCs w:val="16"/>
          <w:color w:val="003478"/>
        </w:rPr>
        <w:t>Biography</w:t>
      </w:r>
    </w:p>
    <w:p>
      <w:pPr>
        <w:spacing w:after="0" w:line="23" w:lineRule="exact"/>
        <w:rPr>
          <w:sz w:val="20"/>
          <w:szCs w:val="20"/>
          <w:color w:val="auto"/>
        </w:rPr>
      </w:pPr>
    </w:p>
    <w:p>
      <w:pPr>
        <w:ind w:left="5"/>
        <w:spacing w:after="0" w:line="249" w:lineRule="auto"/>
        <w:rPr>
          <w:sz w:val="20"/>
          <w:szCs w:val="20"/>
          <w:color w:val="auto"/>
        </w:rPr>
      </w:pPr>
      <w:r>
        <w:rPr>
          <w:rFonts w:ascii="Arial" w:cs="Arial" w:eastAsia="Arial" w:hAnsi="Arial"/>
          <w:sz w:val="17"/>
          <w:szCs w:val="17"/>
          <w:color w:val="auto"/>
        </w:rPr>
        <w:t>President and Chief Executive Officer of Occidental Petroleum Corporation (Occidental), an international oil and gas exploration and production company, since April 2016. Having served more than 30 years at Occidental, Ms. Hollub served as President and Chief Operating Officer from 2015 to 2016; Senior Executive Vice President, Occidental and President, Oxy Oil and Gas - Americas from 2014 to 2015, and Executive Vice President, Occidental and Executive Vice President, U.S. Operations and Oxy Oil and Gas from 2013 to 2014.</w:t>
      </w:r>
    </w:p>
    <w:p>
      <w:pPr>
        <w:spacing w:after="0" w:line="108" w:lineRule="exact"/>
        <w:rPr>
          <w:sz w:val="20"/>
          <w:szCs w:val="20"/>
          <w:color w:val="auto"/>
        </w:rPr>
      </w:pPr>
    </w:p>
    <w:p>
      <w:pPr>
        <w:ind w:left="5"/>
        <w:spacing w:after="0"/>
        <w:rPr>
          <w:sz w:val="20"/>
          <w:szCs w:val="20"/>
          <w:color w:val="auto"/>
        </w:rPr>
      </w:pPr>
      <w:r>
        <w:rPr>
          <w:rFonts w:ascii="Arial" w:cs="Arial" w:eastAsia="Arial" w:hAnsi="Arial"/>
          <w:sz w:val="16"/>
          <w:szCs w:val="16"/>
          <w:color w:val="002E6D"/>
        </w:rPr>
        <w:t>Skills, Qualifications and Core Competencies</w:t>
      </w:r>
    </w:p>
    <w:p>
      <w:pPr>
        <w:spacing w:after="0" w:line="10" w:lineRule="exact"/>
        <w:rPr>
          <w:sz w:val="20"/>
          <w:szCs w:val="20"/>
          <w:color w:val="auto"/>
        </w:rPr>
      </w:pPr>
    </w:p>
    <w:p>
      <w:pPr>
        <w:ind w:left="185" w:right="200" w:hanging="185"/>
        <w:spacing w:after="0" w:line="252" w:lineRule="auto"/>
        <w:tabs>
          <w:tab w:leader="none" w:pos="159" w:val="left"/>
        </w:tabs>
        <w:numPr>
          <w:ilvl w:val="0"/>
          <w:numId w:val="25"/>
        </w:numPr>
        <w:rPr>
          <w:rFonts w:ascii="Arial" w:cs="Arial" w:eastAsia="Arial" w:hAnsi="Arial"/>
          <w:sz w:val="17"/>
          <w:szCs w:val="17"/>
          <w:color w:val="002E6D"/>
        </w:rPr>
      </w:pPr>
      <w:r>
        <w:rPr>
          <w:rFonts w:ascii="Arial" w:cs="Arial" w:eastAsia="Arial" w:hAnsi="Arial"/>
          <w:sz w:val="17"/>
          <w:szCs w:val="17"/>
          <w:color w:val="auto"/>
        </w:rPr>
        <w:t>Broad insight and experience with the demands and challenges associated with managing global organizations from her experience as President and Chief Executive Officer of Occidental and more than three decades in executive and operational roles</w:t>
      </w:r>
    </w:p>
    <w:p>
      <w:pPr>
        <w:spacing w:after="0" w:line="2" w:lineRule="exact"/>
        <w:rPr>
          <w:rFonts w:ascii="Arial" w:cs="Arial" w:eastAsia="Arial" w:hAnsi="Arial"/>
          <w:sz w:val="17"/>
          <w:szCs w:val="17"/>
          <w:color w:val="002E6D"/>
        </w:rPr>
      </w:pPr>
    </w:p>
    <w:p>
      <w:pPr>
        <w:ind w:left="165" w:hanging="165"/>
        <w:spacing w:after="0"/>
        <w:tabs>
          <w:tab w:leader="none" w:pos="165" w:val="left"/>
        </w:tabs>
        <w:numPr>
          <w:ilvl w:val="0"/>
          <w:numId w:val="25"/>
        </w:numPr>
        <w:rPr>
          <w:rFonts w:ascii="Arial" w:cs="Arial" w:eastAsia="Arial" w:hAnsi="Arial"/>
          <w:sz w:val="17"/>
          <w:szCs w:val="17"/>
          <w:color w:val="002E6D"/>
        </w:rPr>
      </w:pPr>
      <w:r>
        <w:rPr>
          <w:rFonts w:ascii="Arial" w:cs="Arial" w:eastAsia="Arial" w:hAnsi="Arial"/>
          <w:sz w:val="17"/>
          <w:szCs w:val="17"/>
          <w:color w:val="auto"/>
        </w:rPr>
        <w:t>Expertise in the Middle East region and Latin America</w:t>
      </w:r>
    </w:p>
    <w:p>
      <w:pPr>
        <w:spacing w:after="0" w:line="32" w:lineRule="exact"/>
        <w:rPr>
          <w:rFonts w:ascii="Arial" w:cs="Arial" w:eastAsia="Arial" w:hAnsi="Arial"/>
          <w:sz w:val="17"/>
          <w:szCs w:val="17"/>
          <w:color w:val="002E6D"/>
        </w:rPr>
      </w:pPr>
    </w:p>
    <w:p>
      <w:pPr>
        <w:ind w:left="165" w:hanging="165"/>
        <w:spacing w:after="0"/>
        <w:tabs>
          <w:tab w:leader="none" w:pos="165" w:val="left"/>
        </w:tabs>
        <w:numPr>
          <w:ilvl w:val="0"/>
          <w:numId w:val="25"/>
        </w:numPr>
        <w:rPr>
          <w:rFonts w:ascii="Arial" w:cs="Arial" w:eastAsia="Arial" w:hAnsi="Arial"/>
          <w:sz w:val="17"/>
          <w:szCs w:val="17"/>
          <w:color w:val="002E6D"/>
        </w:rPr>
      </w:pPr>
      <w:r>
        <w:rPr>
          <w:rFonts w:ascii="Arial" w:cs="Arial" w:eastAsia="Arial" w:hAnsi="Arial"/>
          <w:sz w:val="17"/>
          <w:szCs w:val="17"/>
          <w:color w:val="auto"/>
        </w:rPr>
        <w:t>Skilled in enterprise risk management, environmental, safety and sustainability</w:t>
      </w:r>
    </w:p>
    <w:p>
      <w:pPr>
        <w:spacing w:after="0" w:line="254" w:lineRule="exact"/>
        <w:rPr>
          <w:sz w:val="20"/>
          <w:szCs w:val="20"/>
          <w:color w:val="auto"/>
        </w:rPr>
      </w:pPr>
    </w:p>
    <w:tbl>
      <w:tblPr>
        <w:tblLayout w:type="fixed"/>
        <w:tblInd w:w="445" w:type="dxa"/>
        <w:tblCellMar>
          <w:top w:w="0" w:type="dxa"/>
          <w:left w:w="0" w:type="dxa"/>
          <w:bottom w:w="0" w:type="dxa"/>
          <w:right w:w="0" w:type="dxa"/>
        </w:tblCellMar>
      </w:tblPr>
      <w:tr>
        <w:trPr>
          <w:trHeight w:val="195"/>
        </w:trPr>
        <w:tc>
          <w:tcPr>
            <w:tcW w:w="2380" w:type="dxa"/>
            <w:vAlign w:val="bottom"/>
          </w:tcPr>
          <w:p>
            <w:pPr>
              <w:spacing w:after="0"/>
              <w:rPr>
                <w:sz w:val="20"/>
                <w:szCs w:val="20"/>
                <w:color w:val="auto"/>
              </w:rPr>
            </w:pPr>
            <w:r>
              <w:rPr>
                <w:rFonts w:ascii="Arial" w:cs="Arial" w:eastAsia="Arial" w:hAnsi="Arial"/>
                <w:sz w:val="17"/>
                <w:szCs w:val="17"/>
                <w:color w:val="auto"/>
              </w:rPr>
              <w:t>CEO Leadership</w:t>
            </w:r>
          </w:p>
        </w:tc>
        <w:tc>
          <w:tcPr>
            <w:tcW w:w="2660" w:type="dxa"/>
            <w:vAlign w:val="bottom"/>
          </w:tcPr>
          <w:p>
            <w:pPr>
              <w:ind w:left="380"/>
              <w:spacing w:after="0"/>
              <w:rPr>
                <w:sz w:val="20"/>
                <w:szCs w:val="20"/>
                <w:color w:val="auto"/>
              </w:rPr>
            </w:pPr>
            <w:r>
              <w:rPr>
                <w:rFonts w:ascii="Arial" w:cs="Arial" w:eastAsia="Arial" w:hAnsi="Arial"/>
                <w:sz w:val="17"/>
                <w:szCs w:val="17"/>
                <w:color w:val="auto"/>
              </w:rPr>
              <w:t>Environmental, Safety &amp;</w:t>
            </w:r>
          </w:p>
        </w:tc>
        <w:tc>
          <w:tcPr>
            <w:tcW w:w="2640" w:type="dxa"/>
            <w:vAlign w:val="bottom"/>
            <w:vMerge w:val="restart"/>
          </w:tcPr>
          <w:p>
            <w:pPr>
              <w:ind w:left="480"/>
              <w:spacing w:after="0"/>
              <w:rPr>
                <w:sz w:val="20"/>
                <w:szCs w:val="20"/>
                <w:color w:val="auto"/>
              </w:rPr>
            </w:pPr>
            <w:r>
              <w:rPr>
                <w:rFonts w:ascii="Arial" w:cs="Arial" w:eastAsia="Arial" w:hAnsi="Arial"/>
                <w:sz w:val="17"/>
                <w:szCs w:val="17"/>
                <w:color w:val="auto"/>
                <w:w w:val="98"/>
              </w:rPr>
              <w:t>Human Capital Management</w:t>
            </w:r>
          </w:p>
        </w:tc>
        <w:tc>
          <w:tcPr>
            <w:tcW w:w="0" w:type="dxa"/>
            <w:vAlign w:val="bottom"/>
          </w:tcPr>
          <w:p>
            <w:pPr>
              <w:spacing w:after="0"/>
              <w:rPr>
                <w:sz w:val="1"/>
                <w:szCs w:val="1"/>
                <w:color w:val="auto"/>
              </w:rPr>
            </w:pPr>
          </w:p>
        </w:tc>
      </w:tr>
      <w:tr>
        <w:trPr>
          <w:trHeight w:val="110"/>
        </w:trPr>
        <w:tc>
          <w:tcPr>
            <w:tcW w:w="2380" w:type="dxa"/>
            <w:vAlign w:val="bottom"/>
            <w:vMerge w:val="restart"/>
          </w:tcPr>
          <w:p>
            <w:pPr>
              <w:spacing w:after="0"/>
              <w:rPr>
                <w:sz w:val="20"/>
                <w:szCs w:val="20"/>
                <w:color w:val="auto"/>
              </w:rPr>
            </w:pPr>
            <w:r>
              <w:rPr>
                <w:rFonts w:ascii="Arial" w:cs="Arial" w:eastAsia="Arial" w:hAnsi="Arial"/>
                <w:sz w:val="17"/>
                <w:szCs w:val="17"/>
                <w:color w:val="auto"/>
              </w:rPr>
              <w:t>Experience</w:t>
            </w:r>
          </w:p>
        </w:tc>
        <w:tc>
          <w:tcPr>
            <w:tcW w:w="2660" w:type="dxa"/>
            <w:vAlign w:val="bottom"/>
            <w:vMerge w:val="restart"/>
          </w:tcPr>
          <w:p>
            <w:pPr>
              <w:ind w:left="380"/>
              <w:spacing w:after="0"/>
              <w:rPr>
                <w:sz w:val="20"/>
                <w:szCs w:val="20"/>
                <w:color w:val="auto"/>
              </w:rPr>
            </w:pPr>
            <w:r>
              <w:rPr>
                <w:rFonts w:ascii="Arial" w:cs="Arial" w:eastAsia="Arial" w:hAnsi="Arial"/>
                <w:sz w:val="17"/>
                <w:szCs w:val="17"/>
                <w:color w:val="auto"/>
              </w:rPr>
              <w:t>Sustainability</w:t>
            </w: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380" w:type="dxa"/>
            <w:vAlign w:val="bottom"/>
            <w:vMerge w:val="continue"/>
          </w:tcPr>
          <w:p>
            <w:pPr>
              <w:spacing w:after="0"/>
              <w:rPr>
                <w:sz w:val="8"/>
                <w:szCs w:val="8"/>
                <w:color w:val="auto"/>
              </w:rPr>
            </w:pPr>
          </w:p>
        </w:tc>
        <w:tc>
          <w:tcPr>
            <w:tcW w:w="2660" w:type="dxa"/>
            <w:vAlign w:val="bottom"/>
            <w:vMerge w:val="continue"/>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6"/>
        </w:trPr>
        <w:tc>
          <w:tcPr>
            <w:tcW w:w="2380" w:type="dxa"/>
            <w:vAlign w:val="bottom"/>
          </w:tcPr>
          <w:p>
            <w:pPr>
              <w:spacing w:after="0"/>
              <w:rPr>
                <w:sz w:val="20"/>
                <w:szCs w:val="20"/>
                <w:color w:val="auto"/>
              </w:rPr>
            </w:pPr>
            <w:r>
              <w:rPr>
                <w:rFonts w:ascii="Arial" w:cs="Arial" w:eastAsia="Arial" w:hAnsi="Arial"/>
                <w:sz w:val="17"/>
                <w:szCs w:val="17"/>
                <w:color w:val="auto"/>
              </w:rPr>
              <w:t>Financial Expert</w:t>
            </w:r>
          </w:p>
        </w:tc>
        <w:tc>
          <w:tcPr>
            <w:tcW w:w="2660" w:type="dxa"/>
            <w:vAlign w:val="bottom"/>
          </w:tcPr>
          <w:p>
            <w:pPr>
              <w:ind w:left="380"/>
              <w:spacing w:after="0"/>
              <w:rPr>
                <w:sz w:val="20"/>
                <w:szCs w:val="20"/>
                <w:color w:val="auto"/>
              </w:rPr>
            </w:pPr>
            <w:r>
              <w:rPr>
                <w:rFonts w:ascii="Arial" w:cs="Arial" w:eastAsia="Arial" w:hAnsi="Arial"/>
                <w:sz w:val="17"/>
                <w:szCs w:val="17"/>
                <w:color w:val="auto"/>
              </w:rPr>
              <w:t>Manufacturing</w:t>
            </w:r>
          </w:p>
        </w:tc>
        <w:tc>
          <w:tcPr>
            <w:tcW w:w="2640" w:type="dxa"/>
            <w:vAlign w:val="bottom"/>
          </w:tcPr>
          <w:p>
            <w:pPr>
              <w:ind w:left="480"/>
              <w:spacing w:after="0"/>
              <w:rPr>
                <w:sz w:val="20"/>
                <w:szCs w:val="20"/>
                <w:color w:val="auto"/>
              </w:rPr>
            </w:pPr>
            <w:r>
              <w:rPr>
                <w:rFonts w:ascii="Arial" w:cs="Arial" w:eastAsia="Arial" w:hAnsi="Arial"/>
                <w:sz w:val="17"/>
                <w:szCs w:val="17"/>
                <w:color w:val="auto"/>
              </w:rPr>
              <w:t>Global Experience</w:t>
            </w:r>
          </w:p>
        </w:tc>
        <w:tc>
          <w:tcPr>
            <w:tcW w:w="0" w:type="dxa"/>
            <w:vAlign w:val="bottom"/>
          </w:tcPr>
          <w:p>
            <w:pPr>
              <w:spacing w:after="0"/>
              <w:rPr>
                <w:sz w:val="1"/>
                <w:szCs w:val="1"/>
                <w:color w:val="auto"/>
              </w:rPr>
            </w:pPr>
          </w:p>
        </w:tc>
      </w:tr>
      <w:tr>
        <w:trPr>
          <w:trHeight w:val="320"/>
        </w:trPr>
        <w:tc>
          <w:tcPr>
            <w:tcW w:w="2380" w:type="dxa"/>
            <w:vAlign w:val="bottom"/>
          </w:tcPr>
          <w:p>
            <w:pPr>
              <w:spacing w:after="0"/>
              <w:rPr>
                <w:sz w:val="20"/>
                <w:szCs w:val="20"/>
                <w:color w:val="auto"/>
              </w:rPr>
            </w:pPr>
            <w:r>
              <w:rPr>
                <w:rFonts w:ascii="Arial" w:cs="Arial" w:eastAsia="Arial" w:hAnsi="Arial"/>
                <w:sz w:val="17"/>
                <w:szCs w:val="17"/>
                <w:color w:val="auto"/>
              </w:rPr>
              <w:t>Engineering, Technology &amp;</w:t>
            </w:r>
          </w:p>
        </w:tc>
        <w:tc>
          <w:tcPr>
            <w:tcW w:w="2660" w:type="dxa"/>
            <w:vAlign w:val="bottom"/>
            <w:vMerge w:val="restart"/>
          </w:tcPr>
          <w:p>
            <w:pPr>
              <w:ind w:left="380"/>
              <w:spacing w:after="0"/>
              <w:rPr>
                <w:sz w:val="20"/>
                <w:szCs w:val="20"/>
                <w:color w:val="auto"/>
              </w:rPr>
            </w:pPr>
            <w:r>
              <w:rPr>
                <w:rFonts w:ascii="Arial" w:cs="Arial" w:eastAsia="Arial" w:hAnsi="Arial"/>
                <w:sz w:val="17"/>
                <w:szCs w:val="17"/>
                <w:color w:val="auto"/>
              </w:rPr>
              <w:t>Risk Management</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380" w:type="dxa"/>
            <w:vAlign w:val="bottom"/>
            <w:vMerge w:val="restart"/>
          </w:tcPr>
          <w:p>
            <w:pPr>
              <w:spacing w:after="0"/>
              <w:rPr>
                <w:sz w:val="20"/>
                <w:szCs w:val="20"/>
                <w:color w:val="auto"/>
              </w:rPr>
            </w:pPr>
            <w:r>
              <w:rPr>
                <w:rFonts w:ascii="Arial" w:cs="Arial" w:eastAsia="Arial" w:hAnsi="Arial"/>
                <w:sz w:val="17"/>
                <w:szCs w:val="17"/>
                <w:color w:val="auto"/>
              </w:rPr>
              <w:t>Innovation</w:t>
            </w:r>
          </w:p>
        </w:tc>
        <w:tc>
          <w:tcPr>
            <w:tcW w:w="2660" w:type="dxa"/>
            <w:vAlign w:val="bottom"/>
            <w:vMerge w:val="continue"/>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380" w:type="dxa"/>
            <w:vAlign w:val="bottom"/>
            <w:vMerge w:val="continue"/>
          </w:tcPr>
          <w:p>
            <w:pPr>
              <w:spacing w:after="0"/>
              <w:rPr>
                <w:sz w:val="8"/>
                <w:szCs w:val="8"/>
                <w:color w:val="auto"/>
              </w:rPr>
            </w:pPr>
          </w:p>
        </w:tc>
        <w:tc>
          <w:tcPr>
            <w:tcW w:w="26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-1870710</wp:posOffset>
            </wp:positionH>
            <wp:positionV relativeFrom="paragraph">
              <wp:posOffset>702310</wp:posOffset>
            </wp:positionV>
            <wp:extent cx="7141210" cy="3216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1210" cy="3216910"/>
                    </a:xfrm>
                    <a:prstGeom prst="rect">
                      <a:avLst/>
                    </a:prstGeom>
                    <a:noFill/>
                  </pic:spPr>
                </pic:pic>
              </a:graphicData>
            </a:graphic>
          </wp:anchor>
        </w:drawing>
      </w:r>
    </w:p>
    <w:p>
      <w:pPr>
        <w:spacing w:after="0" w:line="304" w:lineRule="exact"/>
        <w:rPr>
          <w:sz w:val="20"/>
          <w:szCs w:val="20"/>
          <w:color w:val="auto"/>
        </w:rPr>
      </w:pPr>
    </w:p>
    <w:p>
      <w:pPr>
        <w:sectPr>
          <w:pgSz w:w="11900" w:h="16838" w:orient="portrait"/>
          <w:cols w:equalWidth="0" w:num="2">
            <w:col w:w="2480" w:space="475"/>
            <w:col w:w="8245"/>
          </w:cols>
          <w:pgMar w:left="320" w:top="254"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20"/>
        <w:spacing w:after="0"/>
        <w:rPr>
          <w:sz w:val="20"/>
          <w:szCs w:val="20"/>
          <w:color w:val="auto"/>
        </w:rPr>
      </w:pPr>
      <w:r>
        <w:rPr>
          <w:rFonts w:ascii="Arial" w:cs="Arial" w:eastAsia="Arial" w:hAnsi="Arial"/>
          <w:sz w:val="18"/>
          <w:szCs w:val="18"/>
          <w:color w:val="003478"/>
          <w:shd w:val="clear" w:color="auto" w:fill="E5E7EF"/>
        </w:rPr>
        <w:t>Jeh C. Johnson</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6"/>
          <w:szCs w:val="16"/>
          <w:color w:val="003478"/>
          <w:shd w:val="clear" w:color="auto" w:fill="E5E7EF"/>
        </w:rPr>
        <w:t xml:space="preserve">Age </w:t>
      </w:r>
      <w:r>
        <w:rPr>
          <w:rFonts w:ascii="Arial" w:cs="Arial" w:eastAsia="Arial" w:hAnsi="Arial"/>
          <w:sz w:val="16"/>
          <w:szCs w:val="16"/>
          <w:color w:val="003478"/>
        </w:rPr>
        <w:t>64</w:t>
      </w:r>
    </w:p>
    <w:p>
      <w:pPr>
        <w:spacing w:after="0" w:line="112" w:lineRule="exact"/>
        <w:rPr>
          <w:sz w:val="20"/>
          <w:szCs w:val="20"/>
          <w:color w:val="auto"/>
        </w:rPr>
      </w:pPr>
    </w:p>
    <w:p>
      <w:pPr>
        <w:ind w:left="220" w:right="515"/>
        <w:spacing w:after="0" w:line="258" w:lineRule="auto"/>
        <w:rPr>
          <w:sz w:val="20"/>
          <w:szCs w:val="20"/>
          <w:color w:val="auto"/>
        </w:rPr>
      </w:pPr>
      <w:r>
        <w:rPr>
          <w:rFonts w:ascii="Arial" w:cs="Arial" w:eastAsia="Arial" w:hAnsi="Arial"/>
          <w:sz w:val="16"/>
          <w:szCs w:val="16"/>
          <w:color w:val="003478"/>
          <w:shd w:val="clear" w:color="auto" w:fill="E5E7EF"/>
        </w:rPr>
        <w:t xml:space="preserve">Director since </w:t>
      </w:r>
      <w:r>
        <w:rPr>
          <w:rFonts w:ascii="Arial" w:cs="Arial" w:eastAsia="Arial" w:hAnsi="Arial"/>
          <w:sz w:val="16"/>
          <w:szCs w:val="16"/>
          <w:color w:val="002E6D"/>
        </w:rPr>
        <w:t>2018</w:t>
      </w:r>
      <w:r>
        <w:rPr>
          <w:rFonts w:ascii="Arial" w:cs="Arial" w:eastAsia="Arial" w:hAnsi="Arial"/>
          <w:sz w:val="16"/>
          <w:szCs w:val="16"/>
          <w:color w:val="003478"/>
          <w:shd w:val="clear" w:color="auto" w:fill="E5E7EF"/>
        </w:rPr>
        <w:t xml:space="preserve"> Independent Director</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Committees</w:t>
      </w:r>
    </w:p>
    <w:p>
      <w:pPr>
        <w:ind w:left="220" w:right="215"/>
        <w:spacing w:after="0" w:line="236" w:lineRule="auto"/>
        <w:rPr>
          <w:sz w:val="20"/>
          <w:szCs w:val="20"/>
          <w:color w:val="auto"/>
        </w:rPr>
      </w:pPr>
      <w:r>
        <w:rPr>
          <w:rFonts w:ascii="Arial" w:cs="Arial" w:eastAsia="Arial" w:hAnsi="Arial"/>
          <w:sz w:val="16"/>
          <w:szCs w:val="16"/>
          <w:color w:val="003478"/>
        </w:rPr>
        <w:t>Classified Business and Security; Nominating and Corporate Governance</w:t>
      </w:r>
    </w:p>
    <w:p>
      <w:pPr>
        <w:spacing w:after="0" w:line="89" w:lineRule="exact"/>
        <w:rPr>
          <w:sz w:val="20"/>
          <w:szCs w:val="20"/>
          <w:color w:val="auto"/>
        </w:rPr>
      </w:pPr>
    </w:p>
    <w:p>
      <w:pPr>
        <w:ind w:left="220" w:right="415"/>
        <w:spacing w:after="0"/>
        <w:rPr>
          <w:sz w:val="20"/>
          <w:szCs w:val="20"/>
          <w:color w:val="auto"/>
        </w:rPr>
      </w:pPr>
      <w:r>
        <w:rPr>
          <w:rFonts w:ascii="Arial" w:cs="Arial" w:eastAsia="Arial" w:hAnsi="Arial"/>
          <w:sz w:val="16"/>
          <w:szCs w:val="16"/>
          <w:color w:val="003478"/>
          <w:shd w:val="clear" w:color="auto" w:fill="E5E7EF"/>
        </w:rPr>
        <w:t xml:space="preserve">Other Current Boards* </w:t>
      </w:r>
      <w:r>
        <w:rPr>
          <w:rFonts w:ascii="Arial" w:cs="Arial" w:eastAsia="Arial" w:hAnsi="Arial"/>
          <w:sz w:val="16"/>
          <w:szCs w:val="16"/>
          <w:color w:val="003478"/>
        </w:rPr>
        <w:t>U.S. Steel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
        <w:spacing w:after="0"/>
        <w:rPr>
          <w:sz w:val="20"/>
          <w:szCs w:val="20"/>
          <w:color w:val="auto"/>
        </w:rPr>
      </w:pPr>
      <w:r>
        <w:rPr>
          <w:rFonts w:ascii="Arial" w:cs="Arial" w:eastAsia="Arial" w:hAnsi="Arial"/>
          <w:sz w:val="17"/>
          <w:szCs w:val="17"/>
          <w:color w:val="003478"/>
        </w:rPr>
        <w:t>Biography</w:t>
      </w:r>
    </w:p>
    <w:p>
      <w:pPr>
        <w:spacing w:after="0" w:line="20" w:lineRule="exact"/>
        <w:rPr>
          <w:sz w:val="20"/>
          <w:szCs w:val="20"/>
          <w:color w:val="auto"/>
        </w:rPr>
      </w:pPr>
    </w:p>
    <w:p>
      <w:pPr>
        <w:jc w:val="both"/>
        <w:ind w:left="5" w:right="340"/>
        <w:spacing w:after="0" w:line="262" w:lineRule="auto"/>
        <w:rPr>
          <w:sz w:val="20"/>
          <w:szCs w:val="20"/>
          <w:color w:val="auto"/>
        </w:rPr>
      </w:pPr>
      <w:r>
        <w:rPr>
          <w:rFonts w:ascii="Arial" w:cs="Arial" w:eastAsia="Arial" w:hAnsi="Arial"/>
          <w:sz w:val="16"/>
          <w:szCs w:val="16"/>
          <w:color w:val="auto"/>
        </w:rPr>
        <w:t>Partner at the international law firm of Paul, Weiss, Rifkind, Wharton &amp; Garrison LLP since January 2017. Previously, Mr. Johnson served as U.S. Secretary of Homeland Security from December 2013 to January 2017; and as General Counsel of the U.S. Department of Defense and as General Counsel of the U.S.</w:t>
      </w:r>
    </w:p>
    <w:p>
      <w:pPr>
        <w:spacing w:after="0" w:line="2" w:lineRule="exact"/>
        <w:rPr>
          <w:sz w:val="20"/>
          <w:szCs w:val="20"/>
          <w:color w:val="auto"/>
        </w:rPr>
      </w:pPr>
    </w:p>
    <w:p>
      <w:pPr>
        <w:ind w:left="5" w:right="380"/>
        <w:spacing w:after="0" w:line="257" w:lineRule="auto"/>
        <w:rPr>
          <w:sz w:val="20"/>
          <w:szCs w:val="20"/>
          <w:color w:val="auto"/>
        </w:rPr>
      </w:pPr>
      <w:r>
        <w:rPr>
          <w:rFonts w:ascii="Arial" w:cs="Arial" w:eastAsia="Arial" w:hAnsi="Arial"/>
          <w:sz w:val="17"/>
          <w:szCs w:val="17"/>
          <w:color w:val="auto"/>
        </w:rPr>
        <w:t>Department of the Air Force. Mr. Johnson is presently a director of the Council on Foreign Relations, and formerly served as a director of PG&amp;E Corporation from May 2017 to March 2018.</w:t>
      </w:r>
    </w:p>
    <w:p>
      <w:pPr>
        <w:spacing w:after="0" w:line="100" w:lineRule="exact"/>
        <w:rPr>
          <w:sz w:val="20"/>
          <w:szCs w:val="20"/>
          <w:color w:val="auto"/>
        </w:rPr>
      </w:pPr>
    </w:p>
    <w:p>
      <w:pPr>
        <w:ind w:left="5"/>
        <w:spacing w:after="0"/>
        <w:rPr>
          <w:sz w:val="20"/>
          <w:szCs w:val="20"/>
          <w:color w:val="auto"/>
        </w:rPr>
      </w:pPr>
      <w:r>
        <w:rPr>
          <w:rFonts w:ascii="Arial" w:cs="Arial" w:eastAsia="Arial" w:hAnsi="Arial"/>
          <w:sz w:val="16"/>
          <w:szCs w:val="16"/>
          <w:color w:val="002E6D"/>
        </w:rPr>
        <w:t>Skills, Qualifications and Core Competencies</w:t>
      </w:r>
    </w:p>
    <w:p>
      <w:pPr>
        <w:spacing w:after="0" w:line="23" w:lineRule="exact"/>
        <w:rPr>
          <w:sz w:val="20"/>
          <w:szCs w:val="20"/>
          <w:color w:val="auto"/>
        </w:rPr>
      </w:pPr>
    </w:p>
    <w:p>
      <w:pPr>
        <w:ind w:left="185" w:right="40" w:hanging="185"/>
        <w:spacing w:after="0" w:line="255" w:lineRule="auto"/>
        <w:tabs>
          <w:tab w:leader="none" w:pos="159" w:val="left"/>
        </w:tabs>
        <w:numPr>
          <w:ilvl w:val="0"/>
          <w:numId w:val="26"/>
        </w:numPr>
        <w:rPr>
          <w:rFonts w:ascii="Arial" w:cs="Arial" w:eastAsia="Arial" w:hAnsi="Arial"/>
          <w:sz w:val="17"/>
          <w:szCs w:val="17"/>
          <w:color w:val="002E6D"/>
        </w:rPr>
      </w:pPr>
      <w:r>
        <w:rPr>
          <w:rFonts w:ascii="Arial" w:cs="Arial" w:eastAsia="Arial" w:hAnsi="Arial"/>
          <w:sz w:val="17"/>
          <w:szCs w:val="17"/>
          <w:color w:val="auto"/>
        </w:rPr>
        <w:t>Expertise in national security, leadership development and organizational preparedness from his service as U.S. Secretary of Homeland Security</w:t>
      </w:r>
    </w:p>
    <w:p>
      <w:pPr>
        <w:spacing w:after="0" w:line="1" w:lineRule="exact"/>
        <w:rPr>
          <w:rFonts w:ascii="Arial" w:cs="Arial" w:eastAsia="Arial" w:hAnsi="Arial"/>
          <w:sz w:val="17"/>
          <w:szCs w:val="17"/>
          <w:color w:val="002E6D"/>
        </w:rPr>
      </w:pPr>
    </w:p>
    <w:p>
      <w:pPr>
        <w:ind w:left="185" w:right="320" w:hanging="185"/>
        <w:spacing w:after="0" w:line="255" w:lineRule="auto"/>
        <w:tabs>
          <w:tab w:leader="none" w:pos="159" w:val="left"/>
        </w:tabs>
        <w:numPr>
          <w:ilvl w:val="0"/>
          <w:numId w:val="26"/>
        </w:numPr>
        <w:rPr>
          <w:rFonts w:ascii="Arial" w:cs="Arial" w:eastAsia="Arial" w:hAnsi="Arial"/>
          <w:sz w:val="17"/>
          <w:szCs w:val="17"/>
          <w:color w:val="002E6D"/>
        </w:rPr>
      </w:pPr>
      <w:r>
        <w:rPr>
          <w:rFonts w:ascii="Arial" w:cs="Arial" w:eastAsia="Arial" w:hAnsi="Arial"/>
          <w:sz w:val="17"/>
          <w:szCs w:val="17"/>
          <w:color w:val="auto"/>
        </w:rPr>
        <w:t>Industry-specific expertise and insight into our core customers, including requirements for acquisition of products and services, from prior senior leadership positions with the military</w:t>
      </w:r>
    </w:p>
    <w:p>
      <w:pPr>
        <w:spacing w:after="0" w:line="1" w:lineRule="exact"/>
        <w:rPr>
          <w:rFonts w:ascii="Arial" w:cs="Arial" w:eastAsia="Arial" w:hAnsi="Arial"/>
          <w:sz w:val="17"/>
          <w:szCs w:val="17"/>
          <w:color w:val="002E6D"/>
        </w:rPr>
      </w:pPr>
    </w:p>
    <w:p>
      <w:pPr>
        <w:ind w:left="185" w:right="1000" w:hanging="185"/>
        <w:spacing w:after="0" w:line="257" w:lineRule="auto"/>
        <w:tabs>
          <w:tab w:leader="none" w:pos="159" w:val="left"/>
        </w:tabs>
        <w:numPr>
          <w:ilvl w:val="0"/>
          <w:numId w:val="26"/>
        </w:numPr>
        <w:rPr>
          <w:rFonts w:ascii="Arial" w:cs="Arial" w:eastAsia="Arial" w:hAnsi="Arial"/>
          <w:sz w:val="17"/>
          <w:szCs w:val="17"/>
          <w:color w:val="002E6D"/>
        </w:rPr>
      </w:pPr>
      <w:r>
        <w:rPr>
          <w:rFonts w:ascii="Arial" w:cs="Arial" w:eastAsia="Arial" w:hAnsi="Arial"/>
          <w:sz w:val="17"/>
          <w:szCs w:val="17"/>
          <w:color w:val="auto"/>
        </w:rPr>
        <w:t>Experience with large organization management and assessing human resources, equipment, cybersecurity, and financial requirements, as well as reputational risks</w:t>
      </w:r>
    </w:p>
    <w:p>
      <w:pPr>
        <w:spacing w:after="0" w:line="394" w:lineRule="exact"/>
        <w:rPr>
          <w:sz w:val="20"/>
          <w:szCs w:val="20"/>
          <w:color w:val="auto"/>
        </w:rPr>
      </w:pPr>
    </w:p>
    <w:tbl>
      <w:tblPr>
        <w:tblLayout w:type="fixed"/>
        <w:tblInd w:w="445" w:type="dxa"/>
        <w:tblCellMar>
          <w:top w:w="0" w:type="dxa"/>
          <w:left w:w="0" w:type="dxa"/>
          <w:bottom w:w="0" w:type="dxa"/>
          <w:right w:w="0" w:type="dxa"/>
        </w:tblCellMar>
      </w:tblPr>
      <w:tr>
        <w:trPr>
          <w:trHeight w:val="195"/>
        </w:trPr>
        <w:tc>
          <w:tcPr>
            <w:tcW w:w="2460" w:type="dxa"/>
            <w:vAlign w:val="bottom"/>
            <w:vMerge w:val="restart"/>
          </w:tcPr>
          <w:p>
            <w:pPr>
              <w:spacing w:after="0"/>
              <w:rPr>
                <w:sz w:val="20"/>
                <w:szCs w:val="20"/>
                <w:color w:val="auto"/>
              </w:rPr>
            </w:pPr>
            <w:r>
              <w:rPr>
                <w:rFonts w:ascii="Arial" w:cs="Arial" w:eastAsia="Arial" w:hAnsi="Arial"/>
                <w:sz w:val="17"/>
                <w:szCs w:val="17"/>
                <w:color w:val="auto"/>
              </w:rPr>
              <w:t>Human Capital Management</w:t>
            </w:r>
          </w:p>
        </w:tc>
        <w:tc>
          <w:tcPr>
            <w:tcW w:w="2660" w:type="dxa"/>
            <w:vAlign w:val="bottom"/>
          </w:tcPr>
          <w:p>
            <w:pPr>
              <w:ind w:left="300"/>
              <w:spacing w:after="0"/>
              <w:rPr>
                <w:sz w:val="20"/>
                <w:szCs w:val="20"/>
                <w:color w:val="auto"/>
              </w:rPr>
            </w:pPr>
            <w:r>
              <w:rPr>
                <w:rFonts w:ascii="Arial" w:cs="Arial" w:eastAsia="Arial" w:hAnsi="Arial"/>
                <w:sz w:val="17"/>
                <w:szCs w:val="17"/>
                <w:color w:val="auto"/>
              </w:rPr>
              <w:t>Government/Military</w:t>
            </w:r>
          </w:p>
        </w:tc>
        <w:tc>
          <w:tcPr>
            <w:tcW w:w="1800" w:type="dxa"/>
            <w:vAlign w:val="bottom"/>
            <w:vMerge w:val="restart"/>
          </w:tcPr>
          <w:p>
            <w:pPr>
              <w:ind w:left="420"/>
              <w:spacing w:after="0"/>
              <w:rPr>
                <w:sz w:val="20"/>
                <w:szCs w:val="20"/>
                <w:color w:val="auto"/>
              </w:rPr>
            </w:pPr>
            <w:r>
              <w:rPr>
                <w:rFonts w:ascii="Arial" w:cs="Arial" w:eastAsia="Arial" w:hAnsi="Arial"/>
                <w:sz w:val="17"/>
                <w:szCs w:val="17"/>
                <w:color w:val="auto"/>
                <w:w w:val="97"/>
              </w:rPr>
              <w:t>Global Experience</w:t>
            </w:r>
          </w:p>
        </w:tc>
        <w:tc>
          <w:tcPr>
            <w:tcW w:w="0" w:type="dxa"/>
            <w:vAlign w:val="bottom"/>
          </w:tcPr>
          <w:p>
            <w:pPr>
              <w:spacing w:after="0"/>
              <w:rPr>
                <w:sz w:val="1"/>
                <w:szCs w:val="1"/>
                <w:color w:val="auto"/>
              </w:rPr>
            </w:pPr>
          </w:p>
        </w:tc>
      </w:tr>
      <w:tr>
        <w:trPr>
          <w:trHeight w:val="110"/>
        </w:trPr>
        <w:tc>
          <w:tcPr>
            <w:tcW w:w="2460" w:type="dxa"/>
            <w:vAlign w:val="bottom"/>
            <w:vMerge w:val="continue"/>
          </w:tcPr>
          <w:p>
            <w:pPr>
              <w:spacing w:after="0"/>
              <w:rPr>
                <w:sz w:val="9"/>
                <w:szCs w:val="9"/>
                <w:color w:val="auto"/>
              </w:rPr>
            </w:pPr>
          </w:p>
        </w:tc>
        <w:tc>
          <w:tcPr>
            <w:tcW w:w="2660" w:type="dxa"/>
            <w:vAlign w:val="bottom"/>
            <w:vMerge w:val="restart"/>
          </w:tcPr>
          <w:p>
            <w:pPr>
              <w:ind w:left="300"/>
              <w:spacing w:after="0"/>
              <w:rPr>
                <w:sz w:val="20"/>
                <w:szCs w:val="20"/>
                <w:color w:val="auto"/>
              </w:rPr>
            </w:pPr>
            <w:r>
              <w:rPr>
                <w:rFonts w:ascii="Arial" w:cs="Arial" w:eastAsia="Arial" w:hAnsi="Arial"/>
                <w:sz w:val="17"/>
                <w:szCs w:val="17"/>
                <w:color w:val="auto"/>
              </w:rPr>
              <w:t>Experience</w:t>
            </w:r>
          </w:p>
        </w:tc>
        <w:tc>
          <w:tcPr>
            <w:tcW w:w="1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460" w:type="dxa"/>
            <w:vAlign w:val="bottom"/>
          </w:tcPr>
          <w:p>
            <w:pPr>
              <w:spacing w:after="0"/>
              <w:rPr>
                <w:sz w:val="8"/>
                <w:szCs w:val="8"/>
                <w:color w:val="auto"/>
              </w:rPr>
            </w:pPr>
          </w:p>
        </w:tc>
        <w:tc>
          <w:tcPr>
            <w:tcW w:w="2660" w:type="dxa"/>
            <w:vAlign w:val="bottom"/>
            <w:vMerge w:val="continue"/>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2460" w:type="dxa"/>
            <w:vAlign w:val="bottom"/>
            <w:vMerge w:val="restart"/>
          </w:tcPr>
          <w:p>
            <w:pPr>
              <w:spacing w:after="0"/>
              <w:rPr>
                <w:sz w:val="20"/>
                <w:szCs w:val="20"/>
                <w:color w:val="auto"/>
              </w:rPr>
            </w:pPr>
            <w:r>
              <w:rPr>
                <w:rFonts w:ascii="Arial" w:cs="Arial" w:eastAsia="Arial" w:hAnsi="Arial"/>
                <w:sz w:val="17"/>
                <w:szCs w:val="17"/>
                <w:color w:val="auto"/>
              </w:rPr>
              <w:t>Risk Management</w:t>
            </w:r>
          </w:p>
        </w:tc>
        <w:tc>
          <w:tcPr>
            <w:tcW w:w="2660" w:type="dxa"/>
            <w:vAlign w:val="bottom"/>
          </w:tcPr>
          <w:p>
            <w:pPr>
              <w:ind w:left="300"/>
              <w:spacing w:after="0"/>
              <w:rPr>
                <w:sz w:val="20"/>
                <w:szCs w:val="20"/>
                <w:color w:val="auto"/>
              </w:rPr>
            </w:pPr>
            <w:r>
              <w:rPr>
                <w:rFonts w:ascii="Arial" w:cs="Arial" w:eastAsia="Arial" w:hAnsi="Arial"/>
                <w:sz w:val="17"/>
                <w:szCs w:val="17"/>
                <w:color w:val="auto"/>
              </w:rPr>
              <w:t>Cybersecurity/Information</w:t>
            </w: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3"/>
        </w:trPr>
        <w:tc>
          <w:tcPr>
            <w:tcW w:w="2460" w:type="dxa"/>
            <w:vAlign w:val="bottom"/>
            <w:vMerge w:val="continue"/>
          </w:tcPr>
          <w:p>
            <w:pPr>
              <w:spacing w:after="0"/>
              <w:rPr>
                <w:sz w:val="10"/>
                <w:szCs w:val="10"/>
                <w:color w:val="auto"/>
              </w:rPr>
            </w:pPr>
          </w:p>
        </w:tc>
        <w:tc>
          <w:tcPr>
            <w:tcW w:w="2660" w:type="dxa"/>
            <w:vAlign w:val="bottom"/>
            <w:vMerge w:val="restart"/>
          </w:tcPr>
          <w:p>
            <w:pPr>
              <w:ind w:left="300"/>
              <w:spacing w:after="0"/>
              <w:rPr>
                <w:sz w:val="20"/>
                <w:szCs w:val="20"/>
                <w:color w:val="auto"/>
              </w:rPr>
            </w:pPr>
            <w:r>
              <w:rPr>
                <w:rFonts w:ascii="Arial" w:cs="Arial" w:eastAsia="Arial" w:hAnsi="Arial"/>
                <w:sz w:val="17"/>
                <w:szCs w:val="17"/>
                <w:color w:val="auto"/>
              </w:rPr>
              <w:t>Technology</w:t>
            </w:r>
          </w:p>
        </w:tc>
        <w:tc>
          <w:tcPr>
            <w:tcW w:w="1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2660" w:type="dxa"/>
            <w:vAlign w:val="bottom"/>
            <w:vMerge w:val="continue"/>
          </w:tcPr>
          <w:p>
            <w:pPr>
              <w:spacing w:after="0"/>
              <w:rPr>
                <w:sz w:val="7"/>
                <w:szCs w:val="7"/>
                <w:color w:val="auto"/>
              </w:rPr>
            </w:pPr>
          </w:p>
        </w:tc>
        <w:tc>
          <w:tcPr>
            <w:tcW w:w="18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560" w:lineRule="exact"/>
        <w:rPr>
          <w:sz w:val="20"/>
          <w:szCs w:val="20"/>
          <w:color w:val="auto"/>
        </w:rPr>
      </w:pPr>
    </w:p>
    <w:p>
      <w:pPr>
        <w:sectPr>
          <w:pgSz w:w="11900" w:h="16838" w:orient="portrait"/>
          <w:cols w:equalWidth="0" w:num="2">
            <w:col w:w="2235" w:space="720"/>
            <w:col w:w="8245"/>
          </w:cols>
          <w:pgMar w:left="320" w:top="254" w:right="379" w:bottom="1440" w:gutter="0" w:footer="0" w:header="0"/>
          <w:type w:val="continuous"/>
        </w:sectPr>
      </w:pPr>
    </w:p>
    <w:p>
      <w:pPr>
        <w:spacing w:after="0" w:line="200" w:lineRule="exact"/>
        <w:rPr>
          <w:sz w:val="20"/>
          <w:szCs w:val="20"/>
          <w:color w:val="auto"/>
        </w:rPr>
      </w:pPr>
    </w:p>
    <w:p>
      <w:pPr>
        <w:spacing w:after="0" w:line="390" w:lineRule="exact"/>
        <w:rPr>
          <w:sz w:val="20"/>
          <w:szCs w:val="20"/>
          <w:color w:val="auto"/>
        </w:rPr>
      </w:pPr>
    </w:p>
    <w:p>
      <w:pPr>
        <w:ind w:left="220" w:hanging="213"/>
        <w:spacing w:after="0"/>
        <w:tabs>
          <w:tab w:leader="none" w:pos="220" w:val="left"/>
        </w:tabs>
        <w:numPr>
          <w:ilvl w:val="0"/>
          <w:numId w:val="27"/>
        </w:numPr>
        <w:rPr>
          <w:rFonts w:ascii="Arial" w:cs="Arial" w:eastAsia="Arial" w:hAnsi="Arial"/>
          <w:sz w:val="14"/>
          <w:szCs w:val="14"/>
          <w:color w:val="9D9D9C"/>
        </w:rPr>
      </w:pPr>
      <w:r>
        <w:rPr>
          <w:rFonts w:ascii="Arial" w:cs="Arial" w:eastAsia="Arial" w:hAnsi="Arial"/>
          <w:sz w:val="14"/>
          <w:szCs w:val="14"/>
          <w:color w:val="9D9D9C"/>
        </w:rPr>
        <w:t>Outside public board committees are listed in the Proxy Summary on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253365</wp:posOffset>
            </wp:positionV>
            <wp:extent cx="963930" cy="2216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13</w:t>
      </w:r>
    </w:p>
    <w:p>
      <w:pPr>
        <w:sectPr>
          <w:pgSz w:w="11900" w:h="16838" w:orient="portrait"/>
          <w:cols w:equalWidth="0" w:num="1">
            <w:col w:w="11200"/>
          </w:cols>
          <w:pgMar w:left="320" w:top="254" w:right="379" w:bottom="1440" w:gutter="0" w:footer="0" w:header="0"/>
          <w:type w:val="continuous"/>
        </w:sectPr>
      </w:pPr>
    </w:p>
    <w:bookmarkStart w:id="19" w:name="page20"/>
    <w:bookmarkEnd w:id="19"/>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447040</wp:posOffset>
            </wp:positionV>
            <wp:extent cx="7141210" cy="3319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1210" cy="33191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7"/>
          <w:szCs w:val="17"/>
          <w:color w:val="003478"/>
          <w:shd w:val="clear" w:color="auto" w:fill="E5E7EF"/>
        </w:rPr>
        <w:t>Debra L. Reed-Klages</w:t>
      </w:r>
    </w:p>
    <w:p>
      <w:pPr>
        <w:spacing w:after="0" w:line="116" w:lineRule="exact"/>
        <w:rPr>
          <w:sz w:val="20"/>
          <w:szCs w:val="20"/>
          <w:color w:val="auto"/>
        </w:rPr>
      </w:pPr>
    </w:p>
    <w:p>
      <w:pPr>
        <w:ind w:left="220"/>
        <w:spacing w:after="0"/>
        <w:rPr>
          <w:sz w:val="20"/>
          <w:szCs w:val="20"/>
          <w:color w:val="auto"/>
        </w:rPr>
      </w:pPr>
      <w:r>
        <w:rPr>
          <w:rFonts w:ascii="Arial" w:cs="Arial" w:eastAsia="Arial" w:hAnsi="Arial"/>
          <w:sz w:val="16"/>
          <w:szCs w:val="16"/>
          <w:color w:val="003478"/>
          <w:shd w:val="clear" w:color="auto" w:fill="E5E7EF"/>
        </w:rPr>
        <w:t xml:space="preserve">Age </w:t>
      </w:r>
      <w:r>
        <w:rPr>
          <w:rFonts w:ascii="Arial" w:cs="Arial" w:eastAsia="Arial" w:hAnsi="Arial"/>
          <w:sz w:val="16"/>
          <w:szCs w:val="16"/>
          <w:color w:val="003478"/>
        </w:rPr>
        <w:t>65</w:t>
      </w:r>
    </w:p>
    <w:p>
      <w:pPr>
        <w:spacing w:after="0" w:line="71" w:lineRule="exact"/>
        <w:rPr>
          <w:sz w:val="20"/>
          <w:szCs w:val="20"/>
          <w:color w:val="auto"/>
        </w:rPr>
      </w:pPr>
    </w:p>
    <w:p>
      <w:pPr>
        <w:ind w:left="220" w:right="515"/>
        <w:spacing w:after="0"/>
        <w:rPr>
          <w:sz w:val="20"/>
          <w:szCs w:val="20"/>
          <w:color w:val="auto"/>
        </w:rPr>
      </w:pPr>
      <w:r>
        <w:rPr>
          <w:rFonts w:ascii="Arial" w:cs="Arial" w:eastAsia="Arial" w:hAnsi="Arial"/>
          <w:sz w:val="16"/>
          <w:szCs w:val="16"/>
          <w:color w:val="003478"/>
          <w:shd w:val="clear" w:color="auto" w:fill="E5E7EF"/>
        </w:rPr>
        <w:t xml:space="preserve">Director since </w:t>
      </w:r>
      <w:r>
        <w:rPr>
          <w:rFonts w:ascii="Arial" w:cs="Arial" w:eastAsia="Arial" w:hAnsi="Arial"/>
          <w:sz w:val="16"/>
          <w:szCs w:val="16"/>
          <w:color w:val="003478"/>
        </w:rPr>
        <w:t>2019</w:t>
      </w:r>
      <w:r>
        <w:rPr>
          <w:rFonts w:ascii="Arial" w:cs="Arial" w:eastAsia="Arial" w:hAnsi="Arial"/>
          <w:sz w:val="16"/>
          <w:szCs w:val="16"/>
          <w:color w:val="003478"/>
          <w:shd w:val="clear" w:color="auto" w:fill="E5E7EF"/>
        </w:rPr>
        <w:t xml:space="preserve"> Independent Director</w:t>
      </w:r>
    </w:p>
    <w:p>
      <w:pPr>
        <w:spacing w:after="0" w:line="80"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Committees</w:t>
      </w:r>
    </w:p>
    <w:p>
      <w:pPr>
        <w:ind w:left="220"/>
        <w:spacing w:after="0" w:line="227" w:lineRule="auto"/>
        <w:rPr>
          <w:sz w:val="20"/>
          <w:szCs w:val="20"/>
          <w:color w:val="auto"/>
        </w:rPr>
      </w:pPr>
      <w:r>
        <w:rPr>
          <w:rFonts w:ascii="Arial" w:cs="Arial" w:eastAsia="Arial" w:hAnsi="Arial"/>
          <w:sz w:val="16"/>
          <w:szCs w:val="16"/>
          <w:color w:val="003478"/>
        </w:rPr>
        <w:t>Audit; Management</w:t>
      </w:r>
    </w:p>
    <w:p>
      <w:pPr>
        <w:ind w:left="220"/>
        <w:spacing w:after="0" w:line="228" w:lineRule="auto"/>
        <w:rPr>
          <w:sz w:val="20"/>
          <w:szCs w:val="20"/>
          <w:color w:val="auto"/>
        </w:rPr>
      </w:pPr>
      <w:r>
        <w:rPr>
          <w:rFonts w:ascii="Arial" w:cs="Arial" w:eastAsia="Arial" w:hAnsi="Arial"/>
          <w:sz w:val="16"/>
          <w:szCs w:val="16"/>
          <w:color w:val="003478"/>
        </w:rPr>
        <w:t>Development and</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Compensation</w:t>
      </w:r>
    </w:p>
    <w:p>
      <w:pPr>
        <w:spacing w:after="0" w:line="98" w:lineRule="exact"/>
        <w:rPr>
          <w:sz w:val="20"/>
          <w:szCs w:val="20"/>
          <w:color w:val="auto"/>
        </w:rPr>
      </w:pPr>
    </w:p>
    <w:p>
      <w:pPr>
        <w:ind w:left="220" w:right="415"/>
        <w:spacing w:after="0" w:line="236" w:lineRule="auto"/>
        <w:rPr>
          <w:sz w:val="20"/>
          <w:szCs w:val="20"/>
          <w:color w:val="auto"/>
        </w:rPr>
      </w:pPr>
      <w:r>
        <w:rPr>
          <w:rFonts w:ascii="Arial" w:cs="Arial" w:eastAsia="Arial" w:hAnsi="Arial"/>
          <w:sz w:val="16"/>
          <w:szCs w:val="16"/>
          <w:color w:val="003478"/>
          <w:shd w:val="clear" w:color="auto" w:fill="E5E7EF"/>
        </w:rPr>
        <w:t xml:space="preserve">Other Current Boards* </w:t>
      </w:r>
      <w:r>
        <w:rPr>
          <w:rFonts w:ascii="Arial" w:cs="Arial" w:eastAsia="Arial" w:hAnsi="Arial"/>
          <w:sz w:val="16"/>
          <w:szCs w:val="16"/>
          <w:color w:val="003478"/>
        </w:rPr>
        <w:t>Chevron Corporation Caterpillar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
        <w:spacing w:after="0"/>
        <w:rPr>
          <w:sz w:val="20"/>
          <w:szCs w:val="20"/>
          <w:color w:val="auto"/>
        </w:rPr>
      </w:pPr>
      <w:r>
        <w:rPr>
          <w:rFonts w:ascii="Arial" w:cs="Arial" w:eastAsia="Arial" w:hAnsi="Arial"/>
          <w:sz w:val="16"/>
          <w:szCs w:val="16"/>
          <w:color w:val="003478"/>
        </w:rPr>
        <w:t>Biography</w:t>
      </w:r>
    </w:p>
    <w:p>
      <w:pPr>
        <w:spacing w:after="0" w:line="23" w:lineRule="exact"/>
        <w:rPr>
          <w:sz w:val="20"/>
          <w:szCs w:val="20"/>
          <w:color w:val="auto"/>
        </w:rPr>
      </w:pPr>
    </w:p>
    <w:p>
      <w:pPr>
        <w:ind w:left="5" w:right="60"/>
        <w:spacing w:after="0" w:line="248" w:lineRule="auto"/>
        <w:rPr>
          <w:sz w:val="20"/>
          <w:szCs w:val="20"/>
          <w:color w:val="auto"/>
        </w:rPr>
      </w:pPr>
      <w:r>
        <w:rPr>
          <w:rFonts w:ascii="Arial" w:cs="Arial" w:eastAsia="Arial" w:hAnsi="Arial"/>
          <w:sz w:val="17"/>
          <w:szCs w:val="17"/>
          <w:color w:val="auto"/>
        </w:rPr>
        <w:t>Retired in December 2018 as Executive Chairman of Sempra Energy. She served as Chairman, President and Chief Executive Officer of Sempra Energy from March 2017 to May 2018, Chairman and Chief Executive Officer of Sempra Energy from December 2012 to March 2017 and Chief Executive Officer of Sempra Energy from June 2011 to December 2012. Previously, Ms. Reed-Klages served as an Executive Vice President of Sempra Energy and as President and Chief Executive Officer of SDG&amp;E and SoCalGas, Sempra Energy’s regulated California utilities. She was also previously President, Chief Operating Officer and CFO of SDG&amp;E and SoCalGas. She previously served on the boards of directors of Halliburton Company from January 2001 to September 2018 and Oncor Electric Delivery Company LLC during 2018.</w:t>
      </w:r>
    </w:p>
    <w:p>
      <w:pPr>
        <w:spacing w:after="0" w:line="112" w:lineRule="exact"/>
        <w:rPr>
          <w:sz w:val="20"/>
          <w:szCs w:val="20"/>
          <w:color w:val="auto"/>
        </w:rPr>
      </w:pPr>
    </w:p>
    <w:p>
      <w:pPr>
        <w:ind w:left="5"/>
        <w:spacing w:after="0"/>
        <w:rPr>
          <w:sz w:val="20"/>
          <w:szCs w:val="20"/>
          <w:color w:val="auto"/>
        </w:rPr>
      </w:pPr>
      <w:r>
        <w:rPr>
          <w:rFonts w:ascii="Arial" w:cs="Arial" w:eastAsia="Arial" w:hAnsi="Arial"/>
          <w:sz w:val="16"/>
          <w:szCs w:val="16"/>
          <w:color w:val="002E6D"/>
        </w:rPr>
        <w:t>Skills, Qualifications and Core Competencies</w:t>
      </w:r>
    </w:p>
    <w:p>
      <w:pPr>
        <w:spacing w:after="0" w:line="10" w:lineRule="exact"/>
        <w:rPr>
          <w:sz w:val="20"/>
          <w:szCs w:val="20"/>
          <w:color w:val="auto"/>
        </w:rPr>
      </w:pPr>
    </w:p>
    <w:p>
      <w:pPr>
        <w:ind w:left="185" w:right="460" w:hanging="185"/>
        <w:spacing w:after="0" w:line="255" w:lineRule="auto"/>
        <w:tabs>
          <w:tab w:leader="none" w:pos="159" w:val="left"/>
        </w:tabs>
        <w:numPr>
          <w:ilvl w:val="0"/>
          <w:numId w:val="28"/>
        </w:numPr>
        <w:rPr>
          <w:rFonts w:ascii="Arial" w:cs="Arial" w:eastAsia="Arial" w:hAnsi="Arial"/>
          <w:sz w:val="17"/>
          <w:szCs w:val="17"/>
          <w:color w:val="002E6D"/>
        </w:rPr>
      </w:pPr>
      <w:r>
        <w:rPr>
          <w:rFonts w:ascii="Arial" w:cs="Arial" w:eastAsia="Arial" w:hAnsi="Arial"/>
          <w:sz w:val="17"/>
          <w:szCs w:val="17"/>
          <w:color w:val="auto"/>
        </w:rPr>
        <w:t>Experience with the demands and challenges associated with managing global organizations from her experience as Chairman, President and Chief Executive Officer of Sempra Energy</w:t>
      </w:r>
    </w:p>
    <w:p>
      <w:pPr>
        <w:spacing w:after="0" w:line="1" w:lineRule="exact"/>
        <w:rPr>
          <w:rFonts w:ascii="Arial" w:cs="Arial" w:eastAsia="Arial" w:hAnsi="Arial"/>
          <w:sz w:val="17"/>
          <w:szCs w:val="17"/>
          <w:color w:val="002E6D"/>
        </w:rPr>
      </w:pPr>
    </w:p>
    <w:p>
      <w:pPr>
        <w:ind w:left="165" w:hanging="165"/>
        <w:spacing w:after="0"/>
        <w:tabs>
          <w:tab w:leader="none" w:pos="165" w:val="left"/>
        </w:tabs>
        <w:numPr>
          <w:ilvl w:val="0"/>
          <w:numId w:val="28"/>
        </w:numPr>
        <w:rPr>
          <w:rFonts w:ascii="Arial" w:cs="Arial" w:eastAsia="Arial" w:hAnsi="Arial"/>
          <w:sz w:val="17"/>
          <w:szCs w:val="17"/>
          <w:color w:val="002E6D"/>
        </w:rPr>
      </w:pPr>
      <w:r>
        <w:rPr>
          <w:rFonts w:ascii="Arial" w:cs="Arial" w:eastAsia="Arial" w:hAnsi="Arial"/>
          <w:sz w:val="17"/>
          <w:szCs w:val="17"/>
          <w:color w:val="auto"/>
        </w:rPr>
        <w:t>Skilled in enterprise risk management, environmental, safety and sustainability</w:t>
      </w:r>
    </w:p>
    <w:p>
      <w:pPr>
        <w:spacing w:after="0" w:line="32" w:lineRule="exact"/>
        <w:rPr>
          <w:rFonts w:ascii="Arial" w:cs="Arial" w:eastAsia="Arial" w:hAnsi="Arial"/>
          <w:sz w:val="17"/>
          <w:szCs w:val="17"/>
          <w:color w:val="002E6D"/>
        </w:rPr>
      </w:pPr>
    </w:p>
    <w:p>
      <w:pPr>
        <w:ind w:left="185" w:right="620" w:hanging="185"/>
        <w:spacing w:after="0" w:line="257" w:lineRule="auto"/>
        <w:tabs>
          <w:tab w:leader="none" w:pos="159" w:val="left"/>
        </w:tabs>
        <w:numPr>
          <w:ilvl w:val="0"/>
          <w:numId w:val="28"/>
        </w:numPr>
        <w:rPr>
          <w:rFonts w:ascii="Arial" w:cs="Arial" w:eastAsia="Arial" w:hAnsi="Arial"/>
          <w:sz w:val="17"/>
          <w:szCs w:val="17"/>
          <w:color w:val="002E6D"/>
        </w:rPr>
      </w:pPr>
      <w:r>
        <w:rPr>
          <w:rFonts w:ascii="Arial" w:cs="Arial" w:eastAsia="Arial" w:hAnsi="Arial"/>
          <w:sz w:val="17"/>
          <w:szCs w:val="17"/>
          <w:color w:val="auto"/>
        </w:rPr>
        <w:t>Knowledge of financial system management, compensation, governance and public company board experience</w:t>
      </w:r>
    </w:p>
    <w:p>
      <w:pPr>
        <w:spacing w:after="0" w:line="353" w:lineRule="exact"/>
        <w:rPr>
          <w:sz w:val="20"/>
          <w:szCs w:val="20"/>
          <w:color w:val="auto"/>
        </w:rPr>
      </w:pPr>
    </w:p>
    <w:tbl>
      <w:tblPr>
        <w:tblLayout w:type="fixed"/>
        <w:tblInd w:w="445" w:type="dxa"/>
        <w:tblCellMar>
          <w:top w:w="0" w:type="dxa"/>
          <w:left w:w="0" w:type="dxa"/>
          <w:bottom w:w="0" w:type="dxa"/>
          <w:right w:w="0" w:type="dxa"/>
        </w:tblCellMar>
      </w:tblPr>
      <w:tr>
        <w:trPr>
          <w:trHeight w:val="195"/>
        </w:trPr>
        <w:tc>
          <w:tcPr>
            <w:tcW w:w="2380" w:type="dxa"/>
            <w:vAlign w:val="bottom"/>
          </w:tcPr>
          <w:p>
            <w:pPr>
              <w:spacing w:after="0"/>
              <w:rPr>
                <w:sz w:val="20"/>
                <w:szCs w:val="20"/>
                <w:color w:val="auto"/>
              </w:rPr>
            </w:pPr>
            <w:r>
              <w:rPr>
                <w:rFonts w:ascii="Arial" w:cs="Arial" w:eastAsia="Arial" w:hAnsi="Arial"/>
                <w:sz w:val="17"/>
                <w:szCs w:val="17"/>
                <w:color w:val="auto"/>
              </w:rPr>
              <w:t>CEO Leadership</w:t>
            </w:r>
          </w:p>
        </w:tc>
        <w:tc>
          <w:tcPr>
            <w:tcW w:w="2660" w:type="dxa"/>
            <w:vAlign w:val="bottom"/>
          </w:tcPr>
          <w:p>
            <w:pPr>
              <w:ind w:left="380"/>
              <w:spacing w:after="0"/>
              <w:rPr>
                <w:sz w:val="20"/>
                <w:szCs w:val="20"/>
                <w:color w:val="auto"/>
              </w:rPr>
            </w:pPr>
            <w:r>
              <w:rPr>
                <w:rFonts w:ascii="Arial" w:cs="Arial" w:eastAsia="Arial" w:hAnsi="Arial"/>
                <w:sz w:val="17"/>
                <w:szCs w:val="17"/>
                <w:color w:val="auto"/>
              </w:rPr>
              <w:t>Environmental, Safety &amp;</w:t>
            </w:r>
          </w:p>
        </w:tc>
        <w:tc>
          <w:tcPr>
            <w:tcW w:w="2640" w:type="dxa"/>
            <w:vAlign w:val="bottom"/>
            <w:vMerge w:val="restart"/>
          </w:tcPr>
          <w:p>
            <w:pPr>
              <w:ind w:left="480"/>
              <w:spacing w:after="0"/>
              <w:rPr>
                <w:sz w:val="20"/>
                <w:szCs w:val="20"/>
                <w:color w:val="auto"/>
              </w:rPr>
            </w:pPr>
            <w:r>
              <w:rPr>
                <w:rFonts w:ascii="Arial" w:cs="Arial" w:eastAsia="Arial" w:hAnsi="Arial"/>
                <w:sz w:val="17"/>
                <w:szCs w:val="17"/>
                <w:color w:val="auto"/>
                <w:w w:val="98"/>
              </w:rPr>
              <w:t>Human Capital Management</w:t>
            </w:r>
          </w:p>
        </w:tc>
        <w:tc>
          <w:tcPr>
            <w:tcW w:w="0" w:type="dxa"/>
            <w:vAlign w:val="bottom"/>
          </w:tcPr>
          <w:p>
            <w:pPr>
              <w:spacing w:after="0"/>
              <w:rPr>
                <w:sz w:val="1"/>
                <w:szCs w:val="1"/>
                <w:color w:val="auto"/>
              </w:rPr>
            </w:pPr>
          </w:p>
        </w:tc>
      </w:tr>
      <w:tr>
        <w:trPr>
          <w:trHeight w:val="110"/>
        </w:trPr>
        <w:tc>
          <w:tcPr>
            <w:tcW w:w="2380" w:type="dxa"/>
            <w:vAlign w:val="bottom"/>
            <w:vMerge w:val="restart"/>
          </w:tcPr>
          <w:p>
            <w:pPr>
              <w:spacing w:after="0"/>
              <w:rPr>
                <w:sz w:val="20"/>
                <w:szCs w:val="20"/>
                <w:color w:val="auto"/>
              </w:rPr>
            </w:pPr>
            <w:r>
              <w:rPr>
                <w:rFonts w:ascii="Arial" w:cs="Arial" w:eastAsia="Arial" w:hAnsi="Arial"/>
                <w:sz w:val="17"/>
                <w:szCs w:val="17"/>
                <w:color w:val="auto"/>
              </w:rPr>
              <w:t>Experience</w:t>
            </w:r>
          </w:p>
        </w:tc>
        <w:tc>
          <w:tcPr>
            <w:tcW w:w="2660" w:type="dxa"/>
            <w:vAlign w:val="bottom"/>
            <w:vMerge w:val="restart"/>
          </w:tcPr>
          <w:p>
            <w:pPr>
              <w:ind w:left="380"/>
              <w:spacing w:after="0"/>
              <w:rPr>
                <w:sz w:val="20"/>
                <w:szCs w:val="20"/>
                <w:color w:val="auto"/>
              </w:rPr>
            </w:pPr>
            <w:r>
              <w:rPr>
                <w:rFonts w:ascii="Arial" w:cs="Arial" w:eastAsia="Arial" w:hAnsi="Arial"/>
                <w:sz w:val="17"/>
                <w:szCs w:val="17"/>
                <w:color w:val="auto"/>
              </w:rPr>
              <w:t>Sustainability</w:t>
            </w: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380" w:type="dxa"/>
            <w:vAlign w:val="bottom"/>
            <w:vMerge w:val="continue"/>
          </w:tcPr>
          <w:p>
            <w:pPr>
              <w:spacing w:after="0"/>
              <w:rPr>
                <w:sz w:val="8"/>
                <w:szCs w:val="8"/>
                <w:color w:val="auto"/>
              </w:rPr>
            </w:pPr>
          </w:p>
        </w:tc>
        <w:tc>
          <w:tcPr>
            <w:tcW w:w="2660" w:type="dxa"/>
            <w:vAlign w:val="bottom"/>
            <w:vMerge w:val="continue"/>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380" w:type="dxa"/>
            <w:vAlign w:val="bottom"/>
          </w:tcPr>
          <w:p>
            <w:pPr>
              <w:spacing w:after="0"/>
              <w:rPr>
                <w:sz w:val="20"/>
                <w:szCs w:val="20"/>
                <w:color w:val="auto"/>
              </w:rPr>
            </w:pPr>
            <w:r>
              <w:rPr>
                <w:rFonts w:ascii="Arial" w:cs="Arial" w:eastAsia="Arial" w:hAnsi="Arial"/>
                <w:sz w:val="17"/>
                <w:szCs w:val="17"/>
                <w:color w:val="auto"/>
              </w:rPr>
              <w:t>Financial Expert</w:t>
            </w:r>
          </w:p>
        </w:tc>
        <w:tc>
          <w:tcPr>
            <w:tcW w:w="2660" w:type="dxa"/>
            <w:vAlign w:val="bottom"/>
          </w:tcPr>
          <w:p>
            <w:pPr>
              <w:ind w:left="380"/>
              <w:spacing w:after="0"/>
              <w:rPr>
                <w:sz w:val="20"/>
                <w:szCs w:val="20"/>
                <w:color w:val="auto"/>
              </w:rPr>
            </w:pPr>
            <w:r>
              <w:rPr>
                <w:rFonts w:ascii="Arial" w:cs="Arial" w:eastAsia="Arial" w:hAnsi="Arial"/>
                <w:sz w:val="17"/>
                <w:szCs w:val="17"/>
                <w:color w:val="auto"/>
              </w:rPr>
              <w:t>Manufacturing</w:t>
            </w:r>
          </w:p>
        </w:tc>
        <w:tc>
          <w:tcPr>
            <w:tcW w:w="2640" w:type="dxa"/>
            <w:vAlign w:val="bottom"/>
          </w:tcPr>
          <w:p>
            <w:pPr>
              <w:ind w:left="480"/>
              <w:spacing w:after="0"/>
              <w:rPr>
                <w:sz w:val="20"/>
                <w:szCs w:val="20"/>
                <w:color w:val="auto"/>
              </w:rPr>
            </w:pPr>
            <w:r>
              <w:rPr>
                <w:rFonts w:ascii="Arial" w:cs="Arial" w:eastAsia="Arial" w:hAnsi="Arial"/>
                <w:sz w:val="17"/>
                <w:szCs w:val="17"/>
                <w:color w:val="auto"/>
              </w:rPr>
              <w:t>Global Experience</w:t>
            </w:r>
          </w:p>
        </w:tc>
        <w:tc>
          <w:tcPr>
            <w:tcW w:w="0" w:type="dxa"/>
            <w:vAlign w:val="bottom"/>
          </w:tcPr>
          <w:p>
            <w:pPr>
              <w:spacing w:after="0"/>
              <w:rPr>
                <w:sz w:val="1"/>
                <w:szCs w:val="1"/>
                <w:color w:val="auto"/>
              </w:rPr>
            </w:pPr>
          </w:p>
        </w:tc>
      </w:tr>
      <w:tr>
        <w:trPr>
          <w:trHeight w:val="334"/>
        </w:trPr>
        <w:tc>
          <w:tcPr>
            <w:tcW w:w="2380" w:type="dxa"/>
            <w:vAlign w:val="bottom"/>
          </w:tcPr>
          <w:p>
            <w:pPr>
              <w:spacing w:after="0"/>
              <w:rPr>
                <w:sz w:val="20"/>
                <w:szCs w:val="20"/>
                <w:color w:val="auto"/>
              </w:rPr>
            </w:pPr>
            <w:r>
              <w:rPr>
                <w:rFonts w:ascii="Arial" w:cs="Arial" w:eastAsia="Arial" w:hAnsi="Arial"/>
                <w:sz w:val="17"/>
                <w:szCs w:val="17"/>
                <w:color w:val="auto"/>
              </w:rPr>
              <w:t>Engineering, Technology &amp;</w:t>
            </w:r>
          </w:p>
        </w:tc>
        <w:tc>
          <w:tcPr>
            <w:tcW w:w="2660" w:type="dxa"/>
            <w:vAlign w:val="bottom"/>
            <w:vMerge w:val="restart"/>
          </w:tcPr>
          <w:p>
            <w:pPr>
              <w:ind w:left="380"/>
              <w:spacing w:after="0"/>
              <w:rPr>
                <w:sz w:val="20"/>
                <w:szCs w:val="20"/>
                <w:color w:val="auto"/>
              </w:rPr>
            </w:pPr>
            <w:r>
              <w:rPr>
                <w:rFonts w:ascii="Arial" w:cs="Arial" w:eastAsia="Arial" w:hAnsi="Arial"/>
                <w:sz w:val="17"/>
                <w:szCs w:val="17"/>
                <w:color w:val="auto"/>
              </w:rPr>
              <w:t>Risk Management</w:t>
            </w:r>
          </w:p>
        </w:tc>
        <w:tc>
          <w:tcPr>
            <w:tcW w:w="2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380" w:type="dxa"/>
            <w:vAlign w:val="bottom"/>
            <w:vMerge w:val="restart"/>
          </w:tcPr>
          <w:p>
            <w:pPr>
              <w:spacing w:after="0"/>
              <w:rPr>
                <w:sz w:val="20"/>
                <w:szCs w:val="20"/>
                <w:color w:val="auto"/>
              </w:rPr>
            </w:pPr>
            <w:r>
              <w:rPr>
                <w:rFonts w:ascii="Arial" w:cs="Arial" w:eastAsia="Arial" w:hAnsi="Arial"/>
                <w:sz w:val="17"/>
                <w:szCs w:val="17"/>
                <w:color w:val="auto"/>
              </w:rPr>
              <w:t>Innovation</w:t>
            </w:r>
          </w:p>
        </w:tc>
        <w:tc>
          <w:tcPr>
            <w:tcW w:w="2660" w:type="dxa"/>
            <w:vAlign w:val="bottom"/>
            <w:vMerge w:val="continue"/>
          </w:tcPr>
          <w:p>
            <w:pPr>
              <w:spacing w:after="0"/>
              <w:rPr>
                <w:sz w:val="9"/>
                <w:szCs w:val="9"/>
                <w:color w:val="auto"/>
              </w:rPr>
            </w:pPr>
          </w:p>
        </w:tc>
        <w:tc>
          <w:tcPr>
            <w:tcW w:w="2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380" w:type="dxa"/>
            <w:vAlign w:val="bottom"/>
            <w:vMerge w:val="continue"/>
          </w:tcPr>
          <w:p>
            <w:pPr>
              <w:spacing w:after="0"/>
              <w:rPr>
                <w:sz w:val="8"/>
                <w:szCs w:val="8"/>
                <w:color w:val="auto"/>
              </w:rPr>
            </w:pPr>
          </w:p>
        </w:tc>
        <w:tc>
          <w:tcPr>
            <w:tcW w:w="266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-1870710</wp:posOffset>
            </wp:positionH>
            <wp:positionV relativeFrom="paragraph">
              <wp:posOffset>369570</wp:posOffset>
            </wp:positionV>
            <wp:extent cx="7141210" cy="32594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1210" cy="32594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35" w:space="720"/>
            <w:col w:w="8285"/>
          </w:cols>
          <w:pgMar w:left="320" w:top="25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20"/>
        <w:spacing w:after="0"/>
        <w:rPr>
          <w:sz w:val="20"/>
          <w:szCs w:val="20"/>
          <w:color w:val="auto"/>
        </w:rPr>
      </w:pPr>
      <w:r>
        <w:rPr>
          <w:rFonts w:ascii="Arial" w:cs="Arial" w:eastAsia="Arial" w:hAnsi="Arial"/>
          <w:sz w:val="18"/>
          <w:szCs w:val="18"/>
          <w:color w:val="003478"/>
          <w:shd w:val="clear" w:color="auto" w:fill="E5E7EF"/>
        </w:rPr>
        <w:t>James D. Taiclet</w:t>
      </w:r>
    </w:p>
    <w:p>
      <w:pPr>
        <w:spacing w:after="0" w:line="91" w:lineRule="exact"/>
        <w:rPr>
          <w:sz w:val="20"/>
          <w:szCs w:val="20"/>
          <w:color w:val="auto"/>
        </w:rPr>
      </w:pPr>
    </w:p>
    <w:p>
      <w:pPr>
        <w:ind w:left="220"/>
        <w:spacing w:after="0"/>
        <w:rPr>
          <w:sz w:val="20"/>
          <w:szCs w:val="20"/>
          <w:color w:val="auto"/>
        </w:rPr>
      </w:pPr>
      <w:r>
        <w:rPr>
          <w:rFonts w:ascii="Arial" w:cs="Arial" w:eastAsia="Arial" w:hAnsi="Arial"/>
          <w:sz w:val="16"/>
          <w:szCs w:val="16"/>
          <w:color w:val="003478"/>
          <w:shd w:val="clear" w:color="auto" w:fill="E5E7EF"/>
        </w:rPr>
        <w:t xml:space="preserve">Age </w:t>
      </w:r>
      <w:r>
        <w:rPr>
          <w:rFonts w:ascii="Arial" w:cs="Arial" w:eastAsia="Arial" w:hAnsi="Arial"/>
          <w:sz w:val="16"/>
          <w:szCs w:val="16"/>
          <w:color w:val="003478"/>
        </w:rPr>
        <w:t>61</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16"/>
          <w:szCs w:val="16"/>
          <w:color w:val="003478"/>
          <w:shd w:val="clear" w:color="auto" w:fill="E5E7EF"/>
        </w:rPr>
        <w:t xml:space="preserve">Director since </w:t>
      </w:r>
      <w:r>
        <w:rPr>
          <w:rFonts w:ascii="Arial" w:cs="Arial" w:eastAsia="Arial" w:hAnsi="Arial"/>
          <w:sz w:val="16"/>
          <w:szCs w:val="16"/>
          <w:color w:val="002E6D"/>
        </w:rPr>
        <w:t>2018</w:t>
      </w:r>
    </w:p>
    <w:p>
      <w:pPr>
        <w:ind w:left="220"/>
        <w:spacing w:after="0" w:line="233" w:lineRule="auto"/>
        <w:rPr>
          <w:sz w:val="20"/>
          <w:szCs w:val="20"/>
          <w:color w:val="auto"/>
        </w:rPr>
      </w:pPr>
      <w:r>
        <w:rPr>
          <w:rFonts w:ascii="Arial" w:cs="Arial" w:eastAsia="Arial" w:hAnsi="Arial"/>
          <w:sz w:val="16"/>
          <w:szCs w:val="16"/>
          <w:color w:val="003478"/>
          <w:shd w:val="clear" w:color="auto" w:fill="E5E7EF"/>
        </w:rPr>
        <w:t>Chairman, President</w:t>
      </w:r>
    </w:p>
    <w:p>
      <w:pPr>
        <w:ind w:left="220"/>
        <w:spacing w:after="0"/>
        <w:rPr>
          <w:sz w:val="20"/>
          <w:szCs w:val="20"/>
          <w:color w:val="auto"/>
        </w:rPr>
      </w:pPr>
      <w:r>
        <w:rPr>
          <w:rFonts w:ascii="Arial" w:cs="Arial" w:eastAsia="Arial" w:hAnsi="Arial"/>
          <w:sz w:val="16"/>
          <w:szCs w:val="16"/>
          <w:color w:val="003478"/>
          <w:shd w:val="clear" w:color="auto" w:fill="E5E7EF"/>
        </w:rPr>
        <w:t>and CEO</w:t>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Committees</w:t>
      </w:r>
    </w:p>
    <w:p>
      <w:pPr>
        <w:ind w:left="220"/>
        <w:spacing w:after="0"/>
        <w:rPr>
          <w:sz w:val="20"/>
          <w:szCs w:val="20"/>
          <w:color w:val="auto"/>
        </w:rPr>
      </w:pPr>
      <w:r>
        <w:rPr>
          <w:rFonts w:ascii="Arial" w:cs="Arial" w:eastAsia="Arial" w:hAnsi="Arial"/>
          <w:sz w:val="16"/>
          <w:szCs w:val="16"/>
          <w:color w:val="003478"/>
        </w:rPr>
        <w:t>None</w:t>
      </w:r>
    </w:p>
    <w:p>
      <w:pPr>
        <w:spacing w:after="0" w:line="98" w:lineRule="exact"/>
        <w:rPr>
          <w:sz w:val="20"/>
          <w:szCs w:val="20"/>
          <w:color w:val="auto"/>
        </w:rPr>
      </w:pPr>
    </w:p>
    <w:p>
      <w:pPr>
        <w:ind w:left="220" w:right="475"/>
        <w:spacing w:after="0"/>
        <w:rPr>
          <w:sz w:val="20"/>
          <w:szCs w:val="20"/>
          <w:color w:val="auto"/>
        </w:rPr>
      </w:pPr>
      <w:r>
        <w:rPr>
          <w:rFonts w:ascii="Arial" w:cs="Arial" w:eastAsia="Arial" w:hAnsi="Arial"/>
          <w:sz w:val="16"/>
          <w:szCs w:val="16"/>
          <w:color w:val="003478"/>
          <w:shd w:val="clear" w:color="auto" w:fill="E5E7EF"/>
        </w:rPr>
        <w:t xml:space="preserve">Other Current Boards </w:t>
      </w:r>
      <w:r>
        <w:rPr>
          <w:rFonts w:ascii="Arial" w:cs="Arial" w:eastAsia="Arial" w:hAnsi="Arial"/>
          <w:sz w:val="16"/>
          <w:szCs w:val="16"/>
          <w:color w:val="003478"/>
        </w:rPr>
        <w:t>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2" w:lineRule="exact"/>
        <w:rPr>
          <w:sz w:val="20"/>
          <w:szCs w:val="20"/>
          <w:color w:val="auto"/>
        </w:rPr>
      </w:pPr>
    </w:p>
    <w:p>
      <w:pPr>
        <w:ind w:left="5"/>
        <w:spacing w:after="0"/>
        <w:rPr>
          <w:sz w:val="20"/>
          <w:szCs w:val="20"/>
          <w:color w:val="auto"/>
        </w:rPr>
      </w:pPr>
      <w:r>
        <w:rPr>
          <w:rFonts w:ascii="Arial" w:cs="Arial" w:eastAsia="Arial" w:hAnsi="Arial"/>
          <w:sz w:val="16"/>
          <w:szCs w:val="16"/>
          <w:color w:val="003478"/>
        </w:rPr>
        <w:t>Biography</w:t>
      </w:r>
    </w:p>
    <w:p>
      <w:pPr>
        <w:spacing w:after="0" w:line="10" w:lineRule="exact"/>
        <w:rPr>
          <w:sz w:val="20"/>
          <w:szCs w:val="20"/>
          <w:color w:val="auto"/>
        </w:rPr>
      </w:pPr>
    </w:p>
    <w:p>
      <w:pPr>
        <w:ind w:left="5" w:right="140"/>
        <w:spacing w:after="0" w:line="249" w:lineRule="auto"/>
        <w:rPr>
          <w:sz w:val="20"/>
          <w:szCs w:val="20"/>
          <w:color w:val="auto"/>
        </w:rPr>
      </w:pPr>
      <w:r>
        <w:rPr>
          <w:rFonts w:ascii="Arial" w:cs="Arial" w:eastAsia="Arial" w:hAnsi="Arial"/>
          <w:sz w:val="17"/>
          <w:szCs w:val="17"/>
          <w:color w:val="auto"/>
        </w:rPr>
        <w:t>Chairman since March 2021 and President and Chief Executive Officer of Lockheed Martin since June 2020. Previously, Mr. Taiclet served as Chairman, President and Chief Executive Officer of American Tower Corporation from February 2004 until March 2020 and Executive Chairman from March 2020 to May 2020. Previously, Mr. Taiclet served as President of Honeywell Aerospace Services, a unit of Honeywell International and Vice President, Engine Services at Pratt &amp; Whitney, a unit of United Technologies Corporation.</w:t>
      </w:r>
    </w:p>
    <w:p>
      <w:pPr>
        <w:spacing w:after="0" w:line="108" w:lineRule="exact"/>
        <w:rPr>
          <w:sz w:val="20"/>
          <w:szCs w:val="20"/>
          <w:color w:val="auto"/>
        </w:rPr>
      </w:pPr>
    </w:p>
    <w:p>
      <w:pPr>
        <w:ind w:left="5"/>
        <w:spacing w:after="0"/>
        <w:rPr>
          <w:sz w:val="20"/>
          <w:szCs w:val="20"/>
          <w:color w:val="auto"/>
        </w:rPr>
      </w:pPr>
      <w:r>
        <w:rPr>
          <w:rFonts w:ascii="Arial" w:cs="Arial" w:eastAsia="Arial" w:hAnsi="Arial"/>
          <w:sz w:val="16"/>
          <w:szCs w:val="16"/>
          <w:color w:val="002E6D"/>
        </w:rPr>
        <w:t>Skills, Qualifications and Core Competencies</w:t>
      </w:r>
    </w:p>
    <w:p>
      <w:pPr>
        <w:spacing w:after="0" w:line="23" w:lineRule="exact"/>
        <w:rPr>
          <w:sz w:val="20"/>
          <w:szCs w:val="20"/>
          <w:color w:val="auto"/>
        </w:rPr>
      </w:pPr>
    </w:p>
    <w:p>
      <w:pPr>
        <w:ind w:left="185" w:right="640" w:hanging="185"/>
        <w:spacing w:after="0" w:line="255" w:lineRule="auto"/>
        <w:tabs>
          <w:tab w:leader="none" w:pos="159" w:val="left"/>
        </w:tabs>
        <w:numPr>
          <w:ilvl w:val="0"/>
          <w:numId w:val="29"/>
        </w:numPr>
        <w:rPr>
          <w:rFonts w:ascii="Arial" w:cs="Arial" w:eastAsia="Arial" w:hAnsi="Arial"/>
          <w:sz w:val="17"/>
          <w:szCs w:val="17"/>
          <w:color w:val="002E6D"/>
        </w:rPr>
      </w:pPr>
      <w:r>
        <w:rPr>
          <w:rFonts w:ascii="Arial" w:cs="Arial" w:eastAsia="Arial" w:hAnsi="Arial"/>
          <w:sz w:val="17"/>
          <w:szCs w:val="17"/>
          <w:color w:val="auto"/>
        </w:rPr>
        <w:t>Effective leadership and executive experience as Chairman, President and CEO of American Tower Corporation</w:t>
      </w:r>
    </w:p>
    <w:p>
      <w:pPr>
        <w:spacing w:after="0" w:line="1" w:lineRule="exact"/>
        <w:rPr>
          <w:rFonts w:ascii="Arial" w:cs="Arial" w:eastAsia="Arial" w:hAnsi="Arial"/>
          <w:sz w:val="17"/>
          <w:szCs w:val="17"/>
          <w:color w:val="002E6D"/>
        </w:rPr>
      </w:pPr>
    </w:p>
    <w:p>
      <w:pPr>
        <w:ind w:left="185" w:right="560" w:hanging="185"/>
        <w:spacing w:after="0" w:line="255" w:lineRule="auto"/>
        <w:tabs>
          <w:tab w:leader="none" w:pos="159" w:val="left"/>
        </w:tabs>
        <w:numPr>
          <w:ilvl w:val="0"/>
          <w:numId w:val="29"/>
        </w:numPr>
        <w:rPr>
          <w:rFonts w:ascii="Arial" w:cs="Arial" w:eastAsia="Arial" w:hAnsi="Arial"/>
          <w:sz w:val="17"/>
          <w:szCs w:val="17"/>
          <w:color w:val="002E6D"/>
        </w:rPr>
      </w:pPr>
      <w:r>
        <w:rPr>
          <w:rFonts w:ascii="Arial" w:cs="Arial" w:eastAsia="Arial" w:hAnsi="Arial"/>
          <w:sz w:val="17"/>
          <w:szCs w:val="17"/>
          <w:color w:val="auto"/>
        </w:rPr>
        <w:t>Expertise in management at large-scale, multinational corporations, including regulatory compliance, corporate governance, capital markets and financing, strategic planning and investor relations</w:t>
      </w:r>
    </w:p>
    <w:p>
      <w:pPr>
        <w:spacing w:after="0" w:line="1" w:lineRule="exact"/>
        <w:rPr>
          <w:rFonts w:ascii="Arial" w:cs="Arial" w:eastAsia="Arial" w:hAnsi="Arial"/>
          <w:sz w:val="17"/>
          <w:szCs w:val="17"/>
          <w:color w:val="002E6D"/>
        </w:rPr>
      </w:pPr>
    </w:p>
    <w:p>
      <w:pPr>
        <w:ind w:left="185" w:right="740" w:hanging="185"/>
        <w:spacing w:after="0" w:line="257" w:lineRule="auto"/>
        <w:tabs>
          <w:tab w:leader="none" w:pos="159" w:val="left"/>
        </w:tabs>
        <w:numPr>
          <w:ilvl w:val="0"/>
          <w:numId w:val="29"/>
        </w:numPr>
        <w:rPr>
          <w:rFonts w:ascii="Arial" w:cs="Arial" w:eastAsia="Arial" w:hAnsi="Arial"/>
          <w:sz w:val="17"/>
          <w:szCs w:val="17"/>
          <w:color w:val="002E6D"/>
        </w:rPr>
      </w:pPr>
      <w:r>
        <w:rPr>
          <w:rFonts w:ascii="Arial" w:cs="Arial" w:eastAsia="Arial" w:hAnsi="Arial"/>
          <w:sz w:val="17"/>
          <w:szCs w:val="17"/>
          <w:color w:val="auto"/>
        </w:rPr>
        <w:t>Industry-specific expertise from service as a U.S. Air Force officer and pilot and as an executive at Honeywell Aerospace Services and Pratt &amp; Whitney</w:t>
      </w:r>
    </w:p>
    <w:p>
      <w:pPr>
        <w:spacing w:after="0" w:line="200" w:lineRule="exact"/>
        <w:rPr>
          <w:sz w:val="20"/>
          <w:szCs w:val="20"/>
          <w:color w:val="auto"/>
        </w:rPr>
      </w:pPr>
    </w:p>
    <w:p>
      <w:pPr>
        <w:spacing w:after="0" w:line="207" w:lineRule="exact"/>
        <w:rPr>
          <w:sz w:val="20"/>
          <w:szCs w:val="20"/>
          <w:color w:val="auto"/>
        </w:rPr>
      </w:pPr>
    </w:p>
    <w:tbl>
      <w:tblPr>
        <w:tblLayout w:type="fixed"/>
        <w:tblInd w:w="445" w:type="dxa"/>
        <w:tblCellMar>
          <w:top w:w="0" w:type="dxa"/>
          <w:left w:w="0" w:type="dxa"/>
          <w:bottom w:w="0" w:type="dxa"/>
          <w:right w:w="0" w:type="dxa"/>
        </w:tblCellMar>
      </w:tblPr>
      <w:tr>
        <w:trPr>
          <w:trHeight w:val="195"/>
        </w:trPr>
        <w:tc>
          <w:tcPr>
            <w:tcW w:w="2380" w:type="dxa"/>
            <w:vAlign w:val="bottom"/>
          </w:tcPr>
          <w:p>
            <w:pPr>
              <w:spacing w:after="0"/>
              <w:rPr>
                <w:sz w:val="20"/>
                <w:szCs w:val="20"/>
                <w:color w:val="auto"/>
              </w:rPr>
            </w:pPr>
            <w:r>
              <w:rPr>
                <w:rFonts w:ascii="Arial" w:cs="Arial" w:eastAsia="Arial" w:hAnsi="Arial"/>
                <w:sz w:val="17"/>
                <w:szCs w:val="17"/>
                <w:color w:val="auto"/>
              </w:rPr>
              <w:t>CEO Leadership</w:t>
            </w:r>
          </w:p>
        </w:tc>
        <w:tc>
          <w:tcPr>
            <w:tcW w:w="2820" w:type="dxa"/>
            <w:vAlign w:val="bottom"/>
            <w:vMerge w:val="restart"/>
          </w:tcPr>
          <w:p>
            <w:pPr>
              <w:ind w:left="360"/>
              <w:spacing w:after="0"/>
              <w:rPr>
                <w:sz w:val="20"/>
                <w:szCs w:val="20"/>
                <w:color w:val="auto"/>
              </w:rPr>
            </w:pPr>
            <w:r>
              <w:rPr>
                <w:rFonts w:ascii="Arial" w:cs="Arial" w:eastAsia="Arial" w:hAnsi="Arial"/>
                <w:sz w:val="17"/>
                <w:szCs w:val="17"/>
                <w:color w:val="auto"/>
              </w:rPr>
              <w:t>Human Capital Management</w:t>
            </w:r>
          </w:p>
        </w:tc>
        <w:tc>
          <w:tcPr>
            <w:tcW w:w="2240" w:type="dxa"/>
            <w:vAlign w:val="bottom"/>
            <w:vMerge w:val="restart"/>
          </w:tcPr>
          <w:p>
            <w:pPr>
              <w:ind w:left="300"/>
              <w:spacing w:after="0"/>
              <w:rPr>
                <w:sz w:val="20"/>
                <w:szCs w:val="20"/>
                <w:color w:val="auto"/>
              </w:rPr>
            </w:pPr>
            <w:r>
              <w:rPr>
                <w:rFonts w:ascii="Arial" w:cs="Arial" w:eastAsia="Arial" w:hAnsi="Arial"/>
                <w:sz w:val="17"/>
                <w:szCs w:val="17"/>
                <w:color w:val="auto"/>
              </w:rPr>
              <w:t>Financial Expert</w:t>
            </w:r>
          </w:p>
        </w:tc>
        <w:tc>
          <w:tcPr>
            <w:tcW w:w="0" w:type="dxa"/>
            <w:vAlign w:val="bottom"/>
          </w:tcPr>
          <w:p>
            <w:pPr>
              <w:spacing w:after="0"/>
              <w:rPr>
                <w:sz w:val="1"/>
                <w:szCs w:val="1"/>
                <w:color w:val="auto"/>
              </w:rPr>
            </w:pPr>
          </w:p>
        </w:tc>
      </w:tr>
      <w:tr>
        <w:trPr>
          <w:trHeight w:val="110"/>
        </w:trPr>
        <w:tc>
          <w:tcPr>
            <w:tcW w:w="2380" w:type="dxa"/>
            <w:vAlign w:val="bottom"/>
            <w:vMerge w:val="restart"/>
          </w:tcPr>
          <w:p>
            <w:pPr>
              <w:spacing w:after="0"/>
              <w:rPr>
                <w:sz w:val="20"/>
                <w:szCs w:val="20"/>
                <w:color w:val="auto"/>
              </w:rPr>
            </w:pPr>
            <w:r>
              <w:rPr>
                <w:rFonts w:ascii="Arial" w:cs="Arial" w:eastAsia="Arial" w:hAnsi="Arial"/>
                <w:sz w:val="17"/>
                <w:szCs w:val="17"/>
                <w:color w:val="auto"/>
              </w:rPr>
              <w:t>Experience</w:t>
            </w:r>
          </w:p>
        </w:tc>
        <w:tc>
          <w:tcPr>
            <w:tcW w:w="2820" w:type="dxa"/>
            <w:vAlign w:val="bottom"/>
            <w:vMerge w:val="continue"/>
          </w:tcPr>
          <w:p>
            <w:pPr>
              <w:spacing w:after="0"/>
              <w:rPr>
                <w:sz w:val="9"/>
                <w:szCs w:val="9"/>
                <w:color w:val="auto"/>
              </w:rPr>
            </w:pP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380" w:type="dxa"/>
            <w:vAlign w:val="bottom"/>
            <w:vMerge w:val="continue"/>
          </w:tcPr>
          <w:p>
            <w:pPr>
              <w:spacing w:after="0"/>
              <w:rPr>
                <w:sz w:val="8"/>
                <w:szCs w:val="8"/>
                <w:color w:val="auto"/>
              </w:rPr>
            </w:pPr>
          </w:p>
        </w:tc>
        <w:tc>
          <w:tcPr>
            <w:tcW w:w="28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380" w:type="dxa"/>
            <w:vAlign w:val="bottom"/>
            <w:vMerge w:val="restart"/>
          </w:tcPr>
          <w:p>
            <w:pPr>
              <w:spacing w:after="0"/>
              <w:rPr>
                <w:sz w:val="20"/>
                <w:szCs w:val="20"/>
                <w:color w:val="auto"/>
              </w:rPr>
            </w:pPr>
            <w:r>
              <w:rPr>
                <w:rFonts w:ascii="Arial" w:cs="Arial" w:eastAsia="Arial" w:hAnsi="Arial"/>
                <w:sz w:val="17"/>
                <w:szCs w:val="17"/>
                <w:color w:val="auto"/>
              </w:rPr>
              <w:t>Manufacturing</w:t>
            </w:r>
          </w:p>
        </w:tc>
        <w:tc>
          <w:tcPr>
            <w:tcW w:w="2820" w:type="dxa"/>
            <w:vAlign w:val="bottom"/>
          </w:tcPr>
          <w:p>
            <w:pPr>
              <w:ind w:left="360"/>
              <w:spacing w:after="0"/>
              <w:rPr>
                <w:sz w:val="20"/>
                <w:szCs w:val="20"/>
                <w:color w:val="auto"/>
              </w:rPr>
            </w:pPr>
            <w:r>
              <w:rPr>
                <w:rFonts w:ascii="Arial" w:cs="Arial" w:eastAsia="Arial" w:hAnsi="Arial"/>
                <w:sz w:val="17"/>
                <w:szCs w:val="17"/>
                <w:color w:val="auto"/>
              </w:rPr>
              <w:t>Government/Military</w:t>
            </w:r>
          </w:p>
        </w:tc>
        <w:tc>
          <w:tcPr>
            <w:tcW w:w="2240" w:type="dxa"/>
            <w:vAlign w:val="bottom"/>
            <w:vMerge w:val="restart"/>
          </w:tcPr>
          <w:p>
            <w:pPr>
              <w:ind w:left="300"/>
              <w:spacing w:after="0"/>
              <w:rPr>
                <w:sz w:val="20"/>
                <w:szCs w:val="20"/>
                <w:color w:val="auto"/>
              </w:rPr>
            </w:pPr>
            <w:r>
              <w:rPr>
                <w:rFonts w:ascii="Arial" w:cs="Arial" w:eastAsia="Arial" w:hAnsi="Arial"/>
                <w:sz w:val="17"/>
                <w:szCs w:val="17"/>
                <w:color w:val="auto"/>
              </w:rPr>
              <w:t>Global Experience</w:t>
            </w:r>
          </w:p>
        </w:tc>
        <w:tc>
          <w:tcPr>
            <w:tcW w:w="0" w:type="dxa"/>
            <w:vAlign w:val="bottom"/>
          </w:tcPr>
          <w:p>
            <w:pPr>
              <w:spacing w:after="0"/>
              <w:rPr>
                <w:sz w:val="1"/>
                <w:szCs w:val="1"/>
                <w:color w:val="auto"/>
              </w:rPr>
            </w:pPr>
          </w:p>
        </w:tc>
      </w:tr>
      <w:tr>
        <w:trPr>
          <w:trHeight w:val="110"/>
        </w:trPr>
        <w:tc>
          <w:tcPr>
            <w:tcW w:w="2380" w:type="dxa"/>
            <w:vAlign w:val="bottom"/>
            <w:vMerge w:val="continue"/>
          </w:tcPr>
          <w:p>
            <w:pPr>
              <w:spacing w:after="0"/>
              <w:rPr>
                <w:sz w:val="9"/>
                <w:szCs w:val="9"/>
                <w:color w:val="auto"/>
              </w:rPr>
            </w:pPr>
          </w:p>
        </w:tc>
        <w:tc>
          <w:tcPr>
            <w:tcW w:w="2820" w:type="dxa"/>
            <w:vAlign w:val="bottom"/>
            <w:vMerge w:val="restart"/>
          </w:tcPr>
          <w:p>
            <w:pPr>
              <w:ind w:left="360"/>
              <w:spacing w:after="0"/>
              <w:rPr>
                <w:sz w:val="20"/>
                <w:szCs w:val="20"/>
                <w:color w:val="auto"/>
              </w:rPr>
            </w:pPr>
            <w:r>
              <w:rPr>
                <w:rFonts w:ascii="Arial" w:cs="Arial" w:eastAsia="Arial" w:hAnsi="Arial"/>
                <w:sz w:val="17"/>
                <w:szCs w:val="17"/>
                <w:color w:val="auto"/>
              </w:rPr>
              <w:t>Experience</w:t>
            </w:r>
          </w:p>
        </w:tc>
        <w:tc>
          <w:tcPr>
            <w:tcW w:w="2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380" w:type="dxa"/>
            <w:vAlign w:val="bottom"/>
          </w:tcPr>
          <w:p>
            <w:pPr>
              <w:spacing w:after="0"/>
              <w:rPr>
                <w:sz w:val="8"/>
                <w:szCs w:val="8"/>
                <w:color w:val="auto"/>
              </w:rPr>
            </w:pPr>
          </w:p>
        </w:tc>
        <w:tc>
          <w:tcPr>
            <w:tcW w:w="2820" w:type="dxa"/>
            <w:vAlign w:val="bottom"/>
            <w:vMerge w:val="continue"/>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380" w:type="dxa"/>
            <w:vAlign w:val="bottom"/>
          </w:tcPr>
          <w:p>
            <w:pPr>
              <w:spacing w:after="0"/>
              <w:rPr>
                <w:sz w:val="20"/>
                <w:szCs w:val="20"/>
                <w:color w:val="auto"/>
              </w:rPr>
            </w:pPr>
            <w:r>
              <w:rPr>
                <w:rFonts w:ascii="Arial" w:cs="Arial" w:eastAsia="Arial" w:hAnsi="Arial"/>
                <w:sz w:val="17"/>
                <w:szCs w:val="17"/>
                <w:color w:val="auto"/>
              </w:rPr>
              <w:t>Engineering, Technology &amp;</w:t>
            </w:r>
          </w:p>
        </w:tc>
        <w:tc>
          <w:tcPr>
            <w:tcW w:w="2820" w:type="dxa"/>
            <w:vAlign w:val="bottom"/>
            <w:vMerge w:val="restart"/>
          </w:tcPr>
          <w:p>
            <w:pPr>
              <w:ind w:left="360"/>
              <w:spacing w:after="0"/>
              <w:rPr>
                <w:sz w:val="20"/>
                <w:szCs w:val="20"/>
                <w:color w:val="auto"/>
              </w:rPr>
            </w:pPr>
            <w:r>
              <w:rPr>
                <w:rFonts w:ascii="Arial" w:cs="Arial" w:eastAsia="Arial" w:hAnsi="Arial"/>
                <w:sz w:val="17"/>
                <w:szCs w:val="17"/>
                <w:color w:val="auto"/>
              </w:rPr>
              <w:t>Risk Management</w:t>
            </w:r>
          </w:p>
        </w:tc>
        <w:tc>
          <w:tcPr>
            <w:tcW w:w="2240" w:type="dxa"/>
            <w:vAlign w:val="bottom"/>
          </w:tcPr>
          <w:p>
            <w:pPr>
              <w:ind w:left="300"/>
              <w:spacing w:after="0"/>
              <w:rPr>
                <w:sz w:val="20"/>
                <w:szCs w:val="20"/>
                <w:color w:val="auto"/>
              </w:rPr>
            </w:pPr>
            <w:r>
              <w:rPr>
                <w:rFonts w:ascii="Arial" w:cs="Arial" w:eastAsia="Arial" w:hAnsi="Arial"/>
                <w:sz w:val="17"/>
                <w:szCs w:val="17"/>
                <w:color w:val="auto"/>
                <w:w w:val="99"/>
              </w:rPr>
              <w:t>Cybersecurity/Information</w:t>
            </w:r>
          </w:p>
        </w:tc>
        <w:tc>
          <w:tcPr>
            <w:tcW w:w="0" w:type="dxa"/>
            <w:vAlign w:val="bottom"/>
          </w:tcPr>
          <w:p>
            <w:pPr>
              <w:spacing w:after="0"/>
              <w:rPr>
                <w:sz w:val="1"/>
                <w:szCs w:val="1"/>
                <w:color w:val="auto"/>
              </w:rPr>
            </w:pPr>
          </w:p>
        </w:tc>
      </w:tr>
      <w:tr>
        <w:trPr>
          <w:trHeight w:val="110"/>
        </w:trPr>
        <w:tc>
          <w:tcPr>
            <w:tcW w:w="2380" w:type="dxa"/>
            <w:vAlign w:val="bottom"/>
            <w:vMerge w:val="restart"/>
          </w:tcPr>
          <w:p>
            <w:pPr>
              <w:spacing w:after="0"/>
              <w:rPr>
                <w:sz w:val="20"/>
                <w:szCs w:val="20"/>
                <w:color w:val="auto"/>
              </w:rPr>
            </w:pPr>
            <w:r>
              <w:rPr>
                <w:rFonts w:ascii="Arial" w:cs="Arial" w:eastAsia="Arial" w:hAnsi="Arial"/>
                <w:sz w:val="17"/>
                <w:szCs w:val="17"/>
                <w:color w:val="auto"/>
              </w:rPr>
              <w:t>Innovation</w:t>
            </w:r>
          </w:p>
        </w:tc>
        <w:tc>
          <w:tcPr>
            <w:tcW w:w="2820" w:type="dxa"/>
            <w:vAlign w:val="bottom"/>
            <w:vMerge w:val="continue"/>
          </w:tcPr>
          <w:p>
            <w:pPr>
              <w:spacing w:after="0"/>
              <w:rPr>
                <w:sz w:val="9"/>
                <w:szCs w:val="9"/>
                <w:color w:val="auto"/>
              </w:rPr>
            </w:pPr>
          </w:p>
        </w:tc>
        <w:tc>
          <w:tcPr>
            <w:tcW w:w="2240" w:type="dxa"/>
            <w:vAlign w:val="bottom"/>
            <w:vMerge w:val="restart"/>
          </w:tcPr>
          <w:p>
            <w:pPr>
              <w:ind w:left="300"/>
              <w:spacing w:after="0"/>
              <w:rPr>
                <w:sz w:val="20"/>
                <w:szCs w:val="20"/>
                <w:color w:val="auto"/>
              </w:rPr>
            </w:pPr>
            <w:r>
              <w:rPr>
                <w:rFonts w:ascii="Arial" w:cs="Arial" w:eastAsia="Arial" w:hAnsi="Arial"/>
                <w:sz w:val="17"/>
                <w:szCs w:val="17"/>
                <w:color w:val="auto"/>
              </w:rPr>
              <w:t>Technology</w:t>
            </w:r>
          </w:p>
        </w:tc>
        <w:tc>
          <w:tcPr>
            <w:tcW w:w="0" w:type="dxa"/>
            <w:vAlign w:val="bottom"/>
          </w:tcPr>
          <w:p>
            <w:pPr>
              <w:spacing w:after="0"/>
              <w:rPr>
                <w:sz w:val="1"/>
                <w:szCs w:val="1"/>
                <w:color w:val="auto"/>
              </w:rPr>
            </w:pPr>
          </w:p>
        </w:tc>
      </w:tr>
      <w:tr>
        <w:trPr>
          <w:trHeight w:val="94"/>
        </w:trPr>
        <w:tc>
          <w:tcPr>
            <w:tcW w:w="2380" w:type="dxa"/>
            <w:vAlign w:val="bottom"/>
            <w:vMerge w:val="continue"/>
          </w:tcPr>
          <w:p>
            <w:pPr>
              <w:spacing w:after="0"/>
              <w:rPr>
                <w:sz w:val="8"/>
                <w:szCs w:val="8"/>
                <w:color w:val="auto"/>
              </w:rPr>
            </w:pPr>
          </w:p>
        </w:tc>
        <w:tc>
          <w:tcPr>
            <w:tcW w:w="282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2235" w:space="720"/>
            <w:col w:w="8285"/>
          </w:cols>
          <w:pgMar w:left="320" w:top="254" w:right="339" w:bottom="1440" w:gutter="0" w:footer="0" w:header="0"/>
          <w:type w:val="continuous"/>
        </w:sectPr>
      </w:pPr>
    </w:p>
    <w:p>
      <w:pPr>
        <w:spacing w:after="0" w:line="400" w:lineRule="exact"/>
        <w:rPr>
          <w:sz w:val="20"/>
          <w:szCs w:val="20"/>
          <w:color w:val="auto"/>
        </w:rPr>
      </w:pPr>
    </w:p>
    <w:p>
      <w:pPr>
        <w:ind w:left="220" w:hanging="213"/>
        <w:spacing w:after="0"/>
        <w:tabs>
          <w:tab w:leader="none" w:pos="220" w:val="left"/>
        </w:tabs>
        <w:numPr>
          <w:ilvl w:val="0"/>
          <w:numId w:val="30"/>
        </w:numPr>
        <w:rPr>
          <w:rFonts w:ascii="Arial" w:cs="Arial" w:eastAsia="Arial" w:hAnsi="Arial"/>
          <w:sz w:val="14"/>
          <w:szCs w:val="14"/>
          <w:color w:val="9D9D9C"/>
        </w:rPr>
      </w:pPr>
      <w:r>
        <w:rPr>
          <w:rFonts w:ascii="Arial" w:cs="Arial" w:eastAsia="Arial" w:hAnsi="Arial"/>
          <w:sz w:val="14"/>
          <w:szCs w:val="14"/>
          <w:color w:val="9D9D9C"/>
        </w:rPr>
        <w:t>Outside public board committees are listed in the Proxy Summary on page 3.</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14</w:t>
      </w:r>
    </w:p>
    <w:p>
      <w:pPr>
        <w:sectPr>
          <w:pgSz w:w="11900" w:h="16838" w:orient="portrait"/>
          <w:cols w:equalWidth="0" w:num="1">
            <w:col w:w="11240"/>
          </w:cols>
          <w:pgMar w:left="320" w:top="254" w:right="339" w:bottom="1440" w:gutter="0" w:footer="0" w:header="0"/>
          <w:type w:val="continuous"/>
        </w:sectPr>
      </w:pPr>
    </w:p>
    <w:bookmarkStart w:id="20" w:name="page21"/>
    <w:bookmarkEnd w:id="20"/>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447040</wp:posOffset>
            </wp:positionV>
            <wp:extent cx="7141210" cy="31140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1210" cy="3114040"/>
                    </a:xfrm>
                    <a:prstGeom prst="rect">
                      <a:avLst/>
                    </a:prstGeom>
                    <a:noFill/>
                  </pic:spPr>
                </pic:pic>
              </a:graphicData>
            </a:graphic>
          </wp:anchor>
        </w:drawing>
      </w:r>
    </w:p>
    <w:p>
      <w:pPr>
        <w:sectPr>
          <w:pgSz w:w="11900" w:h="16838" w:orient="portrait"/>
          <w:cols w:equalWidth="0" w:num="1">
            <w:col w:w="11180"/>
          </w:cols>
          <w:pgMar w:left="320" w:top="25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20"/>
        <w:spacing w:after="0"/>
        <w:rPr>
          <w:sz w:val="20"/>
          <w:szCs w:val="20"/>
          <w:color w:val="auto"/>
        </w:rPr>
      </w:pPr>
      <w:r>
        <w:rPr>
          <w:rFonts w:ascii="Arial" w:cs="Arial" w:eastAsia="Arial" w:hAnsi="Arial"/>
          <w:sz w:val="17"/>
          <w:szCs w:val="17"/>
          <w:color w:val="003478"/>
          <w:shd w:val="clear" w:color="auto" w:fill="E5E7EF"/>
        </w:rPr>
        <w:t>Patricia E. Yarrington</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6"/>
          <w:szCs w:val="16"/>
          <w:color w:val="003478"/>
          <w:shd w:val="clear" w:color="auto" w:fill="E5E7EF"/>
        </w:rPr>
        <w:t xml:space="preserve">Age </w:t>
      </w:r>
      <w:r>
        <w:rPr>
          <w:rFonts w:ascii="Arial" w:cs="Arial" w:eastAsia="Arial" w:hAnsi="Arial"/>
          <w:sz w:val="16"/>
          <w:szCs w:val="16"/>
          <w:color w:val="003478"/>
        </w:rPr>
        <w:t>65</w:t>
      </w:r>
    </w:p>
    <w:p>
      <w:pPr>
        <w:spacing w:after="0" w:line="112" w:lineRule="exact"/>
        <w:rPr>
          <w:sz w:val="20"/>
          <w:szCs w:val="20"/>
          <w:color w:val="auto"/>
        </w:rPr>
      </w:pPr>
    </w:p>
    <w:p>
      <w:pPr>
        <w:ind w:left="220" w:right="520"/>
        <w:spacing w:after="0" w:line="258" w:lineRule="auto"/>
        <w:rPr>
          <w:sz w:val="20"/>
          <w:szCs w:val="20"/>
          <w:color w:val="auto"/>
        </w:rPr>
      </w:pPr>
      <w:r>
        <w:rPr>
          <w:rFonts w:ascii="Arial" w:cs="Arial" w:eastAsia="Arial" w:hAnsi="Arial"/>
          <w:sz w:val="16"/>
          <w:szCs w:val="16"/>
          <w:color w:val="003478"/>
          <w:shd w:val="clear" w:color="auto" w:fill="E5E7EF"/>
        </w:rPr>
        <w:t xml:space="preserve">Director since </w:t>
      </w:r>
      <w:r>
        <w:rPr>
          <w:rFonts w:ascii="Arial" w:cs="Arial" w:eastAsia="Arial" w:hAnsi="Arial"/>
          <w:sz w:val="16"/>
          <w:szCs w:val="16"/>
          <w:color w:val="002E6D"/>
        </w:rPr>
        <w:t>2021</w:t>
      </w:r>
      <w:r>
        <w:rPr>
          <w:rFonts w:ascii="Arial" w:cs="Arial" w:eastAsia="Arial" w:hAnsi="Arial"/>
          <w:sz w:val="16"/>
          <w:szCs w:val="16"/>
          <w:color w:val="003478"/>
          <w:shd w:val="clear" w:color="auto" w:fill="E5E7EF"/>
        </w:rPr>
        <w:t xml:space="preserve"> Independent Director</w:t>
      </w:r>
    </w:p>
    <w:p>
      <w:pPr>
        <w:spacing w:after="0" w:line="65"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Committees</w:t>
      </w:r>
    </w:p>
    <w:p>
      <w:pPr>
        <w:ind w:left="220"/>
        <w:spacing w:after="0" w:line="227" w:lineRule="auto"/>
        <w:rPr>
          <w:sz w:val="20"/>
          <w:szCs w:val="20"/>
          <w:color w:val="auto"/>
        </w:rPr>
      </w:pPr>
      <w:r>
        <w:rPr>
          <w:rFonts w:ascii="Arial" w:cs="Arial" w:eastAsia="Arial" w:hAnsi="Arial"/>
          <w:sz w:val="16"/>
          <w:szCs w:val="16"/>
          <w:color w:val="003478"/>
        </w:rPr>
        <w:t>Audit; Management</w:t>
      </w:r>
    </w:p>
    <w:p>
      <w:pPr>
        <w:ind w:left="220"/>
        <w:spacing w:after="0" w:line="228" w:lineRule="auto"/>
        <w:rPr>
          <w:sz w:val="20"/>
          <w:szCs w:val="20"/>
          <w:color w:val="auto"/>
        </w:rPr>
      </w:pPr>
      <w:r>
        <w:rPr>
          <w:rFonts w:ascii="Arial" w:cs="Arial" w:eastAsia="Arial" w:hAnsi="Arial"/>
          <w:sz w:val="16"/>
          <w:szCs w:val="16"/>
          <w:color w:val="003478"/>
        </w:rPr>
        <w:t>Development and</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6"/>
          <w:szCs w:val="16"/>
          <w:color w:val="003478"/>
        </w:rPr>
        <w:t>Compensation</w:t>
      </w:r>
    </w:p>
    <w:p>
      <w:pPr>
        <w:spacing w:after="0" w:line="98" w:lineRule="exact"/>
        <w:rPr>
          <w:sz w:val="20"/>
          <w:szCs w:val="20"/>
          <w:color w:val="auto"/>
        </w:rPr>
      </w:pPr>
    </w:p>
    <w:p>
      <w:pPr>
        <w:ind w:left="220" w:right="480"/>
        <w:spacing w:after="0"/>
        <w:rPr>
          <w:sz w:val="20"/>
          <w:szCs w:val="20"/>
          <w:color w:val="auto"/>
        </w:rPr>
      </w:pPr>
      <w:r>
        <w:rPr>
          <w:rFonts w:ascii="Arial" w:cs="Arial" w:eastAsia="Arial" w:hAnsi="Arial"/>
          <w:sz w:val="16"/>
          <w:szCs w:val="16"/>
          <w:color w:val="003478"/>
          <w:shd w:val="clear" w:color="auto" w:fill="E5E7EF"/>
        </w:rPr>
        <w:t xml:space="preserve">Other Current Boards </w:t>
      </w:r>
      <w:r>
        <w:rPr>
          <w:rFonts w:ascii="Arial" w:cs="Arial" w:eastAsia="Arial" w:hAnsi="Arial"/>
          <w:sz w:val="16"/>
          <w:szCs w:val="16"/>
          <w:color w:val="003478"/>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763270</wp:posOffset>
            </wp:positionV>
            <wp:extent cx="963930" cy="2216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003478"/>
        </w:rPr>
        <w:t>Biography</w:t>
      </w:r>
    </w:p>
    <w:p>
      <w:pPr>
        <w:spacing w:after="0" w:line="23"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Retired Vice President and Chief Financial Officer of Chevron Corporation, one of the world’s leading integrated energy companies. Ms. Yarrington served as CFO of Chevron from January 2009 until her retirement in March 2019. During her 38 years at Chevron, she also served as Vice President and Treasurer from 2007 through 2008, Vice President of Policy, Government and Public Affairs from 2002 to 2007 and Vice President of Strategic Planning from 2000 to 2002. Previously, Ms. Yarrington served on the boards of directors of Chevron Phillips Chemical Company LLC (a 50-50 joint venture with Phillips 66) and the Federal Reserve Bank of San Francisco, serving as the Chairman of the Bank’s board from 2013 to 2014.</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002E6D"/>
        </w:rPr>
        <w:t>Skills, Qualifications and Core Competencies</w:t>
      </w:r>
    </w:p>
    <w:p>
      <w:pPr>
        <w:spacing w:after="0" w:line="10" w:lineRule="exact"/>
        <w:rPr>
          <w:sz w:val="20"/>
          <w:szCs w:val="20"/>
          <w:color w:val="auto"/>
        </w:rPr>
      </w:pPr>
    </w:p>
    <w:p>
      <w:pPr>
        <w:ind w:left="200" w:right="120" w:hanging="192"/>
        <w:spacing w:after="0" w:line="255" w:lineRule="auto"/>
        <w:tabs>
          <w:tab w:leader="none" w:pos="173" w:val="left"/>
        </w:tabs>
        <w:numPr>
          <w:ilvl w:val="0"/>
          <w:numId w:val="31"/>
        </w:numPr>
        <w:rPr>
          <w:rFonts w:ascii="Arial" w:cs="Arial" w:eastAsia="Arial" w:hAnsi="Arial"/>
          <w:sz w:val="17"/>
          <w:szCs w:val="17"/>
          <w:color w:val="002E6D"/>
        </w:rPr>
      </w:pPr>
      <w:r>
        <w:rPr>
          <w:rFonts w:ascii="Arial" w:cs="Arial" w:eastAsia="Arial" w:hAnsi="Arial"/>
          <w:sz w:val="17"/>
          <w:szCs w:val="17"/>
          <w:color w:val="auto"/>
        </w:rPr>
        <w:t>Expertise in public company accounting, risk management, disclosure, and financial system management from her role as CFO at Chevron</w:t>
      </w:r>
    </w:p>
    <w:p>
      <w:pPr>
        <w:spacing w:after="0" w:line="1" w:lineRule="exact"/>
        <w:rPr>
          <w:rFonts w:ascii="Arial" w:cs="Arial" w:eastAsia="Arial" w:hAnsi="Arial"/>
          <w:sz w:val="17"/>
          <w:szCs w:val="17"/>
          <w:color w:val="002E6D"/>
        </w:rPr>
      </w:pPr>
    </w:p>
    <w:p>
      <w:pPr>
        <w:ind w:left="200" w:right="140" w:hanging="192"/>
        <w:spacing w:after="0" w:line="257" w:lineRule="auto"/>
        <w:tabs>
          <w:tab w:leader="none" w:pos="173" w:val="left"/>
        </w:tabs>
        <w:numPr>
          <w:ilvl w:val="0"/>
          <w:numId w:val="31"/>
        </w:numPr>
        <w:rPr>
          <w:rFonts w:ascii="Arial" w:cs="Arial" w:eastAsia="Arial" w:hAnsi="Arial"/>
          <w:sz w:val="17"/>
          <w:szCs w:val="17"/>
          <w:color w:val="002E6D"/>
        </w:rPr>
      </w:pPr>
      <w:r>
        <w:rPr>
          <w:rFonts w:ascii="Arial" w:cs="Arial" w:eastAsia="Arial" w:hAnsi="Arial"/>
          <w:sz w:val="17"/>
          <w:szCs w:val="17"/>
          <w:color w:val="auto"/>
        </w:rPr>
        <w:t>Over 38 years’ experience with the demands and challenges of the global marketplace from her positions at Chevron</w:t>
      </w:r>
    </w:p>
    <w:p>
      <w:pPr>
        <w:spacing w:after="0" w:line="200" w:lineRule="exact"/>
        <w:rPr>
          <w:sz w:val="20"/>
          <w:szCs w:val="20"/>
          <w:color w:val="auto"/>
        </w:rPr>
      </w:pPr>
    </w:p>
    <w:p>
      <w:pPr>
        <w:spacing w:after="0" w:line="221" w:lineRule="exact"/>
        <w:rPr>
          <w:sz w:val="20"/>
          <w:szCs w:val="20"/>
          <w:color w:val="auto"/>
        </w:rPr>
      </w:pPr>
    </w:p>
    <w:tbl>
      <w:tblPr>
        <w:tblLayout w:type="fixed"/>
        <w:tblInd w:w="460" w:type="dxa"/>
        <w:tblCellMar>
          <w:top w:w="0" w:type="dxa"/>
          <w:left w:w="0" w:type="dxa"/>
          <w:bottom w:w="0" w:type="dxa"/>
          <w:right w:w="0" w:type="dxa"/>
        </w:tblCellMar>
      </w:tblPr>
      <w:tr>
        <w:trPr>
          <w:trHeight w:val="195"/>
        </w:trPr>
        <w:tc>
          <w:tcPr>
            <w:tcW w:w="2280" w:type="dxa"/>
            <w:vAlign w:val="bottom"/>
          </w:tcPr>
          <w:p>
            <w:pPr>
              <w:spacing w:after="0"/>
              <w:rPr>
                <w:sz w:val="20"/>
                <w:szCs w:val="20"/>
                <w:color w:val="auto"/>
              </w:rPr>
            </w:pPr>
            <w:r>
              <w:rPr>
                <w:rFonts w:ascii="Arial" w:cs="Arial" w:eastAsia="Arial" w:hAnsi="Arial"/>
                <w:sz w:val="17"/>
                <w:szCs w:val="17"/>
                <w:color w:val="auto"/>
              </w:rPr>
              <w:t>Environmental, Safety &amp;</w:t>
            </w:r>
          </w:p>
        </w:tc>
        <w:tc>
          <w:tcPr>
            <w:tcW w:w="2920" w:type="dxa"/>
            <w:vAlign w:val="bottom"/>
            <w:vMerge w:val="restart"/>
          </w:tcPr>
          <w:p>
            <w:pPr>
              <w:ind w:left="460"/>
              <w:spacing w:after="0"/>
              <w:rPr>
                <w:sz w:val="20"/>
                <w:szCs w:val="20"/>
                <w:color w:val="auto"/>
              </w:rPr>
            </w:pPr>
            <w:r>
              <w:rPr>
                <w:rFonts w:ascii="Arial" w:cs="Arial" w:eastAsia="Arial" w:hAnsi="Arial"/>
                <w:sz w:val="17"/>
                <w:szCs w:val="17"/>
                <w:color w:val="auto"/>
              </w:rPr>
              <w:t>Human Capital Management</w:t>
            </w:r>
          </w:p>
        </w:tc>
        <w:tc>
          <w:tcPr>
            <w:tcW w:w="1680" w:type="dxa"/>
            <w:vAlign w:val="bottom"/>
            <w:vMerge w:val="restart"/>
          </w:tcPr>
          <w:p>
            <w:pPr>
              <w:ind w:left="300"/>
              <w:spacing w:after="0"/>
              <w:rPr>
                <w:sz w:val="20"/>
                <w:szCs w:val="20"/>
                <w:color w:val="auto"/>
              </w:rPr>
            </w:pPr>
            <w:r>
              <w:rPr>
                <w:rFonts w:ascii="Arial" w:cs="Arial" w:eastAsia="Arial" w:hAnsi="Arial"/>
                <w:sz w:val="17"/>
                <w:szCs w:val="17"/>
                <w:color w:val="auto"/>
              </w:rPr>
              <w:t>Financial Expert</w:t>
            </w:r>
          </w:p>
        </w:tc>
        <w:tc>
          <w:tcPr>
            <w:tcW w:w="0" w:type="dxa"/>
            <w:vAlign w:val="bottom"/>
          </w:tcPr>
          <w:p>
            <w:pPr>
              <w:spacing w:after="0"/>
              <w:rPr>
                <w:sz w:val="1"/>
                <w:szCs w:val="1"/>
                <w:color w:val="auto"/>
              </w:rPr>
            </w:pPr>
          </w:p>
        </w:tc>
      </w:tr>
      <w:tr>
        <w:trPr>
          <w:trHeight w:val="110"/>
        </w:trPr>
        <w:tc>
          <w:tcPr>
            <w:tcW w:w="2280" w:type="dxa"/>
            <w:vAlign w:val="bottom"/>
            <w:vMerge w:val="restart"/>
          </w:tcPr>
          <w:p>
            <w:pPr>
              <w:spacing w:after="0"/>
              <w:rPr>
                <w:sz w:val="20"/>
                <w:szCs w:val="20"/>
                <w:color w:val="auto"/>
              </w:rPr>
            </w:pPr>
            <w:r>
              <w:rPr>
                <w:rFonts w:ascii="Arial" w:cs="Arial" w:eastAsia="Arial" w:hAnsi="Arial"/>
                <w:sz w:val="17"/>
                <w:szCs w:val="17"/>
                <w:color w:val="auto"/>
              </w:rPr>
              <w:t>Sustainability</w:t>
            </w:r>
          </w:p>
        </w:tc>
        <w:tc>
          <w:tcPr>
            <w:tcW w:w="292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4"/>
        </w:trPr>
        <w:tc>
          <w:tcPr>
            <w:tcW w:w="2280" w:type="dxa"/>
            <w:vAlign w:val="bottom"/>
            <w:vMerge w:val="continue"/>
          </w:tcPr>
          <w:p>
            <w:pPr>
              <w:spacing w:after="0"/>
              <w:rPr>
                <w:sz w:val="8"/>
                <w:szCs w:val="8"/>
                <w:color w:val="auto"/>
              </w:rPr>
            </w:pPr>
          </w:p>
        </w:tc>
        <w:tc>
          <w:tcPr>
            <w:tcW w:w="29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3"/>
        </w:trPr>
        <w:tc>
          <w:tcPr>
            <w:tcW w:w="2280" w:type="dxa"/>
            <w:vAlign w:val="bottom"/>
          </w:tcPr>
          <w:p>
            <w:pPr>
              <w:spacing w:after="0"/>
              <w:rPr>
                <w:sz w:val="20"/>
                <w:szCs w:val="20"/>
                <w:color w:val="auto"/>
              </w:rPr>
            </w:pPr>
            <w:r>
              <w:rPr>
                <w:rFonts w:ascii="Arial" w:cs="Arial" w:eastAsia="Arial" w:hAnsi="Arial"/>
                <w:sz w:val="17"/>
                <w:szCs w:val="17"/>
                <w:color w:val="auto"/>
              </w:rPr>
              <w:t>Manufacturing</w:t>
            </w:r>
          </w:p>
        </w:tc>
        <w:tc>
          <w:tcPr>
            <w:tcW w:w="2920" w:type="dxa"/>
            <w:vAlign w:val="bottom"/>
          </w:tcPr>
          <w:p>
            <w:pPr>
              <w:ind w:left="460"/>
              <w:spacing w:after="0"/>
              <w:rPr>
                <w:sz w:val="20"/>
                <w:szCs w:val="20"/>
                <w:color w:val="auto"/>
              </w:rPr>
            </w:pPr>
            <w:r>
              <w:rPr>
                <w:rFonts w:ascii="Arial" w:cs="Arial" w:eastAsia="Arial" w:hAnsi="Arial"/>
                <w:sz w:val="17"/>
                <w:szCs w:val="17"/>
                <w:color w:val="auto"/>
              </w:rPr>
              <w:t>Global Experience</w:t>
            </w:r>
          </w:p>
        </w:tc>
        <w:tc>
          <w:tcPr>
            <w:tcW w:w="1680" w:type="dxa"/>
            <w:vAlign w:val="bottom"/>
          </w:tcPr>
          <w:p>
            <w:pPr>
              <w:ind w:left="300"/>
              <w:spacing w:after="0"/>
              <w:rPr>
                <w:sz w:val="20"/>
                <w:szCs w:val="20"/>
                <w:color w:val="auto"/>
              </w:rPr>
            </w:pPr>
            <w:r>
              <w:rPr>
                <w:rFonts w:ascii="Arial" w:cs="Arial" w:eastAsia="Arial" w:hAnsi="Arial"/>
                <w:sz w:val="17"/>
                <w:szCs w:val="17"/>
                <w:color w:val="auto"/>
                <w:w w:val="99"/>
              </w:rPr>
              <w:t>Risk Management</w:t>
            </w:r>
          </w:p>
        </w:tc>
        <w:tc>
          <w:tcPr>
            <w:tcW w:w="0" w:type="dxa"/>
            <w:vAlign w:val="bottom"/>
          </w:tcPr>
          <w:p>
            <w:pPr>
              <w:spacing w:after="0"/>
              <w:rPr>
                <w:sz w:val="1"/>
                <w:szCs w:val="1"/>
                <w:color w:val="auto"/>
              </w:rPr>
            </w:pPr>
          </w:p>
        </w:tc>
      </w:tr>
    </w:tbl>
    <w:p>
      <w:pPr>
        <w:spacing w:after="0" w:line="640" w:lineRule="exact"/>
        <w:rPr>
          <w:sz w:val="20"/>
          <w:szCs w:val="20"/>
          <w:color w:val="auto"/>
        </w:rPr>
      </w:pPr>
    </w:p>
    <w:p>
      <w:pPr>
        <w:sectPr>
          <w:pgSz w:w="11900" w:h="16838" w:orient="portrait"/>
          <w:cols w:equalWidth="0" w:num="2">
            <w:col w:w="2240" w:space="720"/>
            <w:col w:w="8220"/>
          </w:cols>
          <w:pgMar w:left="320" w:top="254"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15</w:t>
      </w:r>
    </w:p>
    <w:p>
      <w:pPr>
        <w:sectPr>
          <w:pgSz w:w="11900" w:h="16838" w:orient="portrait"/>
          <w:cols w:equalWidth="0" w:num="1">
            <w:col w:w="11180"/>
          </w:cols>
          <w:pgMar w:left="320" w:top="254" w:right="399" w:bottom="1440" w:gutter="0" w:footer="0" w:header="0"/>
          <w:type w:val="continuous"/>
        </w:sectPr>
      </w:pPr>
    </w:p>
    <w:bookmarkStart w:id="21" w:name="page22"/>
    <w:bookmarkEnd w:id="21"/>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Proposal 1: Election of Directors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9"/>
          <w:szCs w:val="29"/>
          <w:color w:val="003478"/>
        </w:rPr>
        <w:t>Board Effectiveness, Evaluations and Refreshment</w:t>
      </w:r>
    </w:p>
    <w:p>
      <w:pPr>
        <w:spacing w:after="0" w:line="108"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Our Board seeks to operate with the highest degree of effectiveness, supporting a dynamic boardroom culture that encourages diverse, independent thought and intelligent debate on critical matters to achieve a higher level of success for the Company and its stockholders. We take a comprehensive, year-round view of our Board composition. Having the right mix of people who bring diverse perspectives, business and professional experiences and competencies as well as professional integrity, sound judgment and collegiality, provides a foundation for robust dialogue, informed advice and collaboration in the boardroom.</w:t>
      </w:r>
    </w:p>
    <w:p>
      <w:pPr>
        <w:sectPr>
          <w:pgSz w:w="11900" w:h="16838" w:orient="portrait"/>
          <w:cols w:equalWidth="0" w:num="1">
            <w:col w:w="11240"/>
          </w:cols>
          <w:pgMar w:left="320" w:top="254" w:right="339" w:bottom="1440" w:gutter="0" w:footer="0" w:header="0"/>
        </w:sectPr>
      </w:pPr>
    </w:p>
    <w:p>
      <w:pPr>
        <w:spacing w:after="0" w:line="261" w:lineRule="exact"/>
        <w:rPr>
          <w:sz w:val="20"/>
          <w:szCs w:val="20"/>
          <w:color w:val="auto"/>
        </w:rPr>
      </w:pPr>
    </w:p>
    <w:p>
      <w:pPr>
        <w:ind w:left="20"/>
        <w:spacing w:after="0"/>
        <w:rPr>
          <w:sz w:val="20"/>
          <w:szCs w:val="20"/>
          <w:color w:val="auto"/>
        </w:rPr>
      </w:pPr>
      <w:r>
        <w:rPr>
          <w:rFonts w:ascii="Arial" w:cs="Arial" w:eastAsia="Arial" w:hAnsi="Arial"/>
          <w:sz w:val="20"/>
          <w:szCs w:val="20"/>
          <w:color w:val="003478"/>
        </w:rPr>
        <w:t>Governance Committee Review of Board Candidates</w:t>
      </w:r>
    </w:p>
    <w:p>
      <w:pPr>
        <w:spacing w:after="0" w:line="103" w:lineRule="exact"/>
        <w:rPr>
          <w:sz w:val="20"/>
          <w:szCs w:val="20"/>
          <w:color w:val="auto"/>
        </w:rPr>
      </w:pPr>
    </w:p>
    <w:p>
      <w:pPr>
        <w:ind w:left="20" w:right="140"/>
        <w:spacing w:after="0" w:line="250" w:lineRule="auto"/>
        <w:rPr>
          <w:sz w:val="20"/>
          <w:szCs w:val="20"/>
          <w:color w:val="auto"/>
        </w:rPr>
      </w:pPr>
      <w:r>
        <w:rPr>
          <w:rFonts w:ascii="Arial" w:cs="Arial" w:eastAsia="Arial" w:hAnsi="Arial"/>
          <w:sz w:val="17"/>
          <w:szCs w:val="17"/>
          <w:color w:val="auto"/>
        </w:rPr>
        <w:t xml:space="preserve">The Board seeks a diverse group of candidates who, at a minimum, possess the background, skills, expertise, competencies and time to make a significant contribution to the Board. Our Governance Guidelines (available at </w:t>
      </w:r>
      <w:r>
        <w:rPr>
          <w:rFonts w:ascii="Arial" w:cs="Arial" w:eastAsia="Arial" w:hAnsi="Arial"/>
          <w:sz w:val="17"/>
          <w:szCs w:val="17"/>
          <w:i w:val="1"/>
          <w:iCs w:val="1"/>
          <w:color w:val="auto"/>
        </w:rPr>
        <w:t>www.lockheedmartin.com/corporate-governance</w:t>
      </w:r>
      <w:r>
        <w:rPr>
          <w:rFonts w:ascii="Arial" w:cs="Arial" w:eastAsia="Arial" w:hAnsi="Arial"/>
          <w:sz w:val="17"/>
          <w:szCs w:val="17"/>
          <w:color w:val="auto"/>
        </w:rPr>
        <w:t>) list criteria against which candidates may be judged. In addition, the Governance Committee considers, among other things:</w:t>
      </w:r>
    </w:p>
    <w:p>
      <w:pPr>
        <w:spacing w:after="0" w:line="99" w:lineRule="exact"/>
        <w:rPr>
          <w:sz w:val="20"/>
          <w:szCs w:val="20"/>
          <w:color w:val="auto"/>
        </w:rPr>
      </w:pPr>
    </w:p>
    <w:p>
      <w:pPr>
        <w:ind w:left="200" w:hanging="175"/>
        <w:spacing w:after="0"/>
        <w:tabs>
          <w:tab w:leader="none" w:pos="200" w:val="left"/>
        </w:tabs>
        <w:numPr>
          <w:ilvl w:val="0"/>
          <w:numId w:val="32"/>
        </w:numPr>
        <w:rPr>
          <w:rFonts w:ascii="Arial" w:cs="Arial" w:eastAsia="Arial" w:hAnsi="Arial"/>
          <w:sz w:val="17"/>
          <w:szCs w:val="17"/>
          <w:color w:val="002E6D"/>
        </w:rPr>
      </w:pPr>
      <w:r>
        <w:rPr>
          <w:rFonts w:ascii="Arial" w:cs="Arial" w:eastAsia="Arial" w:hAnsi="Arial"/>
          <w:sz w:val="17"/>
          <w:szCs w:val="17"/>
          <w:color w:val="auto"/>
        </w:rPr>
        <w:t>input from the Board’s self-assessment process to prioritize areas of expertise that were identified;</w:t>
      </w:r>
    </w:p>
    <w:p>
      <w:pPr>
        <w:spacing w:after="0" w:line="19" w:lineRule="exact"/>
        <w:rPr>
          <w:rFonts w:ascii="Arial" w:cs="Arial" w:eastAsia="Arial" w:hAnsi="Arial"/>
          <w:sz w:val="17"/>
          <w:szCs w:val="17"/>
          <w:color w:val="002E6D"/>
        </w:rPr>
      </w:pPr>
    </w:p>
    <w:p>
      <w:pPr>
        <w:ind w:left="200" w:hanging="175"/>
        <w:spacing w:after="0"/>
        <w:tabs>
          <w:tab w:leader="none" w:pos="200" w:val="left"/>
        </w:tabs>
        <w:numPr>
          <w:ilvl w:val="0"/>
          <w:numId w:val="32"/>
        </w:numPr>
        <w:rPr>
          <w:rFonts w:ascii="Arial" w:cs="Arial" w:eastAsia="Arial" w:hAnsi="Arial"/>
          <w:sz w:val="17"/>
          <w:szCs w:val="17"/>
          <w:color w:val="002E6D"/>
        </w:rPr>
      </w:pPr>
      <w:r>
        <w:rPr>
          <w:rFonts w:ascii="Arial" w:cs="Arial" w:eastAsia="Arial" w:hAnsi="Arial"/>
          <w:sz w:val="17"/>
          <w:szCs w:val="17"/>
          <w:color w:val="auto"/>
        </w:rPr>
        <w:t>investor feedback and perceptions;</w:t>
      </w:r>
    </w:p>
    <w:p>
      <w:pPr>
        <w:spacing w:after="0" w:line="32" w:lineRule="exact"/>
        <w:rPr>
          <w:rFonts w:ascii="Arial" w:cs="Arial" w:eastAsia="Arial" w:hAnsi="Arial"/>
          <w:sz w:val="17"/>
          <w:szCs w:val="17"/>
          <w:color w:val="002E6D"/>
        </w:rPr>
      </w:pPr>
    </w:p>
    <w:p>
      <w:pPr>
        <w:ind w:left="220" w:right="100" w:hanging="195"/>
        <w:spacing w:after="0" w:line="255" w:lineRule="auto"/>
        <w:tabs>
          <w:tab w:leader="none" w:pos="194" w:val="left"/>
        </w:tabs>
        <w:numPr>
          <w:ilvl w:val="0"/>
          <w:numId w:val="32"/>
        </w:numPr>
        <w:rPr>
          <w:rFonts w:ascii="Arial" w:cs="Arial" w:eastAsia="Arial" w:hAnsi="Arial"/>
          <w:sz w:val="17"/>
          <w:szCs w:val="17"/>
          <w:color w:val="002E6D"/>
        </w:rPr>
      </w:pPr>
      <w:r>
        <w:rPr>
          <w:rFonts w:ascii="Arial" w:cs="Arial" w:eastAsia="Arial" w:hAnsi="Arial"/>
          <w:sz w:val="17"/>
          <w:szCs w:val="17"/>
          <w:color w:val="auto"/>
        </w:rPr>
        <w:t>alignment of the candidates’ skills and competencies to the Company’s future strategic challenges and opportunities;</w:t>
      </w:r>
    </w:p>
    <w:p>
      <w:pPr>
        <w:spacing w:after="0" w:line="1" w:lineRule="exact"/>
        <w:rPr>
          <w:rFonts w:ascii="Arial" w:cs="Arial" w:eastAsia="Arial" w:hAnsi="Arial"/>
          <w:sz w:val="17"/>
          <w:szCs w:val="17"/>
          <w:color w:val="002E6D"/>
        </w:rPr>
      </w:pPr>
    </w:p>
    <w:p>
      <w:pPr>
        <w:ind w:left="200" w:hanging="175"/>
        <w:spacing w:after="0"/>
        <w:tabs>
          <w:tab w:leader="none" w:pos="200" w:val="left"/>
        </w:tabs>
        <w:numPr>
          <w:ilvl w:val="0"/>
          <w:numId w:val="32"/>
        </w:numPr>
        <w:rPr>
          <w:rFonts w:ascii="Arial" w:cs="Arial" w:eastAsia="Arial" w:hAnsi="Arial"/>
          <w:sz w:val="17"/>
          <w:szCs w:val="17"/>
          <w:color w:val="002E6D"/>
        </w:rPr>
      </w:pPr>
      <w:r>
        <w:rPr>
          <w:rFonts w:ascii="Arial" w:cs="Arial" w:eastAsia="Arial" w:hAnsi="Arial"/>
          <w:sz w:val="17"/>
          <w:szCs w:val="17"/>
          <w:color w:val="auto"/>
        </w:rPr>
        <w:t>the needs of the Board in light of expected Board retirements or resignations; and</w:t>
      </w:r>
    </w:p>
    <w:p>
      <w:pPr>
        <w:spacing w:after="0" w:line="19" w:lineRule="exact"/>
        <w:rPr>
          <w:rFonts w:ascii="Arial" w:cs="Arial" w:eastAsia="Arial" w:hAnsi="Arial"/>
          <w:sz w:val="17"/>
          <w:szCs w:val="17"/>
          <w:color w:val="002E6D"/>
        </w:rPr>
      </w:pPr>
    </w:p>
    <w:p>
      <w:pPr>
        <w:ind w:left="200" w:hanging="175"/>
        <w:spacing w:after="0"/>
        <w:tabs>
          <w:tab w:leader="none" w:pos="200" w:val="left"/>
        </w:tabs>
        <w:numPr>
          <w:ilvl w:val="0"/>
          <w:numId w:val="32"/>
        </w:numPr>
        <w:rPr>
          <w:rFonts w:ascii="Arial" w:cs="Arial" w:eastAsia="Arial" w:hAnsi="Arial"/>
          <w:sz w:val="17"/>
          <w:szCs w:val="17"/>
          <w:color w:val="002E6D"/>
        </w:rPr>
      </w:pPr>
      <w:r>
        <w:rPr>
          <w:rFonts w:ascii="Arial" w:cs="Arial" w:eastAsia="Arial" w:hAnsi="Arial"/>
          <w:sz w:val="17"/>
          <w:szCs w:val="17"/>
          <w:color w:val="auto"/>
        </w:rPr>
        <w:t>a balance between public company and government customer-related experience.</w:t>
      </w:r>
    </w:p>
    <w:p>
      <w:pPr>
        <w:spacing w:after="0" w:line="114" w:lineRule="exact"/>
        <w:rPr>
          <w:sz w:val="20"/>
          <w:szCs w:val="20"/>
          <w:color w:val="auto"/>
        </w:rPr>
      </w:pPr>
    </w:p>
    <w:p>
      <w:pPr>
        <w:ind w:left="20"/>
        <w:spacing w:after="0" w:line="248" w:lineRule="auto"/>
        <w:rPr>
          <w:sz w:val="20"/>
          <w:szCs w:val="20"/>
          <w:color w:val="auto"/>
        </w:rPr>
      </w:pPr>
      <w:r>
        <w:rPr>
          <w:rFonts w:ascii="Arial" w:cs="Arial" w:eastAsia="Arial" w:hAnsi="Arial"/>
          <w:sz w:val="17"/>
          <w:szCs w:val="17"/>
          <w:color w:val="auto"/>
        </w:rPr>
        <w:t>When identifying and selecting director nominees, the Governance Committee screens and recommends candidates for nomination by the full Board. The Governance Committee uses a variety of methods to help identify potential board candidates with the desired skills and background needed for the Company’s business, including informal networks, internal resources and other channels. The Governance Committee considers both the short- and long-term strategies of the Company to determine what current and future skills and experience are required of the Board in exercising its oversight function and in the context of our strategic priorities. Our internal executive search team compiles a list of prospective director candidates reflecting the Board’s criteria, qualifications and experience, keeping in mind its commitment to diversity. Candidates (including Ms. Yarrington and Mr. Donovan) are identified from this source pool by the Chairman and the Governance Committee and may be interviewed by the Chairman and independent Lead Director, who chairs the Governance Committee.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ind w:left="20"/>
        <w:spacing w:after="0"/>
        <w:rPr>
          <w:sz w:val="20"/>
          <w:szCs w:val="20"/>
          <w:color w:val="auto"/>
        </w:rPr>
      </w:pPr>
      <w:r>
        <w:rPr>
          <w:rFonts w:ascii="Arial" w:cs="Arial" w:eastAsia="Arial" w:hAnsi="Arial"/>
          <w:sz w:val="20"/>
          <w:szCs w:val="20"/>
          <w:color w:val="003478"/>
        </w:rPr>
        <w:t>Board Refreshment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2167255" cy="4438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67255" cy="443865"/>
                    </a:xfrm>
                    <a:prstGeom prst="rect">
                      <a:avLst/>
                    </a:prstGeom>
                    <a:noFill/>
                  </pic:spPr>
                </pic:pic>
              </a:graphicData>
            </a:graphic>
          </wp:anchor>
        </w:drawing>
      </w:r>
    </w:p>
    <w:p>
      <w:pPr>
        <w:spacing w:after="0" w:line="392" w:lineRule="exact"/>
        <w:rPr>
          <w:sz w:val="20"/>
          <w:szCs w:val="20"/>
          <w:color w:val="auto"/>
        </w:rPr>
      </w:pPr>
    </w:p>
    <w:p>
      <w:pPr>
        <w:ind w:left="160"/>
        <w:spacing w:after="0"/>
        <w:rPr>
          <w:sz w:val="20"/>
          <w:szCs w:val="20"/>
          <w:color w:val="auto"/>
        </w:rPr>
      </w:pPr>
      <w:r>
        <w:rPr>
          <w:rFonts w:ascii="Arial" w:cs="Arial" w:eastAsia="Arial" w:hAnsi="Arial"/>
          <w:sz w:val="17"/>
          <w:szCs w:val="17"/>
          <w:color w:val="002E6D"/>
        </w:rPr>
        <w:t>Since 2018: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60" w:type="dxa"/>
            <w:vAlign w:val="bottom"/>
            <w:vMerge w:val="restart"/>
            <w:shd w:val="clear" w:color="auto" w:fill="E4E6EF"/>
          </w:tcPr>
          <w:p>
            <w:pPr>
              <w:ind w:left="160"/>
              <w:spacing w:after="0"/>
              <w:rPr>
                <w:sz w:val="20"/>
                <w:szCs w:val="20"/>
                <w:color w:val="auto"/>
              </w:rPr>
            </w:pPr>
            <w:r>
              <w:rPr>
                <w:rFonts w:ascii="Arial" w:cs="Arial" w:eastAsia="Arial" w:hAnsi="Arial"/>
                <w:sz w:val="29"/>
                <w:szCs w:val="29"/>
                <w:color w:val="002E6D"/>
              </w:rPr>
              <w:t xml:space="preserve">7 </w:t>
            </w:r>
            <w:r>
              <w:rPr>
                <w:rFonts w:ascii="Arial" w:cs="Arial" w:eastAsia="Arial" w:hAnsi="Arial"/>
                <w:sz w:val="17"/>
                <w:szCs w:val="17"/>
                <w:color w:val="000000"/>
              </w:rPr>
              <w:t>new directors,</w:t>
            </w:r>
          </w:p>
        </w:tc>
        <w:tc>
          <w:tcPr>
            <w:tcW w:w="400" w:type="dxa"/>
            <w:vAlign w:val="bottom"/>
            <w:gridSpan w:val="2"/>
            <w:shd w:val="clear" w:color="auto" w:fill="E4E6EF"/>
          </w:tcPr>
          <w:p>
            <w:pPr>
              <w:ind w:left="180"/>
              <w:spacing w:after="0"/>
              <w:rPr>
                <w:sz w:val="20"/>
                <w:szCs w:val="20"/>
                <w:color w:val="auto"/>
              </w:rPr>
            </w:pPr>
            <w:r>
              <w:rPr>
                <w:rFonts w:ascii="Arial" w:cs="Arial" w:eastAsia="Arial" w:hAnsi="Arial"/>
                <w:sz w:val="18"/>
                <w:szCs w:val="18"/>
                <w:color w:val="002E6D"/>
              </w:rPr>
              <w:t>l</w:t>
            </w:r>
          </w:p>
        </w:tc>
        <w:tc>
          <w:tcPr>
            <w:tcW w:w="960" w:type="dxa"/>
            <w:vAlign w:val="bottom"/>
            <w:shd w:val="clear" w:color="auto" w:fill="E4E6EF"/>
          </w:tcPr>
          <w:p>
            <w:pPr>
              <w:ind w:left="20"/>
              <w:spacing w:after="0"/>
              <w:rPr>
                <w:sz w:val="20"/>
                <w:szCs w:val="20"/>
                <w:color w:val="auto"/>
              </w:rPr>
            </w:pPr>
            <w:r>
              <w:rPr>
                <w:rFonts w:ascii="Arial" w:cs="Arial" w:eastAsia="Arial" w:hAnsi="Arial"/>
                <w:sz w:val="17"/>
                <w:szCs w:val="17"/>
                <w:color w:val="002E6D"/>
              </w:rPr>
              <w:t>2018</w:t>
            </w:r>
          </w:p>
        </w:tc>
        <w:tc>
          <w:tcPr>
            <w:tcW w:w="0" w:type="dxa"/>
            <w:vAlign w:val="bottom"/>
          </w:tcPr>
          <w:p>
            <w:pPr>
              <w:spacing w:after="0"/>
              <w:rPr>
                <w:sz w:val="1"/>
                <w:szCs w:val="1"/>
                <w:color w:val="auto"/>
              </w:rPr>
            </w:pPr>
          </w:p>
        </w:tc>
      </w:tr>
      <w:tr>
        <w:trPr>
          <w:trHeight w:val="186"/>
        </w:trPr>
        <w:tc>
          <w:tcPr>
            <w:tcW w:w="2060" w:type="dxa"/>
            <w:vAlign w:val="bottom"/>
            <w:vMerge w:val="continue"/>
            <w:shd w:val="clear" w:color="auto" w:fill="E4E6EF"/>
          </w:tcPr>
          <w:p>
            <w:pPr>
              <w:spacing w:after="0"/>
              <w:rPr>
                <w:sz w:val="16"/>
                <w:szCs w:val="16"/>
                <w:color w:val="auto"/>
              </w:rPr>
            </w:pPr>
          </w:p>
        </w:tc>
        <w:tc>
          <w:tcPr>
            <w:tcW w:w="220" w:type="dxa"/>
            <w:vAlign w:val="bottom"/>
            <w:tcBorders>
              <w:right w:val="single" w:sz="8" w:color="002E6D"/>
            </w:tcBorders>
            <w:shd w:val="clear" w:color="auto" w:fill="E4E6EF"/>
          </w:tcPr>
          <w:p>
            <w:pPr>
              <w:spacing w:after="0"/>
              <w:rPr>
                <w:sz w:val="16"/>
                <w:szCs w:val="16"/>
                <w:color w:val="auto"/>
              </w:rPr>
            </w:pPr>
          </w:p>
        </w:tc>
        <w:tc>
          <w:tcPr>
            <w:tcW w:w="180" w:type="dxa"/>
            <w:vAlign w:val="bottom"/>
            <w:shd w:val="clear" w:color="auto" w:fill="E4E6EF"/>
          </w:tcPr>
          <w:p>
            <w:pPr>
              <w:spacing w:after="0"/>
              <w:rPr>
                <w:sz w:val="16"/>
                <w:szCs w:val="16"/>
                <w:color w:val="auto"/>
              </w:rPr>
            </w:pPr>
          </w:p>
        </w:tc>
        <w:tc>
          <w:tcPr>
            <w:tcW w:w="960" w:type="dxa"/>
            <w:vAlign w:val="bottom"/>
            <w:vMerge w:val="restart"/>
            <w:shd w:val="clear" w:color="auto" w:fill="E4E6EF"/>
          </w:tcPr>
          <w:p>
            <w:pPr>
              <w:ind w:left="20"/>
              <w:spacing w:after="0"/>
              <w:rPr>
                <w:sz w:val="20"/>
                <w:szCs w:val="20"/>
                <w:color w:val="auto"/>
              </w:rPr>
            </w:pPr>
            <w:r>
              <w:rPr>
                <w:rFonts w:ascii="Arial" w:cs="Arial" w:eastAsia="Arial" w:hAnsi="Arial"/>
                <w:sz w:val="29"/>
                <w:szCs w:val="29"/>
                <w:color w:val="002E6D"/>
              </w:rPr>
              <w:t xml:space="preserve">3 </w:t>
            </w:r>
            <w:r>
              <w:rPr>
                <w:rFonts w:ascii="Arial" w:cs="Arial" w:eastAsia="Arial" w:hAnsi="Arial"/>
                <w:sz w:val="17"/>
                <w:szCs w:val="17"/>
                <w:color w:val="000000"/>
              </w:rPr>
              <w:t>new</w:t>
            </w:r>
          </w:p>
        </w:tc>
        <w:tc>
          <w:tcPr>
            <w:tcW w:w="0" w:type="dxa"/>
            <w:vAlign w:val="bottom"/>
          </w:tcPr>
          <w:p>
            <w:pPr>
              <w:spacing w:after="0"/>
              <w:rPr>
                <w:sz w:val="1"/>
                <w:szCs w:val="1"/>
                <w:color w:val="auto"/>
              </w:rPr>
            </w:pPr>
          </w:p>
        </w:tc>
      </w:tr>
      <w:tr>
        <w:trPr>
          <w:trHeight w:val="154"/>
        </w:trPr>
        <w:tc>
          <w:tcPr>
            <w:tcW w:w="2060" w:type="dxa"/>
            <w:vAlign w:val="bottom"/>
            <w:shd w:val="clear" w:color="auto" w:fill="E4E6EF"/>
          </w:tcPr>
          <w:p>
            <w:pPr>
              <w:ind w:left="160"/>
              <w:spacing w:after="0" w:line="154" w:lineRule="exact"/>
              <w:rPr>
                <w:sz w:val="20"/>
                <w:szCs w:val="20"/>
                <w:color w:val="auto"/>
              </w:rPr>
            </w:pPr>
            <w:r>
              <w:rPr>
                <w:rFonts w:ascii="Arial" w:cs="Arial" w:eastAsia="Arial" w:hAnsi="Arial"/>
                <w:sz w:val="17"/>
                <w:szCs w:val="17"/>
                <w:color w:val="auto"/>
              </w:rPr>
              <w:t>including</w:t>
            </w:r>
          </w:p>
        </w:tc>
        <w:tc>
          <w:tcPr>
            <w:tcW w:w="220" w:type="dxa"/>
            <w:vAlign w:val="bottom"/>
            <w:tcBorders>
              <w:right w:val="single" w:sz="8" w:color="002E6D"/>
            </w:tcBorders>
            <w:shd w:val="clear" w:color="auto" w:fill="E4E6EF"/>
          </w:tcPr>
          <w:p>
            <w:pPr>
              <w:spacing w:after="0"/>
              <w:rPr>
                <w:sz w:val="13"/>
                <w:szCs w:val="13"/>
                <w:color w:val="auto"/>
              </w:rPr>
            </w:pPr>
          </w:p>
        </w:tc>
        <w:tc>
          <w:tcPr>
            <w:tcW w:w="180" w:type="dxa"/>
            <w:vAlign w:val="bottom"/>
            <w:shd w:val="clear" w:color="auto" w:fill="E4E6EF"/>
          </w:tcPr>
          <w:p>
            <w:pPr>
              <w:spacing w:after="0"/>
              <w:rPr>
                <w:sz w:val="13"/>
                <w:szCs w:val="13"/>
                <w:color w:val="auto"/>
              </w:rPr>
            </w:pPr>
          </w:p>
        </w:tc>
        <w:tc>
          <w:tcPr>
            <w:tcW w:w="960" w:type="dxa"/>
            <w:vAlign w:val="bottom"/>
            <w:vMerge w:val="continue"/>
            <w:shd w:val="clear" w:color="auto" w:fill="E4E6E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060" w:type="dxa"/>
            <w:vAlign w:val="bottom"/>
            <w:vMerge w:val="restart"/>
            <w:shd w:val="clear" w:color="auto" w:fill="E4E6EF"/>
          </w:tcPr>
          <w:p>
            <w:pPr>
              <w:ind w:left="160"/>
              <w:spacing w:after="0"/>
              <w:rPr>
                <w:sz w:val="20"/>
                <w:szCs w:val="20"/>
                <w:color w:val="auto"/>
              </w:rPr>
            </w:pPr>
            <w:r>
              <w:rPr>
                <w:rFonts w:ascii="Arial" w:cs="Arial" w:eastAsia="Arial" w:hAnsi="Arial"/>
                <w:sz w:val="29"/>
                <w:szCs w:val="29"/>
                <w:color w:val="002E6D"/>
              </w:rPr>
              <w:t xml:space="preserve">3 </w:t>
            </w:r>
            <w:r>
              <w:rPr>
                <w:rFonts w:ascii="Arial" w:cs="Arial" w:eastAsia="Arial" w:hAnsi="Arial"/>
                <w:sz w:val="17"/>
                <w:szCs w:val="17"/>
                <w:color w:val="000000"/>
              </w:rPr>
              <w:t>women directors and</w:t>
            </w:r>
          </w:p>
        </w:tc>
        <w:tc>
          <w:tcPr>
            <w:tcW w:w="220" w:type="dxa"/>
            <w:vAlign w:val="bottom"/>
            <w:tcBorders>
              <w:right w:val="single" w:sz="8" w:color="002E6D"/>
            </w:tcBorders>
            <w:shd w:val="clear" w:color="auto" w:fill="E4E6EF"/>
          </w:tcPr>
          <w:p>
            <w:pPr>
              <w:spacing w:after="0"/>
              <w:rPr>
                <w:sz w:val="17"/>
                <w:szCs w:val="17"/>
                <w:color w:val="auto"/>
              </w:rPr>
            </w:pPr>
          </w:p>
        </w:tc>
        <w:tc>
          <w:tcPr>
            <w:tcW w:w="180" w:type="dxa"/>
            <w:vAlign w:val="bottom"/>
            <w:shd w:val="clear" w:color="auto" w:fill="E4E6EF"/>
          </w:tcPr>
          <w:p>
            <w:pPr>
              <w:spacing w:after="0"/>
              <w:rPr>
                <w:sz w:val="17"/>
                <w:szCs w:val="17"/>
                <w:color w:val="auto"/>
              </w:rPr>
            </w:pPr>
          </w:p>
        </w:tc>
        <w:tc>
          <w:tcPr>
            <w:tcW w:w="960" w:type="dxa"/>
            <w:vAlign w:val="bottom"/>
            <w:shd w:val="clear" w:color="auto" w:fill="E4E6EF"/>
          </w:tcPr>
          <w:p>
            <w:pPr>
              <w:ind w:left="20"/>
              <w:spacing w:after="0"/>
              <w:rPr>
                <w:sz w:val="20"/>
                <w:szCs w:val="20"/>
                <w:color w:val="auto"/>
              </w:rPr>
            </w:pPr>
            <w:r>
              <w:rPr>
                <w:rFonts w:ascii="Arial" w:cs="Arial" w:eastAsia="Arial" w:hAnsi="Arial"/>
                <w:sz w:val="17"/>
                <w:szCs w:val="17"/>
                <w:color w:val="auto"/>
              </w:rPr>
              <w:t>directors</w:t>
            </w:r>
          </w:p>
        </w:tc>
        <w:tc>
          <w:tcPr>
            <w:tcW w:w="0" w:type="dxa"/>
            <w:vAlign w:val="bottom"/>
          </w:tcPr>
          <w:p>
            <w:pPr>
              <w:spacing w:after="0"/>
              <w:rPr>
                <w:sz w:val="1"/>
                <w:szCs w:val="1"/>
                <w:color w:val="auto"/>
              </w:rPr>
            </w:pPr>
          </w:p>
        </w:tc>
      </w:tr>
      <w:tr>
        <w:trPr>
          <w:trHeight w:val="145"/>
        </w:trPr>
        <w:tc>
          <w:tcPr>
            <w:tcW w:w="2060" w:type="dxa"/>
            <w:vAlign w:val="bottom"/>
            <w:vMerge w:val="continue"/>
            <w:shd w:val="clear" w:color="auto" w:fill="E4E6EF"/>
          </w:tcPr>
          <w:p>
            <w:pPr>
              <w:spacing w:after="0"/>
              <w:rPr>
                <w:sz w:val="12"/>
                <w:szCs w:val="12"/>
                <w:color w:val="auto"/>
              </w:rPr>
            </w:pPr>
          </w:p>
        </w:tc>
        <w:tc>
          <w:tcPr>
            <w:tcW w:w="220" w:type="dxa"/>
            <w:vAlign w:val="bottom"/>
            <w:tcBorders>
              <w:right w:val="single" w:sz="8" w:color="002E6D"/>
            </w:tcBorders>
            <w:shd w:val="clear" w:color="auto" w:fill="E4E6EF"/>
          </w:tcPr>
          <w:p>
            <w:pPr>
              <w:spacing w:after="0"/>
              <w:rPr>
                <w:sz w:val="12"/>
                <w:szCs w:val="12"/>
                <w:color w:val="auto"/>
              </w:rPr>
            </w:pPr>
          </w:p>
        </w:tc>
        <w:tc>
          <w:tcPr>
            <w:tcW w:w="180" w:type="dxa"/>
            <w:vAlign w:val="bottom"/>
            <w:shd w:val="clear" w:color="auto" w:fill="E4E6EF"/>
          </w:tcPr>
          <w:p>
            <w:pPr>
              <w:spacing w:after="0"/>
              <w:rPr>
                <w:sz w:val="12"/>
                <w:szCs w:val="12"/>
                <w:color w:val="auto"/>
              </w:rPr>
            </w:pPr>
          </w:p>
        </w:tc>
        <w:tc>
          <w:tcPr>
            <w:tcW w:w="960" w:type="dxa"/>
            <w:vAlign w:val="bottom"/>
            <w:vMerge w:val="restart"/>
            <w:shd w:val="clear" w:color="auto" w:fill="E4E6EF"/>
          </w:tcPr>
          <w:p>
            <w:pPr>
              <w:ind w:left="20"/>
              <w:spacing w:after="0"/>
              <w:rPr>
                <w:sz w:val="20"/>
                <w:szCs w:val="20"/>
                <w:color w:val="auto"/>
              </w:rPr>
            </w:pPr>
            <w:r>
              <w:rPr>
                <w:rFonts w:ascii="Arial" w:cs="Arial" w:eastAsia="Arial" w:hAnsi="Arial"/>
                <w:sz w:val="17"/>
                <w:szCs w:val="17"/>
                <w:color w:val="002E6D"/>
              </w:rPr>
              <w:t>2019</w:t>
            </w:r>
          </w:p>
        </w:tc>
        <w:tc>
          <w:tcPr>
            <w:tcW w:w="0" w:type="dxa"/>
            <w:vAlign w:val="bottom"/>
          </w:tcPr>
          <w:p>
            <w:pPr>
              <w:spacing w:after="0"/>
              <w:rPr>
                <w:sz w:val="1"/>
                <w:szCs w:val="1"/>
                <w:color w:val="auto"/>
              </w:rPr>
            </w:pPr>
          </w:p>
        </w:tc>
      </w:tr>
      <w:tr>
        <w:trPr>
          <w:trHeight w:val="126"/>
        </w:trPr>
        <w:tc>
          <w:tcPr>
            <w:tcW w:w="2060" w:type="dxa"/>
            <w:vAlign w:val="bottom"/>
            <w:vMerge w:val="continue"/>
            <w:shd w:val="clear" w:color="auto" w:fill="E4E6EF"/>
          </w:tcPr>
          <w:p>
            <w:pPr>
              <w:spacing w:after="0"/>
              <w:rPr>
                <w:sz w:val="10"/>
                <w:szCs w:val="10"/>
                <w:color w:val="auto"/>
              </w:rPr>
            </w:pPr>
          </w:p>
        </w:tc>
        <w:tc>
          <w:tcPr>
            <w:tcW w:w="400" w:type="dxa"/>
            <w:vAlign w:val="bottom"/>
            <w:gridSpan w:val="2"/>
            <w:vMerge w:val="restart"/>
            <w:shd w:val="clear" w:color="auto" w:fill="E4E6EF"/>
          </w:tcPr>
          <w:p>
            <w:pPr>
              <w:ind w:left="180"/>
              <w:spacing w:after="0"/>
              <w:rPr>
                <w:sz w:val="20"/>
                <w:szCs w:val="20"/>
                <w:color w:val="auto"/>
              </w:rPr>
            </w:pPr>
            <w:r>
              <w:rPr>
                <w:rFonts w:ascii="Arial" w:cs="Arial" w:eastAsia="Arial" w:hAnsi="Arial"/>
                <w:sz w:val="18"/>
                <w:szCs w:val="18"/>
                <w:color w:val="002E6D"/>
              </w:rPr>
              <w:t>l</w:t>
            </w:r>
          </w:p>
        </w:tc>
        <w:tc>
          <w:tcPr>
            <w:tcW w:w="960" w:type="dxa"/>
            <w:vAlign w:val="bottom"/>
            <w:vMerge w:val="continue"/>
            <w:shd w:val="clear" w:color="auto" w:fill="E4E6EF"/>
          </w:tcPr>
          <w:p>
            <w:pPr>
              <w:spacing w:after="0"/>
              <w:rPr>
                <w:sz w:val="10"/>
                <w:szCs w:val="10"/>
                <w:color w:val="auto"/>
              </w:rPr>
            </w:pPr>
          </w:p>
        </w:tc>
        <w:tc>
          <w:tcPr>
            <w:tcW w:w="0" w:type="dxa"/>
            <w:vAlign w:val="bottom"/>
          </w:tcPr>
          <w:p>
            <w:pPr>
              <w:spacing w:after="0"/>
              <w:rPr>
                <w:sz w:val="1"/>
                <w:szCs w:val="1"/>
                <w:color w:val="auto"/>
              </w:rPr>
            </w:pPr>
          </w:p>
        </w:tc>
      </w:tr>
      <w:tr>
        <w:trPr>
          <w:trHeight w:val="111"/>
        </w:trPr>
        <w:tc>
          <w:tcPr>
            <w:tcW w:w="2060" w:type="dxa"/>
            <w:vAlign w:val="bottom"/>
            <w:vMerge w:val="restart"/>
            <w:shd w:val="clear" w:color="auto" w:fill="E4E6EF"/>
          </w:tcPr>
          <w:p>
            <w:pPr>
              <w:ind w:left="160"/>
              <w:spacing w:after="0"/>
              <w:rPr>
                <w:sz w:val="20"/>
                <w:szCs w:val="20"/>
                <w:color w:val="auto"/>
              </w:rPr>
            </w:pPr>
            <w:r>
              <w:rPr>
                <w:rFonts w:ascii="Arial" w:cs="Arial" w:eastAsia="Arial" w:hAnsi="Arial"/>
                <w:sz w:val="29"/>
                <w:szCs w:val="29"/>
                <w:color w:val="002E6D"/>
              </w:rPr>
              <w:t xml:space="preserve">1 </w:t>
            </w:r>
            <w:r>
              <w:rPr>
                <w:rFonts w:ascii="Arial" w:cs="Arial" w:eastAsia="Arial" w:hAnsi="Arial"/>
                <w:sz w:val="17"/>
                <w:szCs w:val="17"/>
                <w:color w:val="000000"/>
              </w:rPr>
              <w:t>African-American</w:t>
            </w:r>
          </w:p>
        </w:tc>
        <w:tc>
          <w:tcPr>
            <w:tcW w:w="400" w:type="dxa"/>
            <w:vAlign w:val="bottom"/>
            <w:gridSpan w:val="2"/>
            <w:vMerge w:val="continue"/>
            <w:shd w:val="clear" w:color="auto" w:fill="E4E6EF"/>
          </w:tcPr>
          <w:p>
            <w:pPr>
              <w:spacing w:after="0"/>
              <w:rPr>
                <w:sz w:val="9"/>
                <w:szCs w:val="9"/>
                <w:color w:val="auto"/>
              </w:rPr>
            </w:pPr>
          </w:p>
        </w:tc>
        <w:tc>
          <w:tcPr>
            <w:tcW w:w="960" w:type="dxa"/>
            <w:vAlign w:val="bottom"/>
            <w:vMerge w:val="continue"/>
            <w:shd w:val="clear" w:color="auto" w:fill="E4E6EF"/>
          </w:tcPr>
          <w:p>
            <w:pPr>
              <w:spacing w:after="0"/>
              <w:rPr>
                <w:sz w:val="9"/>
                <w:szCs w:val="9"/>
                <w:color w:val="auto"/>
              </w:rPr>
            </w:pPr>
          </w:p>
        </w:tc>
        <w:tc>
          <w:tcPr>
            <w:tcW w:w="0" w:type="dxa"/>
            <w:vAlign w:val="bottom"/>
          </w:tcPr>
          <w:p>
            <w:pPr>
              <w:spacing w:after="0"/>
              <w:rPr>
                <w:sz w:val="1"/>
                <w:szCs w:val="1"/>
                <w:color w:val="auto"/>
              </w:rPr>
            </w:pPr>
          </w:p>
        </w:tc>
      </w:tr>
      <w:tr>
        <w:trPr>
          <w:trHeight w:val="267"/>
        </w:trPr>
        <w:tc>
          <w:tcPr>
            <w:tcW w:w="2060" w:type="dxa"/>
            <w:vAlign w:val="bottom"/>
            <w:vMerge w:val="continue"/>
            <w:shd w:val="clear" w:color="auto" w:fill="E4E6EF"/>
          </w:tcPr>
          <w:p>
            <w:pPr>
              <w:spacing w:after="0"/>
              <w:rPr>
                <w:sz w:val="23"/>
                <w:szCs w:val="23"/>
                <w:color w:val="auto"/>
              </w:rPr>
            </w:pPr>
          </w:p>
        </w:tc>
        <w:tc>
          <w:tcPr>
            <w:tcW w:w="220" w:type="dxa"/>
            <w:vAlign w:val="bottom"/>
            <w:tcBorders>
              <w:right w:val="single" w:sz="8" w:color="002E6D"/>
            </w:tcBorders>
            <w:shd w:val="clear" w:color="auto" w:fill="E4E6EF"/>
          </w:tcPr>
          <w:p>
            <w:pPr>
              <w:spacing w:after="0"/>
              <w:rPr>
                <w:sz w:val="23"/>
                <w:szCs w:val="23"/>
                <w:color w:val="auto"/>
              </w:rPr>
            </w:pPr>
          </w:p>
        </w:tc>
        <w:tc>
          <w:tcPr>
            <w:tcW w:w="180" w:type="dxa"/>
            <w:vAlign w:val="bottom"/>
            <w:shd w:val="clear" w:color="auto" w:fill="E4E6EF"/>
          </w:tcPr>
          <w:p>
            <w:pPr>
              <w:spacing w:after="0"/>
              <w:rPr>
                <w:sz w:val="23"/>
                <w:szCs w:val="23"/>
                <w:color w:val="auto"/>
              </w:rPr>
            </w:pPr>
          </w:p>
        </w:tc>
        <w:tc>
          <w:tcPr>
            <w:tcW w:w="960" w:type="dxa"/>
            <w:vAlign w:val="bottom"/>
            <w:shd w:val="clear" w:color="auto" w:fill="E4E6EF"/>
          </w:tcPr>
          <w:p>
            <w:pPr>
              <w:ind w:left="20"/>
              <w:spacing w:after="0" w:line="266" w:lineRule="exact"/>
              <w:rPr>
                <w:sz w:val="20"/>
                <w:szCs w:val="20"/>
                <w:color w:val="auto"/>
              </w:rPr>
            </w:pPr>
            <w:r>
              <w:rPr>
                <w:rFonts w:ascii="Arial" w:cs="Arial" w:eastAsia="Arial" w:hAnsi="Arial"/>
                <w:sz w:val="29"/>
                <w:szCs w:val="29"/>
                <w:color w:val="002E6D"/>
              </w:rPr>
              <w:t xml:space="preserve">1 </w:t>
            </w:r>
            <w:r>
              <w:rPr>
                <w:rFonts w:ascii="Arial" w:cs="Arial" w:eastAsia="Arial" w:hAnsi="Arial"/>
                <w:sz w:val="17"/>
                <w:szCs w:val="17"/>
                <w:color w:val="000000"/>
              </w:rPr>
              <w:t>new</w:t>
            </w:r>
          </w:p>
        </w:tc>
        <w:tc>
          <w:tcPr>
            <w:tcW w:w="0" w:type="dxa"/>
            <w:vAlign w:val="bottom"/>
          </w:tcPr>
          <w:p>
            <w:pPr>
              <w:spacing w:after="0"/>
              <w:rPr>
                <w:sz w:val="1"/>
                <w:szCs w:val="1"/>
                <w:color w:val="auto"/>
              </w:rPr>
            </w:pPr>
          </w:p>
        </w:tc>
      </w:tr>
      <w:tr>
        <w:trPr>
          <w:trHeight w:val="231"/>
        </w:trPr>
        <w:tc>
          <w:tcPr>
            <w:tcW w:w="2060" w:type="dxa"/>
            <w:vAlign w:val="bottom"/>
            <w:shd w:val="clear" w:color="auto" w:fill="E4E6EF"/>
          </w:tcPr>
          <w:p>
            <w:pPr>
              <w:ind w:left="160"/>
              <w:spacing w:after="0"/>
              <w:rPr>
                <w:sz w:val="20"/>
                <w:szCs w:val="20"/>
                <w:color w:val="auto"/>
              </w:rPr>
            </w:pPr>
            <w:r>
              <w:rPr>
                <w:rFonts w:ascii="Arial" w:cs="Arial" w:eastAsia="Arial" w:hAnsi="Arial"/>
                <w:sz w:val="17"/>
                <w:szCs w:val="17"/>
                <w:color w:val="auto"/>
              </w:rPr>
              <w:t>director</w:t>
            </w:r>
          </w:p>
        </w:tc>
        <w:tc>
          <w:tcPr>
            <w:tcW w:w="220" w:type="dxa"/>
            <w:vAlign w:val="bottom"/>
            <w:tcBorders>
              <w:right w:val="single" w:sz="8" w:color="002E6D"/>
            </w:tcBorders>
            <w:shd w:val="clear" w:color="auto" w:fill="E4E6EF"/>
          </w:tcPr>
          <w:p>
            <w:pPr>
              <w:spacing w:after="0"/>
              <w:rPr>
                <w:sz w:val="20"/>
                <w:szCs w:val="20"/>
                <w:color w:val="auto"/>
              </w:rPr>
            </w:pPr>
          </w:p>
        </w:tc>
        <w:tc>
          <w:tcPr>
            <w:tcW w:w="180" w:type="dxa"/>
            <w:vAlign w:val="bottom"/>
            <w:shd w:val="clear" w:color="auto" w:fill="E4E6EF"/>
          </w:tcPr>
          <w:p>
            <w:pPr>
              <w:spacing w:after="0"/>
              <w:rPr>
                <w:sz w:val="20"/>
                <w:szCs w:val="20"/>
                <w:color w:val="auto"/>
              </w:rPr>
            </w:pPr>
          </w:p>
        </w:tc>
        <w:tc>
          <w:tcPr>
            <w:tcW w:w="960" w:type="dxa"/>
            <w:vAlign w:val="bottom"/>
            <w:shd w:val="clear" w:color="auto" w:fill="E4E6EF"/>
          </w:tcPr>
          <w:p>
            <w:pPr>
              <w:ind w:left="2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92"/>
        </w:trPr>
        <w:tc>
          <w:tcPr>
            <w:tcW w:w="2060" w:type="dxa"/>
            <w:vAlign w:val="bottom"/>
            <w:shd w:val="clear" w:color="auto" w:fill="E4E6EF"/>
          </w:tcPr>
          <w:p>
            <w:pPr>
              <w:spacing w:after="0"/>
              <w:rPr>
                <w:sz w:val="16"/>
                <w:szCs w:val="16"/>
                <w:color w:val="auto"/>
              </w:rPr>
            </w:pPr>
          </w:p>
        </w:tc>
        <w:tc>
          <w:tcPr>
            <w:tcW w:w="220" w:type="dxa"/>
            <w:vAlign w:val="bottom"/>
            <w:tcBorders>
              <w:right w:val="single" w:sz="8" w:color="002E6D"/>
            </w:tcBorders>
            <w:shd w:val="clear" w:color="auto" w:fill="E4E6EF"/>
          </w:tcPr>
          <w:p>
            <w:pPr>
              <w:spacing w:after="0"/>
              <w:rPr>
                <w:sz w:val="16"/>
                <w:szCs w:val="16"/>
                <w:color w:val="auto"/>
              </w:rPr>
            </w:pPr>
          </w:p>
        </w:tc>
        <w:tc>
          <w:tcPr>
            <w:tcW w:w="180" w:type="dxa"/>
            <w:vAlign w:val="bottom"/>
            <w:shd w:val="clear" w:color="auto" w:fill="E4E6EF"/>
          </w:tcPr>
          <w:p>
            <w:pPr>
              <w:spacing w:after="0"/>
              <w:rPr>
                <w:sz w:val="16"/>
                <w:szCs w:val="16"/>
                <w:color w:val="auto"/>
              </w:rPr>
            </w:pPr>
          </w:p>
        </w:tc>
        <w:tc>
          <w:tcPr>
            <w:tcW w:w="960" w:type="dxa"/>
            <w:vAlign w:val="bottom"/>
            <w:vMerge w:val="restart"/>
            <w:shd w:val="clear" w:color="auto" w:fill="E4E6EF"/>
          </w:tcPr>
          <w:p>
            <w:pPr>
              <w:ind w:left="20"/>
              <w:spacing w:after="0"/>
              <w:rPr>
                <w:sz w:val="20"/>
                <w:szCs w:val="20"/>
                <w:color w:val="auto"/>
              </w:rPr>
            </w:pPr>
            <w:r>
              <w:rPr>
                <w:rFonts w:ascii="Arial" w:cs="Arial" w:eastAsia="Arial" w:hAnsi="Arial"/>
                <w:sz w:val="17"/>
                <w:szCs w:val="17"/>
                <w:color w:val="002E6D"/>
              </w:rPr>
              <w:t>2020</w:t>
            </w:r>
          </w:p>
        </w:tc>
        <w:tc>
          <w:tcPr>
            <w:tcW w:w="0" w:type="dxa"/>
            <w:vAlign w:val="bottom"/>
          </w:tcPr>
          <w:p>
            <w:pPr>
              <w:spacing w:after="0"/>
              <w:rPr>
                <w:sz w:val="1"/>
                <w:szCs w:val="1"/>
                <w:color w:val="auto"/>
              </w:rPr>
            </w:pPr>
          </w:p>
        </w:tc>
      </w:tr>
      <w:tr>
        <w:trPr>
          <w:trHeight w:val="238"/>
        </w:trPr>
        <w:tc>
          <w:tcPr>
            <w:tcW w:w="2060" w:type="dxa"/>
            <w:vAlign w:val="bottom"/>
            <w:shd w:val="clear" w:color="auto" w:fill="E4E6EF"/>
          </w:tcPr>
          <w:p>
            <w:pPr>
              <w:spacing w:after="0"/>
              <w:rPr>
                <w:sz w:val="20"/>
                <w:szCs w:val="20"/>
                <w:color w:val="auto"/>
              </w:rPr>
            </w:pPr>
          </w:p>
        </w:tc>
        <w:tc>
          <w:tcPr>
            <w:tcW w:w="400" w:type="dxa"/>
            <w:vAlign w:val="bottom"/>
            <w:gridSpan w:val="2"/>
            <w:shd w:val="clear" w:color="auto" w:fill="E4E6EF"/>
          </w:tcPr>
          <w:p>
            <w:pPr>
              <w:ind w:left="180"/>
              <w:spacing w:after="0"/>
              <w:rPr>
                <w:sz w:val="20"/>
                <w:szCs w:val="20"/>
                <w:color w:val="auto"/>
              </w:rPr>
            </w:pPr>
            <w:r>
              <w:rPr>
                <w:rFonts w:ascii="Arial" w:cs="Arial" w:eastAsia="Arial" w:hAnsi="Arial"/>
                <w:sz w:val="18"/>
                <w:szCs w:val="18"/>
                <w:color w:val="002E6D"/>
              </w:rPr>
              <w:t>l</w:t>
            </w:r>
          </w:p>
        </w:tc>
        <w:tc>
          <w:tcPr>
            <w:tcW w:w="960" w:type="dxa"/>
            <w:vAlign w:val="bottom"/>
            <w:vMerge w:val="continue"/>
            <w:shd w:val="clear" w:color="auto" w:fill="E4E6EF"/>
          </w:tcPr>
          <w:p>
            <w:pPr>
              <w:spacing w:after="0"/>
              <w:rPr>
                <w:sz w:val="20"/>
                <w:szCs w:val="20"/>
                <w:color w:val="auto"/>
              </w:rPr>
            </w:pPr>
          </w:p>
        </w:tc>
        <w:tc>
          <w:tcPr>
            <w:tcW w:w="0" w:type="dxa"/>
            <w:vAlign w:val="bottom"/>
          </w:tcPr>
          <w:p>
            <w:pPr>
              <w:spacing w:after="0"/>
              <w:rPr>
                <w:sz w:val="1"/>
                <w:szCs w:val="1"/>
                <w:color w:val="auto"/>
              </w:rPr>
            </w:pPr>
          </w:p>
        </w:tc>
      </w:tr>
      <w:tr>
        <w:trPr>
          <w:trHeight w:val="294"/>
        </w:trPr>
        <w:tc>
          <w:tcPr>
            <w:tcW w:w="2060" w:type="dxa"/>
            <w:vAlign w:val="bottom"/>
            <w:shd w:val="clear" w:color="auto" w:fill="E4E6EF"/>
          </w:tcPr>
          <w:p>
            <w:pPr>
              <w:spacing w:after="0"/>
              <w:rPr>
                <w:sz w:val="24"/>
                <w:szCs w:val="24"/>
                <w:color w:val="auto"/>
              </w:rPr>
            </w:pPr>
          </w:p>
        </w:tc>
        <w:tc>
          <w:tcPr>
            <w:tcW w:w="220" w:type="dxa"/>
            <w:vAlign w:val="bottom"/>
            <w:tcBorders>
              <w:right w:val="single" w:sz="8" w:color="002E6D"/>
            </w:tcBorders>
            <w:shd w:val="clear" w:color="auto" w:fill="E4E6EF"/>
          </w:tcPr>
          <w:p>
            <w:pPr>
              <w:spacing w:after="0"/>
              <w:rPr>
                <w:sz w:val="24"/>
                <w:szCs w:val="24"/>
                <w:color w:val="auto"/>
              </w:rPr>
            </w:pPr>
          </w:p>
        </w:tc>
        <w:tc>
          <w:tcPr>
            <w:tcW w:w="180" w:type="dxa"/>
            <w:vAlign w:val="bottom"/>
            <w:shd w:val="clear" w:color="auto" w:fill="E4E6EF"/>
          </w:tcPr>
          <w:p>
            <w:pPr>
              <w:spacing w:after="0"/>
              <w:rPr>
                <w:sz w:val="24"/>
                <w:szCs w:val="24"/>
                <w:color w:val="auto"/>
              </w:rPr>
            </w:pPr>
          </w:p>
        </w:tc>
        <w:tc>
          <w:tcPr>
            <w:tcW w:w="960" w:type="dxa"/>
            <w:vAlign w:val="bottom"/>
            <w:shd w:val="clear" w:color="auto" w:fill="E4E6EF"/>
          </w:tcPr>
          <w:p>
            <w:pPr>
              <w:ind w:left="20"/>
              <w:spacing w:after="0" w:line="294" w:lineRule="exact"/>
              <w:rPr>
                <w:sz w:val="20"/>
                <w:szCs w:val="20"/>
                <w:color w:val="auto"/>
              </w:rPr>
            </w:pPr>
            <w:r>
              <w:rPr>
                <w:rFonts w:ascii="Arial" w:cs="Arial" w:eastAsia="Arial" w:hAnsi="Arial"/>
                <w:sz w:val="29"/>
                <w:szCs w:val="29"/>
                <w:color w:val="003478"/>
              </w:rPr>
              <w:t xml:space="preserve">1 </w:t>
            </w:r>
            <w:r>
              <w:rPr>
                <w:rFonts w:ascii="Arial" w:cs="Arial" w:eastAsia="Arial" w:hAnsi="Arial"/>
                <w:sz w:val="17"/>
                <w:szCs w:val="17"/>
                <w:color w:val="000000"/>
              </w:rPr>
              <w:t>new</w:t>
            </w:r>
          </w:p>
        </w:tc>
        <w:tc>
          <w:tcPr>
            <w:tcW w:w="0" w:type="dxa"/>
            <w:vAlign w:val="bottom"/>
          </w:tcPr>
          <w:p>
            <w:pPr>
              <w:spacing w:after="0"/>
              <w:rPr>
                <w:sz w:val="1"/>
                <w:szCs w:val="1"/>
                <w:color w:val="auto"/>
              </w:rPr>
            </w:pPr>
          </w:p>
        </w:tc>
      </w:tr>
      <w:tr>
        <w:trPr>
          <w:trHeight w:val="204"/>
        </w:trPr>
        <w:tc>
          <w:tcPr>
            <w:tcW w:w="2060" w:type="dxa"/>
            <w:vAlign w:val="bottom"/>
            <w:shd w:val="clear" w:color="auto" w:fill="E4E6EF"/>
          </w:tcPr>
          <w:p>
            <w:pPr>
              <w:spacing w:after="0"/>
              <w:rPr>
                <w:sz w:val="17"/>
                <w:szCs w:val="17"/>
                <w:color w:val="auto"/>
              </w:rPr>
            </w:pPr>
          </w:p>
        </w:tc>
        <w:tc>
          <w:tcPr>
            <w:tcW w:w="220" w:type="dxa"/>
            <w:vAlign w:val="bottom"/>
            <w:tcBorders>
              <w:right w:val="single" w:sz="8" w:color="002E6D"/>
            </w:tcBorders>
            <w:shd w:val="clear" w:color="auto" w:fill="E4E6EF"/>
          </w:tcPr>
          <w:p>
            <w:pPr>
              <w:spacing w:after="0"/>
              <w:rPr>
                <w:sz w:val="17"/>
                <w:szCs w:val="17"/>
                <w:color w:val="auto"/>
              </w:rPr>
            </w:pPr>
          </w:p>
        </w:tc>
        <w:tc>
          <w:tcPr>
            <w:tcW w:w="180" w:type="dxa"/>
            <w:vAlign w:val="bottom"/>
            <w:shd w:val="clear" w:color="auto" w:fill="E4E6EF"/>
          </w:tcPr>
          <w:p>
            <w:pPr>
              <w:spacing w:after="0"/>
              <w:rPr>
                <w:sz w:val="17"/>
                <w:szCs w:val="17"/>
                <w:color w:val="auto"/>
              </w:rPr>
            </w:pPr>
          </w:p>
        </w:tc>
        <w:tc>
          <w:tcPr>
            <w:tcW w:w="960" w:type="dxa"/>
            <w:vAlign w:val="bottom"/>
            <w:shd w:val="clear" w:color="auto" w:fill="E4E6EF"/>
          </w:tcPr>
          <w:p>
            <w:pPr>
              <w:ind w:left="20"/>
              <w:spacing w:after="0"/>
              <w:rPr>
                <w:sz w:val="20"/>
                <w:szCs w:val="20"/>
                <w:color w:val="auto"/>
              </w:rPr>
            </w:pP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192"/>
        </w:trPr>
        <w:tc>
          <w:tcPr>
            <w:tcW w:w="2060" w:type="dxa"/>
            <w:vAlign w:val="bottom"/>
            <w:shd w:val="clear" w:color="auto" w:fill="E4E6EF"/>
          </w:tcPr>
          <w:p>
            <w:pPr>
              <w:spacing w:after="0"/>
              <w:rPr>
                <w:sz w:val="16"/>
                <w:szCs w:val="16"/>
                <w:color w:val="auto"/>
              </w:rPr>
            </w:pPr>
          </w:p>
        </w:tc>
        <w:tc>
          <w:tcPr>
            <w:tcW w:w="220" w:type="dxa"/>
            <w:vAlign w:val="bottom"/>
            <w:tcBorders>
              <w:right w:val="single" w:sz="8" w:color="002E6D"/>
            </w:tcBorders>
            <w:shd w:val="clear" w:color="auto" w:fill="E4E6EF"/>
          </w:tcPr>
          <w:p>
            <w:pPr>
              <w:spacing w:after="0"/>
              <w:rPr>
                <w:sz w:val="16"/>
                <w:szCs w:val="16"/>
                <w:color w:val="auto"/>
              </w:rPr>
            </w:pPr>
          </w:p>
        </w:tc>
        <w:tc>
          <w:tcPr>
            <w:tcW w:w="180" w:type="dxa"/>
            <w:vAlign w:val="bottom"/>
            <w:shd w:val="clear" w:color="auto" w:fill="E4E6EF"/>
          </w:tcPr>
          <w:p>
            <w:pPr>
              <w:spacing w:after="0"/>
              <w:rPr>
                <w:sz w:val="16"/>
                <w:szCs w:val="16"/>
                <w:color w:val="auto"/>
              </w:rPr>
            </w:pPr>
          </w:p>
        </w:tc>
        <w:tc>
          <w:tcPr>
            <w:tcW w:w="960" w:type="dxa"/>
            <w:vAlign w:val="bottom"/>
            <w:vMerge w:val="restart"/>
            <w:shd w:val="clear" w:color="auto" w:fill="E4E6EF"/>
          </w:tcPr>
          <w:p>
            <w:pPr>
              <w:ind w:left="20"/>
              <w:spacing w:after="0"/>
              <w:rPr>
                <w:sz w:val="20"/>
                <w:szCs w:val="20"/>
                <w:color w:val="auto"/>
              </w:rPr>
            </w:pPr>
            <w:r>
              <w:rPr>
                <w:rFonts w:ascii="Arial" w:cs="Arial" w:eastAsia="Arial" w:hAnsi="Arial"/>
                <w:sz w:val="17"/>
                <w:szCs w:val="17"/>
                <w:color w:val="002E6D"/>
              </w:rPr>
              <w:t>2021</w:t>
            </w:r>
          </w:p>
        </w:tc>
        <w:tc>
          <w:tcPr>
            <w:tcW w:w="0" w:type="dxa"/>
            <w:vAlign w:val="bottom"/>
          </w:tcPr>
          <w:p>
            <w:pPr>
              <w:spacing w:after="0"/>
              <w:rPr>
                <w:sz w:val="1"/>
                <w:szCs w:val="1"/>
                <w:color w:val="auto"/>
              </w:rPr>
            </w:pPr>
          </w:p>
        </w:tc>
      </w:tr>
      <w:tr>
        <w:trPr>
          <w:trHeight w:val="238"/>
        </w:trPr>
        <w:tc>
          <w:tcPr>
            <w:tcW w:w="2060" w:type="dxa"/>
            <w:vAlign w:val="bottom"/>
            <w:shd w:val="clear" w:color="auto" w:fill="E4E6EF"/>
          </w:tcPr>
          <w:p>
            <w:pPr>
              <w:spacing w:after="0"/>
              <w:rPr>
                <w:sz w:val="20"/>
                <w:szCs w:val="20"/>
                <w:color w:val="auto"/>
              </w:rPr>
            </w:pPr>
          </w:p>
        </w:tc>
        <w:tc>
          <w:tcPr>
            <w:tcW w:w="400" w:type="dxa"/>
            <w:vAlign w:val="bottom"/>
            <w:gridSpan w:val="2"/>
            <w:shd w:val="clear" w:color="auto" w:fill="E4E6EF"/>
          </w:tcPr>
          <w:p>
            <w:pPr>
              <w:ind w:left="180"/>
              <w:spacing w:after="0"/>
              <w:rPr>
                <w:sz w:val="20"/>
                <w:szCs w:val="20"/>
                <w:color w:val="auto"/>
              </w:rPr>
            </w:pPr>
            <w:r>
              <w:rPr>
                <w:rFonts w:ascii="Arial" w:cs="Arial" w:eastAsia="Arial" w:hAnsi="Arial"/>
                <w:sz w:val="18"/>
                <w:szCs w:val="18"/>
                <w:color w:val="002E6D"/>
              </w:rPr>
              <w:t>l</w:t>
            </w:r>
          </w:p>
        </w:tc>
        <w:tc>
          <w:tcPr>
            <w:tcW w:w="960" w:type="dxa"/>
            <w:vAlign w:val="bottom"/>
            <w:vMerge w:val="continue"/>
            <w:shd w:val="clear" w:color="auto" w:fill="E4E6EF"/>
          </w:tcPr>
          <w:p>
            <w:pPr>
              <w:spacing w:after="0"/>
              <w:rPr>
                <w:sz w:val="20"/>
                <w:szCs w:val="20"/>
                <w:color w:val="auto"/>
              </w:rPr>
            </w:pPr>
          </w:p>
        </w:tc>
        <w:tc>
          <w:tcPr>
            <w:tcW w:w="0" w:type="dxa"/>
            <w:vAlign w:val="bottom"/>
          </w:tcPr>
          <w:p>
            <w:pPr>
              <w:spacing w:after="0"/>
              <w:rPr>
                <w:sz w:val="1"/>
                <w:szCs w:val="1"/>
                <w:color w:val="auto"/>
              </w:rPr>
            </w:pPr>
          </w:p>
        </w:tc>
      </w:tr>
      <w:tr>
        <w:trPr>
          <w:trHeight w:val="294"/>
        </w:trPr>
        <w:tc>
          <w:tcPr>
            <w:tcW w:w="2060" w:type="dxa"/>
            <w:vAlign w:val="bottom"/>
            <w:shd w:val="clear" w:color="auto" w:fill="E4E6EF"/>
          </w:tcPr>
          <w:p>
            <w:pPr>
              <w:spacing w:after="0"/>
              <w:rPr>
                <w:sz w:val="24"/>
                <w:szCs w:val="24"/>
                <w:color w:val="auto"/>
              </w:rPr>
            </w:pPr>
          </w:p>
        </w:tc>
        <w:tc>
          <w:tcPr>
            <w:tcW w:w="220" w:type="dxa"/>
            <w:vAlign w:val="bottom"/>
            <w:tcBorders>
              <w:right w:val="single" w:sz="8" w:color="002E6D"/>
            </w:tcBorders>
            <w:shd w:val="clear" w:color="auto" w:fill="E4E6EF"/>
          </w:tcPr>
          <w:p>
            <w:pPr>
              <w:spacing w:after="0"/>
              <w:rPr>
                <w:sz w:val="24"/>
                <w:szCs w:val="24"/>
                <w:color w:val="auto"/>
              </w:rPr>
            </w:pPr>
          </w:p>
        </w:tc>
        <w:tc>
          <w:tcPr>
            <w:tcW w:w="180" w:type="dxa"/>
            <w:vAlign w:val="bottom"/>
            <w:shd w:val="clear" w:color="auto" w:fill="E4E6EF"/>
          </w:tcPr>
          <w:p>
            <w:pPr>
              <w:spacing w:after="0"/>
              <w:rPr>
                <w:sz w:val="24"/>
                <w:szCs w:val="24"/>
                <w:color w:val="auto"/>
              </w:rPr>
            </w:pPr>
          </w:p>
        </w:tc>
        <w:tc>
          <w:tcPr>
            <w:tcW w:w="960" w:type="dxa"/>
            <w:vAlign w:val="bottom"/>
            <w:shd w:val="clear" w:color="auto" w:fill="E4E6EF"/>
          </w:tcPr>
          <w:p>
            <w:pPr>
              <w:ind w:left="20"/>
              <w:spacing w:after="0" w:line="294" w:lineRule="exact"/>
              <w:rPr>
                <w:sz w:val="20"/>
                <w:szCs w:val="20"/>
                <w:color w:val="auto"/>
              </w:rPr>
            </w:pPr>
            <w:r>
              <w:rPr>
                <w:rFonts w:ascii="Arial" w:cs="Arial" w:eastAsia="Arial" w:hAnsi="Arial"/>
                <w:sz w:val="29"/>
                <w:szCs w:val="29"/>
                <w:color w:val="002E6D"/>
              </w:rPr>
              <w:t xml:space="preserve">2 </w:t>
            </w:r>
            <w:r>
              <w:rPr>
                <w:rFonts w:ascii="Arial" w:cs="Arial" w:eastAsia="Arial" w:hAnsi="Arial"/>
                <w:sz w:val="17"/>
                <w:szCs w:val="17"/>
                <w:color w:val="000000"/>
              </w:rPr>
              <w:t>new</w:t>
            </w:r>
          </w:p>
        </w:tc>
        <w:tc>
          <w:tcPr>
            <w:tcW w:w="0" w:type="dxa"/>
            <w:vAlign w:val="bottom"/>
          </w:tcPr>
          <w:p>
            <w:pPr>
              <w:spacing w:after="0"/>
              <w:rPr>
                <w:sz w:val="1"/>
                <w:szCs w:val="1"/>
                <w:color w:val="auto"/>
              </w:rPr>
            </w:pPr>
          </w:p>
        </w:tc>
      </w:tr>
      <w:tr>
        <w:trPr>
          <w:trHeight w:val="228"/>
        </w:trPr>
        <w:tc>
          <w:tcPr>
            <w:tcW w:w="2060" w:type="dxa"/>
            <w:vAlign w:val="bottom"/>
            <w:tcBorders>
              <w:bottom w:val="single" w:sz="8" w:color="E4E6EF"/>
            </w:tcBorders>
            <w:shd w:val="clear" w:color="auto" w:fill="E4E6EF"/>
          </w:tcPr>
          <w:p>
            <w:pPr>
              <w:spacing w:after="0"/>
              <w:rPr>
                <w:sz w:val="19"/>
                <w:szCs w:val="19"/>
                <w:color w:val="auto"/>
              </w:rPr>
            </w:pPr>
          </w:p>
        </w:tc>
        <w:tc>
          <w:tcPr>
            <w:tcW w:w="220" w:type="dxa"/>
            <w:vAlign w:val="bottom"/>
            <w:tcBorders>
              <w:bottom w:val="single" w:sz="8" w:color="E4E6EF"/>
              <w:right w:val="single" w:sz="8" w:color="002E6D"/>
            </w:tcBorders>
            <w:shd w:val="clear" w:color="auto" w:fill="E4E6EF"/>
          </w:tcPr>
          <w:p>
            <w:pPr>
              <w:spacing w:after="0"/>
              <w:rPr>
                <w:sz w:val="19"/>
                <w:szCs w:val="19"/>
                <w:color w:val="auto"/>
              </w:rPr>
            </w:pPr>
          </w:p>
        </w:tc>
        <w:tc>
          <w:tcPr>
            <w:tcW w:w="180" w:type="dxa"/>
            <w:vAlign w:val="bottom"/>
            <w:tcBorders>
              <w:bottom w:val="single" w:sz="8" w:color="E4E6EF"/>
            </w:tcBorders>
            <w:shd w:val="clear" w:color="auto" w:fill="E4E6EF"/>
          </w:tcPr>
          <w:p>
            <w:pPr>
              <w:spacing w:after="0"/>
              <w:rPr>
                <w:sz w:val="19"/>
                <w:szCs w:val="19"/>
                <w:color w:val="auto"/>
              </w:rPr>
            </w:pPr>
          </w:p>
        </w:tc>
        <w:tc>
          <w:tcPr>
            <w:tcW w:w="960" w:type="dxa"/>
            <w:vAlign w:val="bottom"/>
            <w:tcBorders>
              <w:bottom w:val="single" w:sz="8" w:color="E4E6EF"/>
            </w:tcBorders>
            <w:shd w:val="clear" w:color="auto" w:fill="E4E6EF"/>
          </w:tcPr>
          <w:p>
            <w:pPr>
              <w:ind w:left="20"/>
              <w:spacing w:after="0"/>
              <w:rPr>
                <w:sz w:val="20"/>
                <w:szCs w:val="20"/>
                <w:color w:val="auto"/>
              </w:rPr>
            </w:pPr>
            <w:r>
              <w:rPr>
                <w:rFonts w:ascii="Arial" w:cs="Arial" w:eastAsia="Arial" w:hAnsi="Arial"/>
                <w:sz w:val="17"/>
                <w:szCs w:val="17"/>
                <w:color w:val="auto"/>
              </w:rPr>
              <w:t>directors</w:t>
            </w:r>
          </w:p>
        </w:tc>
        <w:tc>
          <w:tcPr>
            <w:tcW w:w="0" w:type="dxa"/>
            <w:vAlign w:val="bottom"/>
          </w:tcPr>
          <w:p>
            <w:pPr>
              <w:spacing w:after="0"/>
              <w:rPr>
                <w:sz w:val="1"/>
                <w:szCs w:val="1"/>
                <w:color w:val="auto"/>
              </w:rPr>
            </w:pPr>
          </w:p>
        </w:tc>
      </w:tr>
      <w:tr>
        <w:trPr>
          <w:trHeight w:val="148"/>
        </w:trPr>
        <w:tc>
          <w:tcPr>
            <w:tcW w:w="2060" w:type="dxa"/>
            <w:vAlign w:val="bottom"/>
            <w:shd w:val="clear" w:color="auto" w:fill="E4E6EF"/>
          </w:tcPr>
          <w:p>
            <w:pPr>
              <w:spacing w:after="0"/>
              <w:rPr>
                <w:sz w:val="12"/>
                <w:szCs w:val="12"/>
                <w:color w:val="auto"/>
              </w:rPr>
            </w:pPr>
          </w:p>
        </w:tc>
        <w:tc>
          <w:tcPr>
            <w:tcW w:w="220" w:type="dxa"/>
            <w:vAlign w:val="bottom"/>
            <w:tcBorders>
              <w:right w:val="single" w:sz="8" w:color="E4E6EF"/>
            </w:tcBorders>
            <w:shd w:val="clear" w:color="auto" w:fill="E4E6EF"/>
          </w:tcPr>
          <w:p>
            <w:pPr>
              <w:spacing w:after="0"/>
              <w:rPr>
                <w:sz w:val="12"/>
                <w:szCs w:val="12"/>
                <w:color w:val="auto"/>
              </w:rPr>
            </w:pPr>
          </w:p>
        </w:tc>
        <w:tc>
          <w:tcPr>
            <w:tcW w:w="180" w:type="dxa"/>
            <w:vAlign w:val="bottom"/>
            <w:shd w:val="clear" w:color="auto" w:fill="E4E6EF"/>
          </w:tcPr>
          <w:p>
            <w:pPr>
              <w:spacing w:after="0"/>
              <w:rPr>
                <w:sz w:val="12"/>
                <w:szCs w:val="12"/>
                <w:color w:val="auto"/>
              </w:rPr>
            </w:pPr>
          </w:p>
        </w:tc>
        <w:tc>
          <w:tcPr>
            <w:tcW w:w="960" w:type="dxa"/>
            <w:vAlign w:val="bottom"/>
            <w:shd w:val="clear" w:color="auto" w:fill="E4E6EF"/>
          </w:tcPr>
          <w:p>
            <w:pPr>
              <w:spacing w:after="0"/>
              <w:rPr>
                <w:sz w:val="12"/>
                <w:szCs w:val="12"/>
                <w:color w:val="auto"/>
              </w:rPr>
            </w:pPr>
          </w:p>
        </w:tc>
        <w:tc>
          <w:tcPr>
            <w:tcW w:w="0" w:type="dxa"/>
            <w:vAlign w:val="bottom"/>
          </w:tcPr>
          <w:p>
            <w:pPr>
              <w:spacing w:after="0"/>
              <w:rPr>
                <w:sz w:val="1"/>
                <w:szCs w:val="1"/>
                <w:color w:val="auto"/>
              </w:rPr>
            </w:pPr>
          </w:p>
        </w:tc>
      </w:tr>
    </w:tbl>
    <w:p>
      <w:pPr>
        <w:spacing w:after="0" w:line="615" w:lineRule="exact"/>
        <w:rPr>
          <w:sz w:val="20"/>
          <w:szCs w:val="20"/>
          <w:color w:val="auto"/>
        </w:rPr>
      </w:pPr>
    </w:p>
    <w:p>
      <w:pPr>
        <w:sectPr>
          <w:pgSz w:w="11900" w:h="16838" w:orient="portrait"/>
          <w:cols w:equalWidth="0" w:num="2">
            <w:col w:w="7660" w:space="160"/>
            <w:col w:w="3420"/>
          </w:cols>
          <w:pgMar w:left="320" w:top="25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color w:val="auto"/>
        </w:rPr>
        <w:t>For incumbent directors, the Governance Committee also considers attendance, past performance on the Board, the director’s other time commitments, and contributions to the Board and their respective committees. The Bylaws currently provide that the size of the Board may range from 10 to 14 members.</w:t>
      </w:r>
    </w:p>
    <w:p>
      <w:pPr>
        <w:spacing w:after="0" w:line="110" w:lineRule="exact"/>
        <w:rPr>
          <w:sz w:val="20"/>
          <w:szCs w:val="20"/>
          <w:color w:val="auto"/>
        </w:rPr>
      </w:pPr>
    </w:p>
    <w:p>
      <w:pPr>
        <w:ind w:right="280"/>
        <w:spacing w:after="0" w:line="269" w:lineRule="auto"/>
        <w:rPr>
          <w:sz w:val="20"/>
          <w:szCs w:val="20"/>
          <w:color w:val="auto"/>
        </w:rPr>
      </w:pPr>
      <w:r>
        <w:rPr>
          <w:rFonts w:ascii="Arial" w:cs="Arial" w:eastAsia="Arial" w:hAnsi="Arial"/>
          <w:sz w:val="17"/>
          <w:szCs w:val="17"/>
          <w:color w:val="auto"/>
        </w:rPr>
        <w:t xml:space="preserve">Director candidates also may be identified by stockholders and will be evaluated under the same criteria applied to other director nominees and considered by the Governance Committee. Information on the process and requirements for stockholder nominees may be found in Sections 1.10 and 1.11 of our Bylaws (available at </w:t>
      </w:r>
      <w:r>
        <w:rPr>
          <w:rFonts w:ascii="Arial" w:cs="Arial" w:eastAsia="Arial" w:hAnsi="Arial"/>
          <w:sz w:val="17"/>
          <w:szCs w:val="17"/>
          <w:i w:val="1"/>
          <w:iCs w:val="1"/>
          <w:color w:val="auto"/>
        </w:rPr>
        <w:t>www.lockheedmartin.com/corporate-governance).</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color w:val="003478"/>
        </w:rPr>
        <w:t>Board Committee Assignments</w:t>
      </w:r>
    </w:p>
    <w:p>
      <w:pPr>
        <w:spacing w:after="0" w:line="117" w:lineRule="exact"/>
        <w:rPr>
          <w:sz w:val="20"/>
          <w:szCs w:val="20"/>
          <w:color w:val="auto"/>
        </w:rPr>
      </w:pPr>
    </w:p>
    <w:p>
      <w:pPr>
        <w:ind w:right="160"/>
        <w:spacing w:after="0" w:line="265" w:lineRule="auto"/>
        <w:rPr>
          <w:sz w:val="20"/>
          <w:szCs w:val="20"/>
          <w:color w:val="auto"/>
        </w:rPr>
      </w:pPr>
      <w:r>
        <w:rPr>
          <w:rFonts w:ascii="Arial" w:cs="Arial" w:eastAsia="Arial" w:hAnsi="Arial"/>
          <w:sz w:val="17"/>
          <w:szCs w:val="17"/>
          <w:color w:val="auto"/>
        </w:rPr>
        <w:t>In February of each year, the Governance Committee reviews the membership, tenure, leadership and commitments of each of the committees and considers possible changes given the qualifications and skill sets of members on the Board or a desire for committee rotation or refreshment. The Governance Committee also takes into consideration the membership requirements and responsibilities set forth in each of the respective committee charters and the Governance Guidelines as well as any upcoming vacancies on the Board due to our mandatory retirement age. The Governance Committee recommends to the Board any proposed changes to committee assignments and leadership to be made effective at the next annual meeting of stockholders. The Governance Committee also reviews the operation of the Board generally, and based on its recommendations and based on Board feedback, we have reduced the number of committees from seven to four since 2018. In making these changes, the Board considered survey data which showed that four standing committees is most prevalent among our peer companies.</w:t>
      </w:r>
    </w:p>
    <w:p>
      <w:pPr>
        <w:sectPr>
          <w:pgSz w:w="11900" w:h="16838" w:orient="portrait"/>
          <w:cols w:equalWidth="0" w:num="1">
            <w:col w:w="11240"/>
          </w:cols>
          <w:pgMar w:left="320" w:top="25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16</w:t>
      </w:r>
    </w:p>
    <w:p>
      <w:pPr>
        <w:sectPr>
          <w:pgSz w:w="11900" w:h="16838" w:orient="portrait"/>
          <w:cols w:equalWidth="0" w:num="1">
            <w:col w:w="11240"/>
          </w:cols>
          <w:pgMar w:left="320" w:top="254" w:right="339" w:bottom="1440" w:gutter="0" w:footer="0" w:header="0"/>
          <w:type w:val="continuous"/>
        </w:sectPr>
      </w:pPr>
    </w:p>
    <w:bookmarkStart w:id="22" w:name="page23"/>
    <w:bookmarkEnd w:id="22"/>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Proposal 1: Election of Directors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80"/>
        <w:spacing w:after="0"/>
        <w:rPr>
          <w:sz w:val="20"/>
          <w:szCs w:val="20"/>
          <w:color w:val="auto"/>
        </w:rPr>
      </w:pPr>
      <w:r>
        <w:rPr>
          <w:rFonts w:ascii="Arial" w:cs="Arial" w:eastAsia="Arial" w:hAnsi="Arial"/>
          <w:sz w:val="20"/>
          <w:szCs w:val="20"/>
          <w:color w:val="003478"/>
        </w:rPr>
        <w:t>Annual Performance Assessment</w:t>
      </w:r>
    </w:p>
    <w:p>
      <w:pPr>
        <w:spacing w:after="0" w:line="117" w:lineRule="exact"/>
        <w:rPr>
          <w:sz w:val="20"/>
          <w:szCs w:val="20"/>
          <w:color w:val="auto"/>
        </w:rPr>
      </w:pPr>
    </w:p>
    <w:p>
      <w:pPr>
        <w:jc w:val="both"/>
        <w:ind w:left="180" w:right="420"/>
        <w:spacing w:after="0" w:line="269" w:lineRule="auto"/>
        <w:rPr>
          <w:sz w:val="20"/>
          <w:szCs w:val="20"/>
          <w:color w:val="auto"/>
        </w:rPr>
      </w:pPr>
      <w:r>
        <w:rPr>
          <w:rFonts w:ascii="Arial" w:cs="Arial" w:eastAsia="Arial" w:hAnsi="Arial"/>
          <w:sz w:val="17"/>
          <w:szCs w:val="17"/>
          <w:color w:val="auto"/>
        </w:rPr>
        <w:t>The Board conducts a self-assessment of its performance and effectiveness as well as that of its committees on an annual basis. The self-assessment helps the Governance Committee to track progress in certain areas targeted for improvement from year-to-year and to identify ways to enhance the Board’s and its committees’ effectiveness. The evaluation process includes the following steps:</w:t>
      </w:r>
    </w:p>
    <w:p>
      <w:pPr>
        <w:spacing w:after="0" w:line="95" w:lineRule="exact"/>
        <w:rPr>
          <w:sz w:val="20"/>
          <w:szCs w:val="20"/>
          <w:color w:val="auto"/>
        </w:rPr>
      </w:pPr>
    </w:p>
    <w:tbl>
      <w:tblPr>
        <w:tblLayout w:type="fixed"/>
        <w:tblInd w:w="160" w:type="dxa"/>
        <w:tblCellMar>
          <w:top w:w="0" w:type="dxa"/>
          <w:left w:w="0" w:type="dxa"/>
          <w:bottom w:w="0" w:type="dxa"/>
          <w:right w:w="0" w:type="dxa"/>
        </w:tblCellMar>
      </w:tblPr>
      <w:tr>
        <w:trPr>
          <w:trHeight w:val="382"/>
        </w:trPr>
        <w:tc>
          <w:tcPr>
            <w:tcW w:w="360" w:type="dxa"/>
            <w:vAlign w:val="bottom"/>
            <w:tcBorders>
              <w:top w:val="single" w:sz="8" w:color="808080"/>
            </w:tcBorders>
            <w:shd w:val="clear" w:color="auto" w:fill="E5E7EF"/>
          </w:tcPr>
          <w:p>
            <w:pPr>
              <w:jc w:val="right"/>
              <w:spacing w:after="0"/>
              <w:rPr>
                <w:sz w:val="20"/>
                <w:szCs w:val="20"/>
                <w:color w:val="auto"/>
              </w:rPr>
            </w:pPr>
            <w:r>
              <w:rPr>
                <w:rFonts w:ascii="Arial" w:cs="Arial" w:eastAsia="Arial" w:hAnsi="Arial"/>
                <w:sz w:val="29"/>
                <w:szCs w:val="29"/>
                <w:color w:val="003478"/>
              </w:rPr>
              <w:t>1</w:t>
            </w:r>
          </w:p>
        </w:tc>
        <w:tc>
          <w:tcPr>
            <w:tcW w:w="2400" w:type="dxa"/>
            <w:vAlign w:val="bottom"/>
            <w:tcBorders>
              <w:top w:val="single" w:sz="8" w:color="808080"/>
              <w:right w:val="single" w:sz="8" w:color="808080"/>
            </w:tcBorders>
            <w:shd w:val="clear" w:color="auto" w:fill="E5E7EF"/>
          </w:tcPr>
          <w:p>
            <w:pPr>
              <w:ind w:left="20"/>
              <w:spacing w:after="0"/>
              <w:rPr>
                <w:sz w:val="20"/>
                <w:szCs w:val="20"/>
                <w:color w:val="auto"/>
              </w:rPr>
            </w:pPr>
            <w:r>
              <w:rPr>
                <w:rFonts w:ascii="Arial" w:cs="Arial" w:eastAsia="Arial" w:hAnsi="Arial"/>
                <w:sz w:val="16"/>
                <w:szCs w:val="16"/>
                <w:color w:val="auto"/>
              </w:rPr>
              <w:t>Annual Written Questionnaire</w:t>
            </w:r>
          </w:p>
        </w:tc>
        <w:tc>
          <w:tcPr>
            <w:tcW w:w="8100" w:type="dxa"/>
            <w:vAlign w:val="bottom"/>
            <w:tcBorders>
              <w:top w:val="single" w:sz="8" w:color="808080"/>
            </w:tcBorders>
          </w:tcPr>
          <w:p>
            <w:pPr>
              <w:ind w:left="100"/>
              <w:spacing w:after="0"/>
              <w:rPr>
                <w:sz w:val="20"/>
                <w:szCs w:val="20"/>
                <w:color w:val="auto"/>
              </w:rPr>
            </w:pPr>
            <w:r>
              <w:rPr>
                <w:rFonts w:ascii="Arial" w:cs="Arial" w:eastAsia="Arial" w:hAnsi="Arial"/>
                <w:sz w:val="17"/>
                <w:szCs w:val="17"/>
                <w:color w:val="auto"/>
              </w:rPr>
              <w:t>Open-ended questions to solicit candid feedback. Topics covered include:</w:t>
            </w:r>
          </w:p>
        </w:tc>
        <w:tc>
          <w:tcPr>
            <w:tcW w:w="0" w:type="dxa"/>
            <w:vAlign w:val="bottom"/>
          </w:tcPr>
          <w:p>
            <w:pPr>
              <w:spacing w:after="0"/>
              <w:rPr>
                <w:sz w:val="1"/>
                <w:szCs w:val="1"/>
                <w:color w:val="auto"/>
              </w:rPr>
            </w:pPr>
          </w:p>
        </w:tc>
      </w:tr>
      <w:tr>
        <w:trPr>
          <w:trHeight w:val="300"/>
        </w:trPr>
        <w:tc>
          <w:tcPr>
            <w:tcW w:w="360" w:type="dxa"/>
            <w:vAlign w:val="bottom"/>
            <w:shd w:val="clear" w:color="auto" w:fill="E5E7EF"/>
          </w:tcPr>
          <w:p>
            <w:pPr>
              <w:spacing w:after="0"/>
              <w:rPr>
                <w:sz w:val="24"/>
                <w:szCs w:val="24"/>
                <w:color w:val="auto"/>
              </w:rPr>
            </w:pPr>
          </w:p>
        </w:tc>
        <w:tc>
          <w:tcPr>
            <w:tcW w:w="2400" w:type="dxa"/>
            <w:vAlign w:val="bottom"/>
            <w:tcBorders>
              <w:right w:val="single" w:sz="8" w:color="808080"/>
            </w:tcBorders>
            <w:shd w:val="clear" w:color="auto" w:fill="E5E7EF"/>
          </w:tcPr>
          <w:p>
            <w:pPr>
              <w:spacing w:after="0"/>
              <w:rPr>
                <w:sz w:val="24"/>
                <w:szCs w:val="24"/>
                <w:color w:val="auto"/>
              </w:rPr>
            </w:pPr>
          </w:p>
        </w:tc>
        <w:tc>
          <w:tcPr>
            <w:tcW w:w="8100" w:type="dxa"/>
            <w:vAlign w:val="bottom"/>
          </w:tcPr>
          <w:p>
            <w:pPr>
              <w:ind w:left="100"/>
              <w:spacing w:after="0"/>
              <w:rPr>
                <w:sz w:val="20"/>
                <w:szCs w:val="20"/>
                <w:color w:val="auto"/>
              </w:rPr>
            </w:pPr>
            <w:r>
              <w:rPr>
                <w:rFonts w:ascii="Arial" w:cs="Arial" w:eastAsia="Arial" w:hAnsi="Arial"/>
                <w:sz w:val="17"/>
                <w:szCs w:val="17"/>
                <w:color w:val="003478"/>
              </w:rPr>
              <w:t xml:space="preserve">• </w:t>
            </w:r>
            <w:r>
              <w:rPr>
                <w:rFonts w:ascii="Arial" w:cs="Arial" w:eastAsia="Arial" w:hAnsi="Arial"/>
                <w:sz w:val="17"/>
                <w:szCs w:val="17"/>
                <w:color w:val="000000"/>
              </w:rPr>
              <w:t>Board meeting content and virtual format;</w:t>
            </w:r>
          </w:p>
        </w:tc>
        <w:tc>
          <w:tcPr>
            <w:tcW w:w="0" w:type="dxa"/>
            <w:vAlign w:val="bottom"/>
          </w:tcPr>
          <w:p>
            <w:pPr>
              <w:spacing w:after="0"/>
              <w:rPr>
                <w:sz w:val="1"/>
                <w:szCs w:val="1"/>
                <w:color w:val="auto"/>
              </w:rPr>
            </w:pPr>
          </w:p>
        </w:tc>
      </w:tr>
      <w:tr>
        <w:trPr>
          <w:trHeight w:val="322"/>
        </w:trPr>
        <w:tc>
          <w:tcPr>
            <w:tcW w:w="360" w:type="dxa"/>
            <w:vAlign w:val="bottom"/>
            <w:shd w:val="clear" w:color="auto" w:fill="E5E7EF"/>
          </w:tcPr>
          <w:p>
            <w:pPr>
              <w:spacing w:after="0"/>
              <w:rPr>
                <w:sz w:val="24"/>
                <w:szCs w:val="24"/>
                <w:color w:val="auto"/>
              </w:rPr>
            </w:pPr>
          </w:p>
        </w:tc>
        <w:tc>
          <w:tcPr>
            <w:tcW w:w="2400" w:type="dxa"/>
            <w:vAlign w:val="bottom"/>
            <w:tcBorders>
              <w:right w:val="single" w:sz="8" w:color="808080"/>
            </w:tcBorders>
            <w:shd w:val="clear" w:color="auto" w:fill="E5E7EF"/>
          </w:tcPr>
          <w:p>
            <w:pPr>
              <w:spacing w:after="0"/>
              <w:rPr>
                <w:sz w:val="24"/>
                <w:szCs w:val="24"/>
                <w:color w:val="auto"/>
              </w:rPr>
            </w:pPr>
          </w:p>
        </w:tc>
        <w:tc>
          <w:tcPr>
            <w:tcW w:w="8100" w:type="dxa"/>
            <w:vAlign w:val="bottom"/>
          </w:tcPr>
          <w:p>
            <w:pPr>
              <w:ind w:left="100"/>
              <w:spacing w:after="0"/>
              <w:rPr>
                <w:sz w:val="20"/>
                <w:szCs w:val="20"/>
                <w:color w:val="auto"/>
              </w:rPr>
            </w:pPr>
            <w:r>
              <w:rPr>
                <w:rFonts w:ascii="Arial" w:cs="Arial" w:eastAsia="Arial" w:hAnsi="Arial"/>
                <w:sz w:val="17"/>
                <w:szCs w:val="17"/>
                <w:color w:val="003478"/>
              </w:rPr>
              <w:t xml:space="preserve">• </w:t>
            </w:r>
            <w:r>
              <w:rPr>
                <w:rFonts w:ascii="Arial" w:cs="Arial" w:eastAsia="Arial" w:hAnsi="Arial"/>
                <w:sz w:val="17"/>
                <w:szCs w:val="17"/>
                <w:color w:val="000000"/>
              </w:rPr>
              <w:t>Board culture;</w:t>
            </w:r>
          </w:p>
        </w:tc>
        <w:tc>
          <w:tcPr>
            <w:tcW w:w="0" w:type="dxa"/>
            <w:vAlign w:val="bottom"/>
          </w:tcPr>
          <w:p>
            <w:pPr>
              <w:spacing w:after="0"/>
              <w:rPr>
                <w:sz w:val="1"/>
                <w:szCs w:val="1"/>
                <w:color w:val="auto"/>
              </w:rPr>
            </w:pPr>
          </w:p>
        </w:tc>
      </w:tr>
      <w:tr>
        <w:trPr>
          <w:trHeight w:val="322"/>
        </w:trPr>
        <w:tc>
          <w:tcPr>
            <w:tcW w:w="360" w:type="dxa"/>
            <w:vAlign w:val="bottom"/>
            <w:shd w:val="clear" w:color="auto" w:fill="E5E7EF"/>
          </w:tcPr>
          <w:p>
            <w:pPr>
              <w:spacing w:after="0"/>
              <w:rPr>
                <w:sz w:val="24"/>
                <w:szCs w:val="24"/>
                <w:color w:val="auto"/>
              </w:rPr>
            </w:pPr>
          </w:p>
        </w:tc>
        <w:tc>
          <w:tcPr>
            <w:tcW w:w="2400" w:type="dxa"/>
            <w:vAlign w:val="bottom"/>
            <w:tcBorders>
              <w:right w:val="single" w:sz="8" w:color="808080"/>
            </w:tcBorders>
            <w:shd w:val="clear" w:color="auto" w:fill="E5E7EF"/>
          </w:tcPr>
          <w:p>
            <w:pPr>
              <w:spacing w:after="0"/>
              <w:rPr>
                <w:sz w:val="24"/>
                <w:szCs w:val="24"/>
                <w:color w:val="auto"/>
              </w:rPr>
            </w:pPr>
          </w:p>
        </w:tc>
        <w:tc>
          <w:tcPr>
            <w:tcW w:w="8100" w:type="dxa"/>
            <w:vAlign w:val="bottom"/>
          </w:tcPr>
          <w:p>
            <w:pPr>
              <w:ind w:left="100"/>
              <w:spacing w:after="0"/>
              <w:rPr>
                <w:sz w:val="20"/>
                <w:szCs w:val="20"/>
                <w:color w:val="auto"/>
              </w:rPr>
            </w:pPr>
            <w:r>
              <w:rPr>
                <w:rFonts w:ascii="Arial" w:cs="Arial" w:eastAsia="Arial" w:hAnsi="Arial"/>
                <w:sz w:val="17"/>
                <w:szCs w:val="17"/>
                <w:color w:val="003478"/>
              </w:rPr>
              <w:t xml:space="preserve">• </w:t>
            </w:r>
            <w:r>
              <w:rPr>
                <w:rFonts w:ascii="Arial" w:cs="Arial" w:eastAsia="Arial" w:hAnsi="Arial"/>
                <w:sz w:val="17"/>
                <w:szCs w:val="17"/>
                <w:color w:val="000000"/>
              </w:rPr>
              <w:t>Board leadership structure;</w:t>
            </w:r>
          </w:p>
        </w:tc>
        <w:tc>
          <w:tcPr>
            <w:tcW w:w="0" w:type="dxa"/>
            <w:vAlign w:val="bottom"/>
          </w:tcPr>
          <w:p>
            <w:pPr>
              <w:spacing w:after="0"/>
              <w:rPr>
                <w:sz w:val="1"/>
                <w:szCs w:val="1"/>
                <w:color w:val="auto"/>
              </w:rPr>
            </w:pPr>
          </w:p>
        </w:tc>
      </w:tr>
      <w:tr>
        <w:trPr>
          <w:trHeight w:val="322"/>
        </w:trPr>
        <w:tc>
          <w:tcPr>
            <w:tcW w:w="360" w:type="dxa"/>
            <w:vAlign w:val="bottom"/>
            <w:shd w:val="clear" w:color="auto" w:fill="E5E7EF"/>
          </w:tcPr>
          <w:p>
            <w:pPr>
              <w:spacing w:after="0"/>
              <w:rPr>
                <w:sz w:val="24"/>
                <w:szCs w:val="24"/>
                <w:color w:val="auto"/>
              </w:rPr>
            </w:pPr>
          </w:p>
        </w:tc>
        <w:tc>
          <w:tcPr>
            <w:tcW w:w="2400" w:type="dxa"/>
            <w:vAlign w:val="bottom"/>
            <w:tcBorders>
              <w:right w:val="single" w:sz="8" w:color="808080"/>
            </w:tcBorders>
            <w:shd w:val="clear" w:color="auto" w:fill="E5E7EF"/>
          </w:tcPr>
          <w:p>
            <w:pPr>
              <w:spacing w:after="0"/>
              <w:rPr>
                <w:sz w:val="24"/>
                <w:szCs w:val="24"/>
                <w:color w:val="auto"/>
              </w:rPr>
            </w:pPr>
          </w:p>
        </w:tc>
        <w:tc>
          <w:tcPr>
            <w:tcW w:w="8100" w:type="dxa"/>
            <w:vAlign w:val="bottom"/>
          </w:tcPr>
          <w:p>
            <w:pPr>
              <w:ind w:left="100"/>
              <w:spacing w:after="0"/>
              <w:rPr>
                <w:sz w:val="20"/>
                <w:szCs w:val="20"/>
                <w:color w:val="auto"/>
              </w:rPr>
            </w:pPr>
            <w:r>
              <w:rPr>
                <w:rFonts w:ascii="Arial" w:cs="Arial" w:eastAsia="Arial" w:hAnsi="Arial"/>
                <w:sz w:val="17"/>
                <w:szCs w:val="17"/>
                <w:color w:val="003478"/>
              </w:rPr>
              <w:t xml:space="preserve">• </w:t>
            </w:r>
            <w:r>
              <w:rPr>
                <w:rFonts w:ascii="Arial" w:cs="Arial" w:eastAsia="Arial" w:hAnsi="Arial"/>
                <w:sz w:val="17"/>
                <w:szCs w:val="17"/>
                <w:color w:val="000000"/>
              </w:rPr>
              <w:t>Board composition, selection and diversity;</w:t>
            </w:r>
          </w:p>
        </w:tc>
        <w:tc>
          <w:tcPr>
            <w:tcW w:w="0" w:type="dxa"/>
            <w:vAlign w:val="bottom"/>
          </w:tcPr>
          <w:p>
            <w:pPr>
              <w:spacing w:after="0"/>
              <w:rPr>
                <w:sz w:val="1"/>
                <w:szCs w:val="1"/>
                <w:color w:val="auto"/>
              </w:rPr>
            </w:pPr>
          </w:p>
        </w:tc>
      </w:tr>
      <w:tr>
        <w:trPr>
          <w:trHeight w:val="322"/>
        </w:trPr>
        <w:tc>
          <w:tcPr>
            <w:tcW w:w="360" w:type="dxa"/>
            <w:vAlign w:val="bottom"/>
            <w:shd w:val="clear" w:color="auto" w:fill="E5E7EF"/>
          </w:tcPr>
          <w:p>
            <w:pPr>
              <w:spacing w:after="0"/>
              <w:rPr>
                <w:sz w:val="24"/>
                <w:szCs w:val="24"/>
                <w:color w:val="auto"/>
              </w:rPr>
            </w:pPr>
          </w:p>
        </w:tc>
        <w:tc>
          <w:tcPr>
            <w:tcW w:w="2400" w:type="dxa"/>
            <w:vAlign w:val="bottom"/>
            <w:tcBorders>
              <w:right w:val="single" w:sz="8" w:color="808080"/>
            </w:tcBorders>
            <w:shd w:val="clear" w:color="auto" w:fill="E5E7EF"/>
          </w:tcPr>
          <w:p>
            <w:pPr>
              <w:spacing w:after="0"/>
              <w:rPr>
                <w:sz w:val="24"/>
                <w:szCs w:val="24"/>
                <w:color w:val="auto"/>
              </w:rPr>
            </w:pPr>
          </w:p>
        </w:tc>
        <w:tc>
          <w:tcPr>
            <w:tcW w:w="8100" w:type="dxa"/>
            <w:vAlign w:val="bottom"/>
          </w:tcPr>
          <w:p>
            <w:pPr>
              <w:ind w:left="100"/>
              <w:spacing w:after="0"/>
              <w:rPr>
                <w:sz w:val="20"/>
                <w:szCs w:val="20"/>
                <w:color w:val="auto"/>
              </w:rPr>
            </w:pPr>
            <w:r>
              <w:rPr>
                <w:rFonts w:ascii="Arial" w:cs="Arial" w:eastAsia="Arial" w:hAnsi="Arial"/>
                <w:sz w:val="17"/>
                <w:szCs w:val="17"/>
                <w:color w:val="003478"/>
              </w:rPr>
              <w:t xml:space="preserve">• </w:t>
            </w:r>
            <w:r>
              <w:rPr>
                <w:rFonts w:ascii="Arial" w:cs="Arial" w:eastAsia="Arial" w:hAnsi="Arial"/>
                <w:sz w:val="17"/>
                <w:szCs w:val="17"/>
                <w:color w:val="000000"/>
              </w:rPr>
              <w:t>Potential skills gaps for identifying board candidates;</w:t>
            </w:r>
          </w:p>
        </w:tc>
        <w:tc>
          <w:tcPr>
            <w:tcW w:w="0" w:type="dxa"/>
            <w:vAlign w:val="bottom"/>
          </w:tcPr>
          <w:p>
            <w:pPr>
              <w:spacing w:after="0"/>
              <w:rPr>
                <w:sz w:val="1"/>
                <w:szCs w:val="1"/>
                <w:color w:val="auto"/>
              </w:rPr>
            </w:pPr>
          </w:p>
        </w:tc>
      </w:tr>
      <w:tr>
        <w:trPr>
          <w:trHeight w:val="322"/>
        </w:trPr>
        <w:tc>
          <w:tcPr>
            <w:tcW w:w="360" w:type="dxa"/>
            <w:vAlign w:val="bottom"/>
            <w:shd w:val="clear" w:color="auto" w:fill="E5E7EF"/>
          </w:tcPr>
          <w:p>
            <w:pPr>
              <w:spacing w:after="0"/>
              <w:rPr>
                <w:sz w:val="24"/>
                <w:szCs w:val="24"/>
                <w:color w:val="auto"/>
              </w:rPr>
            </w:pPr>
          </w:p>
        </w:tc>
        <w:tc>
          <w:tcPr>
            <w:tcW w:w="2400" w:type="dxa"/>
            <w:vAlign w:val="bottom"/>
            <w:tcBorders>
              <w:right w:val="single" w:sz="8" w:color="808080"/>
            </w:tcBorders>
            <w:shd w:val="clear" w:color="auto" w:fill="E5E7EF"/>
          </w:tcPr>
          <w:p>
            <w:pPr>
              <w:spacing w:after="0"/>
              <w:rPr>
                <w:sz w:val="24"/>
                <w:szCs w:val="24"/>
                <w:color w:val="auto"/>
              </w:rPr>
            </w:pPr>
          </w:p>
        </w:tc>
        <w:tc>
          <w:tcPr>
            <w:tcW w:w="8100" w:type="dxa"/>
            <w:vAlign w:val="bottom"/>
          </w:tcPr>
          <w:p>
            <w:pPr>
              <w:ind w:left="100"/>
              <w:spacing w:after="0"/>
              <w:rPr>
                <w:sz w:val="20"/>
                <w:szCs w:val="20"/>
                <w:color w:val="auto"/>
              </w:rPr>
            </w:pPr>
            <w:r>
              <w:rPr>
                <w:rFonts w:ascii="Arial" w:cs="Arial" w:eastAsia="Arial" w:hAnsi="Arial"/>
                <w:sz w:val="17"/>
                <w:szCs w:val="17"/>
                <w:color w:val="003478"/>
              </w:rPr>
              <w:t xml:space="preserve">• </w:t>
            </w:r>
            <w:r>
              <w:rPr>
                <w:rFonts w:ascii="Arial" w:cs="Arial" w:eastAsia="Arial" w:hAnsi="Arial"/>
                <w:sz w:val="17"/>
                <w:szCs w:val="17"/>
                <w:color w:val="000000"/>
              </w:rPr>
              <w:t>Committee effectiveness;</w:t>
            </w:r>
          </w:p>
        </w:tc>
        <w:tc>
          <w:tcPr>
            <w:tcW w:w="0" w:type="dxa"/>
            <w:vAlign w:val="bottom"/>
          </w:tcPr>
          <w:p>
            <w:pPr>
              <w:spacing w:after="0"/>
              <w:rPr>
                <w:sz w:val="1"/>
                <w:szCs w:val="1"/>
                <w:color w:val="auto"/>
              </w:rPr>
            </w:pPr>
          </w:p>
        </w:tc>
      </w:tr>
      <w:tr>
        <w:trPr>
          <w:trHeight w:val="322"/>
        </w:trPr>
        <w:tc>
          <w:tcPr>
            <w:tcW w:w="360" w:type="dxa"/>
            <w:vAlign w:val="bottom"/>
            <w:shd w:val="clear" w:color="auto" w:fill="E5E7EF"/>
          </w:tcPr>
          <w:p>
            <w:pPr>
              <w:spacing w:after="0"/>
              <w:rPr>
                <w:sz w:val="24"/>
                <w:szCs w:val="24"/>
                <w:color w:val="auto"/>
              </w:rPr>
            </w:pPr>
          </w:p>
        </w:tc>
        <w:tc>
          <w:tcPr>
            <w:tcW w:w="2400" w:type="dxa"/>
            <w:vAlign w:val="bottom"/>
            <w:tcBorders>
              <w:right w:val="single" w:sz="8" w:color="808080"/>
            </w:tcBorders>
            <w:shd w:val="clear" w:color="auto" w:fill="E5E7EF"/>
          </w:tcPr>
          <w:p>
            <w:pPr>
              <w:spacing w:after="0"/>
              <w:rPr>
                <w:sz w:val="24"/>
                <w:szCs w:val="24"/>
                <w:color w:val="auto"/>
              </w:rPr>
            </w:pPr>
          </w:p>
        </w:tc>
        <w:tc>
          <w:tcPr>
            <w:tcW w:w="8100" w:type="dxa"/>
            <w:vAlign w:val="bottom"/>
          </w:tcPr>
          <w:p>
            <w:pPr>
              <w:ind w:left="100"/>
              <w:spacing w:after="0"/>
              <w:rPr>
                <w:sz w:val="20"/>
                <w:szCs w:val="20"/>
                <w:color w:val="auto"/>
              </w:rPr>
            </w:pPr>
            <w:r>
              <w:rPr>
                <w:rFonts w:ascii="Arial" w:cs="Arial" w:eastAsia="Arial" w:hAnsi="Arial"/>
                <w:sz w:val="17"/>
                <w:szCs w:val="17"/>
                <w:color w:val="003478"/>
              </w:rPr>
              <w:t xml:space="preserve">• </w:t>
            </w:r>
            <w:r>
              <w:rPr>
                <w:rFonts w:ascii="Arial" w:cs="Arial" w:eastAsia="Arial" w:hAnsi="Arial"/>
                <w:sz w:val="17"/>
                <w:szCs w:val="17"/>
                <w:color w:val="000000"/>
              </w:rPr>
              <w:t>Evaluation of risks, including COVID-19 response; and</w:t>
            </w:r>
          </w:p>
        </w:tc>
        <w:tc>
          <w:tcPr>
            <w:tcW w:w="0" w:type="dxa"/>
            <w:vAlign w:val="bottom"/>
          </w:tcPr>
          <w:p>
            <w:pPr>
              <w:spacing w:after="0"/>
              <w:rPr>
                <w:sz w:val="1"/>
                <w:szCs w:val="1"/>
                <w:color w:val="auto"/>
              </w:rPr>
            </w:pPr>
          </w:p>
        </w:tc>
      </w:tr>
      <w:tr>
        <w:trPr>
          <w:trHeight w:val="322"/>
        </w:trPr>
        <w:tc>
          <w:tcPr>
            <w:tcW w:w="360" w:type="dxa"/>
            <w:vAlign w:val="bottom"/>
            <w:shd w:val="clear" w:color="auto" w:fill="E5E7EF"/>
          </w:tcPr>
          <w:p>
            <w:pPr>
              <w:spacing w:after="0"/>
              <w:rPr>
                <w:sz w:val="24"/>
                <w:szCs w:val="24"/>
                <w:color w:val="auto"/>
              </w:rPr>
            </w:pPr>
          </w:p>
        </w:tc>
        <w:tc>
          <w:tcPr>
            <w:tcW w:w="2400" w:type="dxa"/>
            <w:vAlign w:val="bottom"/>
            <w:tcBorders>
              <w:right w:val="single" w:sz="8" w:color="808080"/>
            </w:tcBorders>
            <w:shd w:val="clear" w:color="auto" w:fill="E5E7EF"/>
          </w:tcPr>
          <w:p>
            <w:pPr>
              <w:spacing w:after="0"/>
              <w:rPr>
                <w:sz w:val="24"/>
                <w:szCs w:val="24"/>
                <w:color w:val="auto"/>
              </w:rPr>
            </w:pPr>
          </w:p>
        </w:tc>
        <w:tc>
          <w:tcPr>
            <w:tcW w:w="8100" w:type="dxa"/>
            <w:vAlign w:val="bottom"/>
          </w:tcPr>
          <w:p>
            <w:pPr>
              <w:ind w:left="100"/>
              <w:spacing w:after="0"/>
              <w:rPr>
                <w:sz w:val="20"/>
                <w:szCs w:val="20"/>
                <w:color w:val="auto"/>
              </w:rPr>
            </w:pPr>
            <w:r>
              <w:rPr>
                <w:rFonts w:ascii="Arial" w:cs="Arial" w:eastAsia="Arial" w:hAnsi="Arial"/>
                <w:sz w:val="17"/>
                <w:szCs w:val="17"/>
                <w:color w:val="003478"/>
              </w:rPr>
              <w:t xml:space="preserve">• </w:t>
            </w:r>
            <w:r>
              <w:rPr>
                <w:rFonts w:ascii="Arial" w:cs="Arial" w:eastAsia="Arial" w:hAnsi="Arial"/>
                <w:sz w:val="17"/>
                <w:szCs w:val="17"/>
                <w:color w:val="000000"/>
              </w:rPr>
              <w:t>Peer assessment to elicit feedback on the performance of individual directors.</w:t>
            </w:r>
          </w:p>
        </w:tc>
        <w:tc>
          <w:tcPr>
            <w:tcW w:w="0" w:type="dxa"/>
            <w:vAlign w:val="bottom"/>
          </w:tcPr>
          <w:p>
            <w:pPr>
              <w:spacing w:after="0"/>
              <w:rPr>
                <w:sz w:val="1"/>
                <w:szCs w:val="1"/>
                <w:color w:val="auto"/>
              </w:rPr>
            </w:pPr>
          </w:p>
        </w:tc>
      </w:tr>
      <w:tr>
        <w:trPr>
          <w:trHeight w:val="84"/>
        </w:trPr>
        <w:tc>
          <w:tcPr>
            <w:tcW w:w="360" w:type="dxa"/>
            <w:vAlign w:val="bottom"/>
            <w:tcBorders>
              <w:bottom w:val="single" w:sz="8" w:color="808080"/>
            </w:tcBorders>
            <w:shd w:val="clear" w:color="auto" w:fill="E5E7EF"/>
          </w:tcPr>
          <w:p>
            <w:pPr>
              <w:spacing w:after="0"/>
              <w:rPr>
                <w:sz w:val="7"/>
                <w:szCs w:val="7"/>
                <w:color w:val="auto"/>
              </w:rPr>
            </w:pPr>
          </w:p>
        </w:tc>
        <w:tc>
          <w:tcPr>
            <w:tcW w:w="2400" w:type="dxa"/>
            <w:vAlign w:val="bottom"/>
            <w:tcBorders>
              <w:bottom w:val="single" w:sz="8" w:color="808080"/>
              <w:right w:val="single" w:sz="8" w:color="808080"/>
            </w:tcBorders>
            <w:shd w:val="clear" w:color="auto" w:fill="E5E7EF"/>
          </w:tcPr>
          <w:p>
            <w:pPr>
              <w:spacing w:after="0"/>
              <w:rPr>
                <w:sz w:val="7"/>
                <w:szCs w:val="7"/>
                <w:color w:val="auto"/>
              </w:rPr>
            </w:pPr>
          </w:p>
        </w:tc>
        <w:tc>
          <w:tcPr>
            <w:tcW w:w="8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360" w:type="dxa"/>
            <w:vAlign w:val="bottom"/>
            <w:shd w:val="clear" w:color="auto" w:fill="E5E7EF"/>
          </w:tcPr>
          <w:p>
            <w:pPr>
              <w:jc w:val="right"/>
              <w:spacing w:after="0" w:line="290" w:lineRule="exact"/>
              <w:rPr>
                <w:sz w:val="20"/>
                <w:szCs w:val="20"/>
                <w:color w:val="auto"/>
              </w:rPr>
            </w:pPr>
            <w:r>
              <w:rPr>
                <w:rFonts w:ascii="Arial" w:cs="Arial" w:eastAsia="Arial" w:hAnsi="Arial"/>
                <w:sz w:val="29"/>
                <w:szCs w:val="29"/>
                <w:color w:val="003478"/>
              </w:rPr>
              <w:t>2</w:t>
            </w:r>
          </w:p>
        </w:tc>
        <w:tc>
          <w:tcPr>
            <w:tcW w:w="2400" w:type="dxa"/>
            <w:vAlign w:val="bottom"/>
            <w:tcBorders>
              <w:right w:val="single" w:sz="8" w:color="808080"/>
            </w:tcBorders>
            <w:shd w:val="clear" w:color="auto" w:fill="E5E7EF"/>
          </w:tcPr>
          <w:p>
            <w:pPr>
              <w:ind w:left="20"/>
              <w:spacing w:after="0"/>
              <w:rPr>
                <w:sz w:val="20"/>
                <w:szCs w:val="20"/>
                <w:color w:val="auto"/>
              </w:rPr>
            </w:pPr>
            <w:r>
              <w:rPr>
                <w:rFonts w:ascii="Arial" w:cs="Arial" w:eastAsia="Arial" w:hAnsi="Arial"/>
                <w:sz w:val="17"/>
                <w:szCs w:val="17"/>
                <w:color w:val="auto"/>
              </w:rPr>
              <w:t>One-on-One Discussions with</w:t>
            </w:r>
          </w:p>
        </w:tc>
        <w:tc>
          <w:tcPr>
            <w:tcW w:w="8100" w:type="dxa"/>
            <w:vAlign w:val="bottom"/>
          </w:tcPr>
          <w:p>
            <w:pPr>
              <w:ind w:left="100"/>
              <w:spacing w:after="0"/>
              <w:rPr>
                <w:sz w:val="20"/>
                <w:szCs w:val="20"/>
                <w:color w:val="auto"/>
              </w:rPr>
            </w:pPr>
            <w:r>
              <w:rPr>
                <w:rFonts w:ascii="Arial" w:cs="Arial" w:eastAsia="Arial" w:hAnsi="Arial"/>
                <w:sz w:val="17"/>
                <w:szCs w:val="17"/>
                <w:color w:val="auto"/>
              </w:rPr>
              <w:t>The independent Lead Director conducts separate, one-on-one discussions with each director to discuss</w:t>
            </w:r>
          </w:p>
        </w:tc>
        <w:tc>
          <w:tcPr>
            <w:tcW w:w="0" w:type="dxa"/>
            <w:vAlign w:val="bottom"/>
          </w:tcPr>
          <w:p>
            <w:pPr>
              <w:spacing w:after="0"/>
              <w:rPr>
                <w:sz w:val="1"/>
                <w:szCs w:val="1"/>
                <w:color w:val="auto"/>
              </w:rPr>
            </w:pPr>
          </w:p>
        </w:tc>
      </w:tr>
      <w:tr>
        <w:trPr>
          <w:trHeight w:val="204"/>
        </w:trPr>
        <w:tc>
          <w:tcPr>
            <w:tcW w:w="360" w:type="dxa"/>
            <w:vAlign w:val="bottom"/>
            <w:shd w:val="clear" w:color="auto" w:fill="E5E7EF"/>
          </w:tcPr>
          <w:p>
            <w:pPr>
              <w:spacing w:after="0"/>
              <w:rPr>
                <w:sz w:val="17"/>
                <w:szCs w:val="17"/>
                <w:color w:val="auto"/>
              </w:rPr>
            </w:pPr>
          </w:p>
        </w:tc>
        <w:tc>
          <w:tcPr>
            <w:tcW w:w="2400" w:type="dxa"/>
            <w:vAlign w:val="bottom"/>
            <w:tcBorders>
              <w:right w:val="single" w:sz="8" w:color="808080"/>
            </w:tcBorders>
            <w:shd w:val="clear" w:color="auto" w:fill="E5E7EF"/>
          </w:tcPr>
          <w:p>
            <w:pPr>
              <w:ind w:left="20"/>
              <w:spacing w:after="0"/>
              <w:rPr>
                <w:sz w:val="20"/>
                <w:szCs w:val="20"/>
                <w:color w:val="auto"/>
              </w:rPr>
            </w:pPr>
            <w:r>
              <w:rPr>
                <w:rFonts w:ascii="Arial" w:cs="Arial" w:eastAsia="Arial" w:hAnsi="Arial"/>
                <w:sz w:val="17"/>
                <w:szCs w:val="17"/>
                <w:color w:val="auto"/>
              </w:rPr>
              <w:t>Independent Lead Director</w:t>
            </w:r>
          </w:p>
        </w:tc>
        <w:tc>
          <w:tcPr>
            <w:tcW w:w="8100" w:type="dxa"/>
            <w:vAlign w:val="bottom"/>
            <w:vMerge w:val="restart"/>
          </w:tcPr>
          <w:p>
            <w:pPr>
              <w:ind w:left="100"/>
              <w:spacing w:after="0"/>
              <w:rPr>
                <w:sz w:val="20"/>
                <w:szCs w:val="20"/>
                <w:color w:val="auto"/>
              </w:rPr>
            </w:pPr>
            <w:r>
              <w:rPr>
                <w:rFonts w:ascii="Arial" w:cs="Arial" w:eastAsia="Arial" w:hAnsi="Arial"/>
                <w:sz w:val="17"/>
                <w:szCs w:val="17"/>
                <w:color w:val="auto"/>
              </w:rPr>
              <w:t>any additional feedback or perspectives.</w:t>
            </w:r>
          </w:p>
        </w:tc>
        <w:tc>
          <w:tcPr>
            <w:tcW w:w="0" w:type="dxa"/>
            <w:vAlign w:val="bottom"/>
          </w:tcPr>
          <w:p>
            <w:pPr>
              <w:spacing w:after="0"/>
              <w:rPr>
                <w:sz w:val="1"/>
                <w:szCs w:val="1"/>
                <w:color w:val="auto"/>
              </w:rPr>
            </w:pPr>
          </w:p>
        </w:tc>
      </w:tr>
      <w:tr>
        <w:trPr>
          <w:trHeight w:val="61"/>
        </w:trPr>
        <w:tc>
          <w:tcPr>
            <w:tcW w:w="360" w:type="dxa"/>
            <w:vAlign w:val="bottom"/>
            <w:shd w:val="clear" w:color="auto" w:fill="E5E7EF"/>
          </w:tcPr>
          <w:p>
            <w:pPr>
              <w:spacing w:after="0"/>
              <w:rPr>
                <w:sz w:val="5"/>
                <w:szCs w:val="5"/>
                <w:color w:val="auto"/>
              </w:rPr>
            </w:pPr>
          </w:p>
        </w:tc>
        <w:tc>
          <w:tcPr>
            <w:tcW w:w="2400" w:type="dxa"/>
            <w:vAlign w:val="bottom"/>
            <w:tcBorders>
              <w:right w:val="single" w:sz="8" w:color="808080"/>
            </w:tcBorders>
            <w:shd w:val="clear" w:color="auto" w:fill="E5E7EF"/>
          </w:tcPr>
          <w:p>
            <w:pPr>
              <w:spacing w:after="0"/>
              <w:rPr>
                <w:sz w:val="5"/>
                <w:szCs w:val="5"/>
                <w:color w:val="auto"/>
              </w:rPr>
            </w:pPr>
          </w:p>
        </w:tc>
        <w:tc>
          <w:tcPr>
            <w:tcW w:w="8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360" w:type="dxa"/>
            <w:vAlign w:val="bottom"/>
            <w:tcBorders>
              <w:bottom w:val="single" w:sz="8" w:color="808080"/>
            </w:tcBorders>
            <w:shd w:val="clear" w:color="auto" w:fill="E5E7EF"/>
          </w:tcPr>
          <w:p>
            <w:pPr>
              <w:spacing w:after="0"/>
              <w:rPr>
                <w:sz w:val="7"/>
                <w:szCs w:val="7"/>
                <w:color w:val="auto"/>
              </w:rPr>
            </w:pPr>
          </w:p>
        </w:tc>
        <w:tc>
          <w:tcPr>
            <w:tcW w:w="2400" w:type="dxa"/>
            <w:vAlign w:val="bottom"/>
            <w:tcBorders>
              <w:bottom w:val="single" w:sz="8" w:color="808080"/>
              <w:right w:val="single" w:sz="8" w:color="808080"/>
            </w:tcBorders>
            <w:shd w:val="clear" w:color="auto" w:fill="E5E7EF"/>
          </w:tcPr>
          <w:p>
            <w:pPr>
              <w:spacing w:after="0"/>
              <w:rPr>
                <w:sz w:val="7"/>
                <w:szCs w:val="7"/>
                <w:color w:val="auto"/>
              </w:rPr>
            </w:pPr>
          </w:p>
        </w:tc>
        <w:tc>
          <w:tcPr>
            <w:tcW w:w="8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360" w:type="dxa"/>
            <w:vAlign w:val="bottom"/>
            <w:shd w:val="clear" w:color="auto" w:fill="E5E7EF"/>
          </w:tcPr>
          <w:p>
            <w:pPr>
              <w:jc w:val="right"/>
              <w:spacing w:after="0" w:line="290" w:lineRule="exact"/>
              <w:rPr>
                <w:sz w:val="20"/>
                <w:szCs w:val="20"/>
                <w:color w:val="auto"/>
              </w:rPr>
            </w:pPr>
            <w:r>
              <w:rPr>
                <w:rFonts w:ascii="Arial" w:cs="Arial" w:eastAsia="Arial" w:hAnsi="Arial"/>
                <w:sz w:val="29"/>
                <w:szCs w:val="29"/>
                <w:color w:val="003478"/>
              </w:rPr>
              <w:t>3</w:t>
            </w:r>
          </w:p>
        </w:tc>
        <w:tc>
          <w:tcPr>
            <w:tcW w:w="2400" w:type="dxa"/>
            <w:vAlign w:val="bottom"/>
            <w:tcBorders>
              <w:right w:val="single" w:sz="8" w:color="808080"/>
            </w:tcBorders>
            <w:shd w:val="clear" w:color="auto" w:fill="E5E7EF"/>
          </w:tcPr>
          <w:p>
            <w:pPr>
              <w:ind w:left="20"/>
              <w:spacing w:after="0"/>
              <w:rPr>
                <w:sz w:val="20"/>
                <w:szCs w:val="20"/>
                <w:color w:val="auto"/>
              </w:rPr>
            </w:pPr>
            <w:r>
              <w:rPr>
                <w:rFonts w:ascii="Arial" w:cs="Arial" w:eastAsia="Arial" w:hAnsi="Arial"/>
                <w:sz w:val="17"/>
                <w:szCs w:val="17"/>
                <w:color w:val="auto"/>
              </w:rPr>
              <w:t>Committee/Board Private</w:t>
            </w:r>
          </w:p>
        </w:tc>
        <w:tc>
          <w:tcPr>
            <w:tcW w:w="8100" w:type="dxa"/>
            <w:vAlign w:val="bottom"/>
          </w:tcPr>
          <w:p>
            <w:pPr>
              <w:ind w:left="100"/>
              <w:spacing w:after="0"/>
              <w:rPr>
                <w:sz w:val="20"/>
                <w:szCs w:val="20"/>
                <w:color w:val="auto"/>
              </w:rPr>
            </w:pPr>
            <w:r>
              <w:rPr>
                <w:rFonts w:ascii="Arial" w:cs="Arial" w:eastAsia="Arial" w:hAnsi="Arial"/>
                <w:sz w:val="17"/>
                <w:szCs w:val="17"/>
                <w:color w:val="auto"/>
              </w:rPr>
              <w:t>The Governance Committee and each other committee and the full Board review the results of the</w:t>
            </w:r>
          </w:p>
        </w:tc>
        <w:tc>
          <w:tcPr>
            <w:tcW w:w="0" w:type="dxa"/>
            <w:vAlign w:val="bottom"/>
          </w:tcPr>
          <w:p>
            <w:pPr>
              <w:spacing w:after="0"/>
              <w:rPr>
                <w:sz w:val="1"/>
                <w:szCs w:val="1"/>
                <w:color w:val="auto"/>
              </w:rPr>
            </w:pPr>
          </w:p>
        </w:tc>
      </w:tr>
      <w:tr>
        <w:trPr>
          <w:trHeight w:val="204"/>
        </w:trPr>
        <w:tc>
          <w:tcPr>
            <w:tcW w:w="360" w:type="dxa"/>
            <w:vAlign w:val="bottom"/>
            <w:shd w:val="clear" w:color="auto" w:fill="E5E7EF"/>
          </w:tcPr>
          <w:p>
            <w:pPr>
              <w:spacing w:after="0"/>
              <w:rPr>
                <w:sz w:val="17"/>
                <w:szCs w:val="17"/>
                <w:color w:val="auto"/>
              </w:rPr>
            </w:pPr>
          </w:p>
        </w:tc>
        <w:tc>
          <w:tcPr>
            <w:tcW w:w="2400" w:type="dxa"/>
            <w:vAlign w:val="bottom"/>
            <w:tcBorders>
              <w:right w:val="single" w:sz="8" w:color="808080"/>
            </w:tcBorders>
            <w:shd w:val="clear" w:color="auto" w:fill="E5E7EF"/>
          </w:tcPr>
          <w:p>
            <w:pPr>
              <w:ind w:left="20"/>
              <w:spacing w:after="0"/>
              <w:rPr>
                <w:sz w:val="20"/>
                <w:szCs w:val="20"/>
                <w:color w:val="auto"/>
              </w:rPr>
            </w:pPr>
            <w:r>
              <w:rPr>
                <w:rFonts w:ascii="Arial" w:cs="Arial" w:eastAsia="Arial" w:hAnsi="Arial"/>
                <w:sz w:val="17"/>
                <w:szCs w:val="17"/>
                <w:color w:val="auto"/>
              </w:rPr>
              <w:t>Sessions</w:t>
            </w:r>
          </w:p>
        </w:tc>
        <w:tc>
          <w:tcPr>
            <w:tcW w:w="8100" w:type="dxa"/>
            <w:vAlign w:val="bottom"/>
            <w:vMerge w:val="restart"/>
          </w:tcPr>
          <w:p>
            <w:pPr>
              <w:ind w:left="100"/>
              <w:spacing w:after="0"/>
              <w:rPr>
                <w:sz w:val="20"/>
                <w:szCs w:val="20"/>
                <w:color w:val="auto"/>
              </w:rPr>
            </w:pPr>
            <w:r>
              <w:rPr>
                <w:rFonts w:ascii="Arial" w:cs="Arial" w:eastAsia="Arial" w:hAnsi="Arial"/>
                <w:sz w:val="17"/>
                <w:szCs w:val="17"/>
                <w:color w:val="auto"/>
              </w:rPr>
              <w:t>evaluations in private session. The Board discussion is led by the independent Lead Director. Apart from</w:t>
            </w:r>
          </w:p>
        </w:tc>
        <w:tc>
          <w:tcPr>
            <w:tcW w:w="0" w:type="dxa"/>
            <w:vAlign w:val="bottom"/>
          </w:tcPr>
          <w:p>
            <w:pPr>
              <w:spacing w:after="0"/>
              <w:rPr>
                <w:sz w:val="1"/>
                <w:szCs w:val="1"/>
                <w:color w:val="auto"/>
              </w:rPr>
            </w:pPr>
          </w:p>
        </w:tc>
      </w:tr>
      <w:tr>
        <w:trPr>
          <w:trHeight w:val="61"/>
        </w:trPr>
        <w:tc>
          <w:tcPr>
            <w:tcW w:w="360" w:type="dxa"/>
            <w:vAlign w:val="bottom"/>
            <w:shd w:val="clear" w:color="auto" w:fill="E5E7EF"/>
          </w:tcPr>
          <w:p>
            <w:pPr>
              <w:spacing w:after="0"/>
              <w:rPr>
                <w:sz w:val="5"/>
                <w:szCs w:val="5"/>
                <w:color w:val="auto"/>
              </w:rPr>
            </w:pPr>
          </w:p>
        </w:tc>
        <w:tc>
          <w:tcPr>
            <w:tcW w:w="2400" w:type="dxa"/>
            <w:vAlign w:val="bottom"/>
            <w:tcBorders>
              <w:right w:val="single" w:sz="8" w:color="808080"/>
            </w:tcBorders>
            <w:shd w:val="clear" w:color="auto" w:fill="E5E7EF"/>
          </w:tcPr>
          <w:p>
            <w:pPr>
              <w:spacing w:after="0"/>
              <w:rPr>
                <w:sz w:val="5"/>
                <w:szCs w:val="5"/>
                <w:color w:val="auto"/>
              </w:rPr>
            </w:pPr>
          </w:p>
        </w:tc>
        <w:tc>
          <w:tcPr>
            <w:tcW w:w="8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360" w:type="dxa"/>
            <w:vAlign w:val="bottom"/>
            <w:shd w:val="clear" w:color="auto" w:fill="E5E7EF"/>
          </w:tcPr>
          <w:p>
            <w:pPr>
              <w:spacing w:after="0"/>
              <w:rPr>
                <w:sz w:val="18"/>
                <w:szCs w:val="18"/>
                <w:color w:val="auto"/>
              </w:rPr>
            </w:pPr>
          </w:p>
        </w:tc>
        <w:tc>
          <w:tcPr>
            <w:tcW w:w="2400" w:type="dxa"/>
            <w:vAlign w:val="bottom"/>
            <w:tcBorders>
              <w:right w:val="single" w:sz="8" w:color="808080"/>
            </w:tcBorders>
            <w:shd w:val="clear" w:color="auto" w:fill="E5E7EF"/>
          </w:tcPr>
          <w:p>
            <w:pPr>
              <w:spacing w:after="0"/>
              <w:rPr>
                <w:sz w:val="18"/>
                <w:szCs w:val="18"/>
                <w:color w:val="auto"/>
              </w:rPr>
            </w:pPr>
          </w:p>
        </w:tc>
        <w:tc>
          <w:tcPr>
            <w:tcW w:w="8100" w:type="dxa"/>
            <w:vAlign w:val="bottom"/>
          </w:tcPr>
          <w:p>
            <w:pPr>
              <w:ind w:left="100"/>
              <w:spacing w:after="0"/>
              <w:rPr>
                <w:sz w:val="20"/>
                <w:szCs w:val="20"/>
                <w:color w:val="auto"/>
              </w:rPr>
            </w:pPr>
            <w:r>
              <w:rPr>
                <w:rFonts w:ascii="Arial" w:cs="Arial" w:eastAsia="Arial" w:hAnsi="Arial"/>
                <w:sz w:val="17"/>
                <w:szCs w:val="17"/>
                <w:color w:val="auto"/>
              </w:rPr>
              <w:t>the annual discussion, an executive session is scheduled at each meeting and any feedback from the</w:t>
            </w:r>
          </w:p>
        </w:tc>
        <w:tc>
          <w:tcPr>
            <w:tcW w:w="0" w:type="dxa"/>
            <w:vAlign w:val="bottom"/>
          </w:tcPr>
          <w:p>
            <w:pPr>
              <w:spacing w:after="0"/>
              <w:rPr>
                <w:sz w:val="1"/>
                <w:szCs w:val="1"/>
                <w:color w:val="auto"/>
              </w:rPr>
            </w:pPr>
          </w:p>
        </w:tc>
      </w:tr>
      <w:tr>
        <w:trPr>
          <w:trHeight w:val="215"/>
        </w:trPr>
        <w:tc>
          <w:tcPr>
            <w:tcW w:w="360" w:type="dxa"/>
            <w:vAlign w:val="bottom"/>
            <w:shd w:val="clear" w:color="auto" w:fill="E5E7EF"/>
          </w:tcPr>
          <w:p>
            <w:pPr>
              <w:spacing w:after="0"/>
              <w:rPr>
                <w:sz w:val="18"/>
                <w:szCs w:val="18"/>
                <w:color w:val="auto"/>
              </w:rPr>
            </w:pPr>
          </w:p>
        </w:tc>
        <w:tc>
          <w:tcPr>
            <w:tcW w:w="2400" w:type="dxa"/>
            <w:vAlign w:val="bottom"/>
            <w:tcBorders>
              <w:right w:val="single" w:sz="8" w:color="808080"/>
            </w:tcBorders>
            <w:shd w:val="clear" w:color="auto" w:fill="E5E7EF"/>
          </w:tcPr>
          <w:p>
            <w:pPr>
              <w:spacing w:after="0"/>
              <w:rPr>
                <w:sz w:val="18"/>
                <w:szCs w:val="18"/>
                <w:color w:val="auto"/>
              </w:rPr>
            </w:pPr>
          </w:p>
        </w:tc>
        <w:tc>
          <w:tcPr>
            <w:tcW w:w="8100" w:type="dxa"/>
            <w:vAlign w:val="bottom"/>
          </w:tcPr>
          <w:p>
            <w:pPr>
              <w:ind w:left="100"/>
              <w:spacing w:after="0"/>
              <w:rPr>
                <w:sz w:val="20"/>
                <w:szCs w:val="20"/>
                <w:color w:val="auto"/>
              </w:rPr>
            </w:pPr>
            <w:r>
              <w:rPr>
                <w:rFonts w:ascii="Arial" w:cs="Arial" w:eastAsia="Arial" w:hAnsi="Arial"/>
                <w:sz w:val="17"/>
                <w:szCs w:val="17"/>
                <w:color w:val="auto"/>
              </w:rPr>
              <w:t>independent directors is communicated to the Chairman by the Lead Director.</w:t>
            </w:r>
          </w:p>
        </w:tc>
        <w:tc>
          <w:tcPr>
            <w:tcW w:w="0" w:type="dxa"/>
            <w:vAlign w:val="bottom"/>
          </w:tcPr>
          <w:p>
            <w:pPr>
              <w:spacing w:after="0"/>
              <w:rPr>
                <w:sz w:val="1"/>
                <w:szCs w:val="1"/>
                <w:color w:val="auto"/>
              </w:rPr>
            </w:pPr>
          </w:p>
        </w:tc>
      </w:tr>
      <w:tr>
        <w:trPr>
          <w:trHeight w:val="84"/>
        </w:trPr>
        <w:tc>
          <w:tcPr>
            <w:tcW w:w="360" w:type="dxa"/>
            <w:vAlign w:val="bottom"/>
            <w:tcBorders>
              <w:bottom w:val="single" w:sz="8" w:color="808080"/>
            </w:tcBorders>
            <w:shd w:val="clear" w:color="auto" w:fill="E5E7EF"/>
          </w:tcPr>
          <w:p>
            <w:pPr>
              <w:spacing w:after="0"/>
              <w:rPr>
                <w:sz w:val="7"/>
                <w:szCs w:val="7"/>
                <w:color w:val="auto"/>
              </w:rPr>
            </w:pPr>
          </w:p>
        </w:tc>
        <w:tc>
          <w:tcPr>
            <w:tcW w:w="2400" w:type="dxa"/>
            <w:vAlign w:val="bottom"/>
            <w:tcBorders>
              <w:bottom w:val="single" w:sz="8" w:color="808080"/>
              <w:right w:val="single" w:sz="8" w:color="808080"/>
            </w:tcBorders>
            <w:shd w:val="clear" w:color="auto" w:fill="E5E7EF"/>
          </w:tcPr>
          <w:p>
            <w:pPr>
              <w:spacing w:after="0"/>
              <w:rPr>
                <w:sz w:val="7"/>
                <w:szCs w:val="7"/>
                <w:color w:val="auto"/>
              </w:rPr>
            </w:pPr>
          </w:p>
        </w:tc>
        <w:tc>
          <w:tcPr>
            <w:tcW w:w="81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62"/>
        </w:trPr>
        <w:tc>
          <w:tcPr>
            <w:tcW w:w="360" w:type="dxa"/>
            <w:vAlign w:val="bottom"/>
            <w:shd w:val="clear" w:color="auto" w:fill="E5E7EF"/>
          </w:tcPr>
          <w:p>
            <w:pPr>
              <w:jc w:val="right"/>
              <w:spacing w:after="0"/>
              <w:rPr>
                <w:sz w:val="20"/>
                <w:szCs w:val="20"/>
                <w:color w:val="auto"/>
              </w:rPr>
            </w:pPr>
            <w:r>
              <w:rPr>
                <w:rFonts w:ascii="Arial" w:cs="Arial" w:eastAsia="Arial" w:hAnsi="Arial"/>
                <w:sz w:val="29"/>
                <w:szCs w:val="29"/>
                <w:color w:val="003478"/>
              </w:rPr>
              <w:t>4</w:t>
            </w:r>
          </w:p>
        </w:tc>
        <w:tc>
          <w:tcPr>
            <w:tcW w:w="2400" w:type="dxa"/>
            <w:vAlign w:val="bottom"/>
            <w:tcBorders>
              <w:right w:val="single" w:sz="8" w:color="808080"/>
            </w:tcBorders>
            <w:shd w:val="clear" w:color="auto" w:fill="E5E7EF"/>
          </w:tcPr>
          <w:p>
            <w:pPr>
              <w:ind w:left="20"/>
              <w:spacing w:after="0"/>
              <w:rPr>
                <w:sz w:val="20"/>
                <w:szCs w:val="20"/>
                <w:color w:val="auto"/>
              </w:rPr>
            </w:pPr>
            <w:r>
              <w:rPr>
                <w:rFonts w:ascii="Arial" w:cs="Arial" w:eastAsia="Arial" w:hAnsi="Arial"/>
                <w:sz w:val="17"/>
                <w:szCs w:val="17"/>
                <w:color w:val="auto"/>
              </w:rPr>
              <w:t>Feedback Incorporated</w:t>
            </w:r>
          </w:p>
        </w:tc>
        <w:tc>
          <w:tcPr>
            <w:tcW w:w="8100" w:type="dxa"/>
            <w:vAlign w:val="bottom"/>
          </w:tcPr>
          <w:p>
            <w:pPr>
              <w:ind w:left="100"/>
              <w:spacing w:after="0"/>
              <w:rPr>
                <w:sz w:val="20"/>
                <w:szCs w:val="20"/>
                <w:color w:val="auto"/>
              </w:rPr>
            </w:pPr>
            <w:r>
              <w:rPr>
                <w:rFonts w:ascii="Arial" w:cs="Arial" w:eastAsia="Arial" w:hAnsi="Arial"/>
                <w:sz w:val="17"/>
                <w:szCs w:val="17"/>
                <w:color w:val="003478"/>
              </w:rPr>
              <w:t xml:space="preserve">• </w:t>
            </w:r>
            <w:r>
              <w:rPr>
                <w:rFonts w:ascii="Arial" w:cs="Arial" w:eastAsia="Arial" w:hAnsi="Arial"/>
                <w:sz w:val="17"/>
                <w:szCs w:val="17"/>
                <w:color w:val="000000"/>
              </w:rPr>
              <w:t>Prioritization of Board discussion time with continued use of executive sessions</w:t>
            </w:r>
          </w:p>
        </w:tc>
        <w:tc>
          <w:tcPr>
            <w:tcW w:w="0" w:type="dxa"/>
            <w:vAlign w:val="bottom"/>
          </w:tcPr>
          <w:p>
            <w:pPr>
              <w:spacing w:after="0"/>
              <w:rPr>
                <w:sz w:val="1"/>
                <w:szCs w:val="1"/>
                <w:color w:val="auto"/>
              </w:rPr>
            </w:pPr>
          </w:p>
        </w:tc>
      </w:tr>
      <w:tr>
        <w:trPr>
          <w:trHeight w:val="300"/>
        </w:trPr>
        <w:tc>
          <w:tcPr>
            <w:tcW w:w="360" w:type="dxa"/>
            <w:vAlign w:val="bottom"/>
            <w:shd w:val="clear" w:color="auto" w:fill="E5E7EF"/>
          </w:tcPr>
          <w:p>
            <w:pPr>
              <w:spacing w:after="0"/>
              <w:rPr>
                <w:sz w:val="24"/>
                <w:szCs w:val="24"/>
                <w:color w:val="auto"/>
              </w:rPr>
            </w:pPr>
          </w:p>
        </w:tc>
        <w:tc>
          <w:tcPr>
            <w:tcW w:w="2400" w:type="dxa"/>
            <w:vAlign w:val="bottom"/>
            <w:tcBorders>
              <w:right w:val="single" w:sz="8" w:color="808080"/>
            </w:tcBorders>
            <w:shd w:val="clear" w:color="auto" w:fill="E5E7EF"/>
          </w:tcPr>
          <w:p>
            <w:pPr>
              <w:spacing w:after="0"/>
              <w:rPr>
                <w:sz w:val="24"/>
                <w:szCs w:val="24"/>
                <w:color w:val="auto"/>
              </w:rPr>
            </w:pPr>
          </w:p>
        </w:tc>
        <w:tc>
          <w:tcPr>
            <w:tcW w:w="8100" w:type="dxa"/>
            <w:vAlign w:val="bottom"/>
          </w:tcPr>
          <w:p>
            <w:pPr>
              <w:ind w:left="100"/>
              <w:spacing w:after="0"/>
              <w:rPr>
                <w:sz w:val="20"/>
                <w:szCs w:val="20"/>
                <w:color w:val="auto"/>
              </w:rPr>
            </w:pPr>
            <w:r>
              <w:rPr>
                <w:rFonts w:ascii="Arial" w:cs="Arial" w:eastAsia="Arial" w:hAnsi="Arial"/>
                <w:sz w:val="17"/>
                <w:szCs w:val="17"/>
                <w:color w:val="003478"/>
              </w:rPr>
              <w:t xml:space="preserve">• </w:t>
            </w:r>
            <w:r>
              <w:rPr>
                <w:rFonts w:ascii="Arial" w:cs="Arial" w:eastAsia="Arial" w:hAnsi="Arial"/>
                <w:sz w:val="17"/>
                <w:szCs w:val="17"/>
                <w:color w:val="000000"/>
              </w:rPr>
              <w:t>Incorporate virtual meeting opportunities into the future Board schedule</w:t>
            </w:r>
          </w:p>
        </w:tc>
        <w:tc>
          <w:tcPr>
            <w:tcW w:w="0" w:type="dxa"/>
            <w:vAlign w:val="bottom"/>
          </w:tcPr>
          <w:p>
            <w:pPr>
              <w:spacing w:after="0"/>
              <w:rPr>
                <w:sz w:val="1"/>
                <w:szCs w:val="1"/>
                <w:color w:val="auto"/>
              </w:rPr>
            </w:pPr>
          </w:p>
        </w:tc>
      </w:tr>
      <w:tr>
        <w:trPr>
          <w:trHeight w:val="322"/>
        </w:trPr>
        <w:tc>
          <w:tcPr>
            <w:tcW w:w="360" w:type="dxa"/>
            <w:vAlign w:val="bottom"/>
            <w:shd w:val="clear" w:color="auto" w:fill="E5E7EF"/>
          </w:tcPr>
          <w:p>
            <w:pPr>
              <w:spacing w:after="0"/>
              <w:rPr>
                <w:sz w:val="24"/>
                <w:szCs w:val="24"/>
                <w:color w:val="auto"/>
              </w:rPr>
            </w:pPr>
          </w:p>
        </w:tc>
        <w:tc>
          <w:tcPr>
            <w:tcW w:w="2400" w:type="dxa"/>
            <w:vAlign w:val="bottom"/>
            <w:tcBorders>
              <w:right w:val="single" w:sz="8" w:color="808080"/>
            </w:tcBorders>
            <w:shd w:val="clear" w:color="auto" w:fill="E5E7EF"/>
          </w:tcPr>
          <w:p>
            <w:pPr>
              <w:spacing w:after="0"/>
              <w:rPr>
                <w:sz w:val="24"/>
                <w:szCs w:val="24"/>
                <w:color w:val="auto"/>
              </w:rPr>
            </w:pPr>
          </w:p>
        </w:tc>
        <w:tc>
          <w:tcPr>
            <w:tcW w:w="8100" w:type="dxa"/>
            <w:vAlign w:val="bottom"/>
          </w:tcPr>
          <w:p>
            <w:pPr>
              <w:ind w:left="100"/>
              <w:spacing w:after="0"/>
              <w:rPr>
                <w:sz w:val="20"/>
                <w:szCs w:val="20"/>
                <w:color w:val="auto"/>
              </w:rPr>
            </w:pPr>
            <w:r>
              <w:rPr>
                <w:rFonts w:ascii="Arial" w:cs="Arial" w:eastAsia="Arial" w:hAnsi="Arial"/>
                <w:sz w:val="17"/>
                <w:szCs w:val="17"/>
                <w:color w:val="003478"/>
              </w:rPr>
              <w:t xml:space="preserve">• </w:t>
            </w:r>
            <w:r>
              <w:rPr>
                <w:rFonts w:ascii="Arial" w:cs="Arial" w:eastAsia="Arial" w:hAnsi="Arial"/>
                <w:sz w:val="17"/>
                <w:szCs w:val="17"/>
                <w:color w:val="000000"/>
              </w:rPr>
              <w:t>Added additional classified program reviews</w:t>
            </w:r>
          </w:p>
        </w:tc>
        <w:tc>
          <w:tcPr>
            <w:tcW w:w="0" w:type="dxa"/>
            <w:vAlign w:val="bottom"/>
          </w:tcPr>
          <w:p>
            <w:pPr>
              <w:spacing w:after="0"/>
              <w:rPr>
                <w:sz w:val="1"/>
                <w:szCs w:val="1"/>
                <w:color w:val="auto"/>
              </w:rPr>
            </w:pPr>
          </w:p>
        </w:tc>
      </w:tr>
      <w:tr>
        <w:trPr>
          <w:trHeight w:val="322"/>
        </w:trPr>
        <w:tc>
          <w:tcPr>
            <w:tcW w:w="360" w:type="dxa"/>
            <w:vAlign w:val="bottom"/>
            <w:shd w:val="clear" w:color="auto" w:fill="E5E7EF"/>
          </w:tcPr>
          <w:p>
            <w:pPr>
              <w:spacing w:after="0"/>
              <w:rPr>
                <w:sz w:val="24"/>
                <w:szCs w:val="24"/>
                <w:color w:val="auto"/>
              </w:rPr>
            </w:pPr>
          </w:p>
        </w:tc>
        <w:tc>
          <w:tcPr>
            <w:tcW w:w="2400" w:type="dxa"/>
            <w:vAlign w:val="bottom"/>
            <w:tcBorders>
              <w:right w:val="single" w:sz="8" w:color="808080"/>
            </w:tcBorders>
            <w:shd w:val="clear" w:color="auto" w:fill="E5E7EF"/>
          </w:tcPr>
          <w:p>
            <w:pPr>
              <w:spacing w:after="0"/>
              <w:rPr>
                <w:sz w:val="24"/>
                <w:szCs w:val="24"/>
                <w:color w:val="auto"/>
              </w:rPr>
            </w:pPr>
          </w:p>
        </w:tc>
        <w:tc>
          <w:tcPr>
            <w:tcW w:w="8100" w:type="dxa"/>
            <w:vAlign w:val="bottom"/>
          </w:tcPr>
          <w:p>
            <w:pPr>
              <w:ind w:left="100"/>
              <w:spacing w:after="0"/>
              <w:rPr>
                <w:sz w:val="20"/>
                <w:szCs w:val="20"/>
                <w:color w:val="auto"/>
              </w:rPr>
            </w:pPr>
            <w:r>
              <w:rPr>
                <w:rFonts w:ascii="Arial" w:cs="Arial" w:eastAsia="Arial" w:hAnsi="Arial"/>
                <w:sz w:val="17"/>
                <w:szCs w:val="17"/>
                <w:color w:val="003478"/>
              </w:rPr>
              <w:t xml:space="preserve">• </w:t>
            </w:r>
            <w:r>
              <w:rPr>
                <w:rFonts w:ascii="Arial" w:cs="Arial" w:eastAsia="Arial" w:hAnsi="Arial"/>
                <w:sz w:val="17"/>
                <w:szCs w:val="17"/>
                <w:color w:val="000000"/>
              </w:rPr>
              <w:t>Added additional directors with financial and capital allocation, environmental and sustainability, risk</w:t>
            </w:r>
          </w:p>
        </w:tc>
        <w:tc>
          <w:tcPr>
            <w:tcW w:w="0" w:type="dxa"/>
            <w:vAlign w:val="bottom"/>
          </w:tcPr>
          <w:p>
            <w:pPr>
              <w:spacing w:after="0"/>
              <w:rPr>
                <w:sz w:val="1"/>
                <w:szCs w:val="1"/>
                <w:color w:val="auto"/>
              </w:rPr>
            </w:pPr>
          </w:p>
        </w:tc>
      </w:tr>
      <w:tr>
        <w:trPr>
          <w:trHeight w:val="215"/>
        </w:trPr>
        <w:tc>
          <w:tcPr>
            <w:tcW w:w="360" w:type="dxa"/>
            <w:vAlign w:val="bottom"/>
            <w:shd w:val="clear" w:color="auto" w:fill="E5E7EF"/>
          </w:tcPr>
          <w:p>
            <w:pPr>
              <w:spacing w:after="0"/>
              <w:rPr>
                <w:sz w:val="18"/>
                <w:szCs w:val="18"/>
                <w:color w:val="auto"/>
              </w:rPr>
            </w:pPr>
          </w:p>
        </w:tc>
        <w:tc>
          <w:tcPr>
            <w:tcW w:w="2400" w:type="dxa"/>
            <w:vAlign w:val="bottom"/>
            <w:tcBorders>
              <w:right w:val="single" w:sz="8" w:color="808080"/>
            </w:tcBorders>
            <w:shd w:val="clear" w:color="auto" w:fill="E5E7EF"/>
          </w:tcPr>
          <w:p>
            <w:pPr>
              <w:spacing w:after="0"/>
              <w:rPr>
                <w:sz w:val="18"/>
                <w:szCs w:val="18"/>
                <w:color w:val="auto"/>
              </w:rPr>
            </w:pPr>
          </w:p>
        </w:tc>
        <w:tc>
          <w:tcPr>
            <w:tcW w:w="8100" w:type="dxa"/>
            <w:vAlign w:val="bottom"/>
          </w:tcPr>
          <w:p>
            <w:pPr>
              <w:ind w:left="260"/>
              <w:spacing w:after="0"/>
              <w:rPr>
                <w:sz w:val="20"/>
                <w:szCs w:val="20"/>
                <w:color w:val="auto"/>
              </w:rPr>
            </w:pPr>
            <w:r>
              <w:rPr>
                <w:rFonts w:ascii="Arial" w:cs="Arial" w:eastAsia="Arial" w:hAnsi="Arial"/>
                <w:sz w:val="17"/>
                <w:szCs w:val="17"/>
                <w:color w:val="auto"/>
              </w:rPr>
              <w:t>management, cybersecurity, technology and innovation experience</w:t>
            </w:r>
          </w:p>
        </w:tc>
        <w:tc>
          <w:tcPr>
            <w:tcW w:w="0" w:type="dxa"/>
            <w:vAlign w:val="bottom"/>
          </w:tcPr>
          <w:p>
            <w:pPr>
              <w:spacing w:after="0"/>
              <w:rPr>
                <w:sz w:val="1"/>
                <w:szCs w:val="1"/>
                <w:color w:val="auto"/>
              </w:rPr>
            </w:pPr>
          </w:p>
        </w:tc>
      </w:tr>
      <w:tr>
        <w:trPr>
          <w:trHeight w:val="84"/>
        </w:trPr>
        <w:tc>
          <w:tcPr>
            <w:tcW w:w="360" w:type="dxa"/>
            <w:vAlign w:val="bottom"/>
            <w:tcBorders>
              <w:bottom w:val="single" w:sz="8" w:color="9D9D9C"/>
            </w:tcBorders>
            <w:shd w:val="clear" w:color="auto" w:fill="E5E7EF"/>
          </w:tcPr>
          <w:p>
            <w:pPr>
              <w:spacing w:after="0"/>
              <w:rPr>
                <w:sz w:val="7"/>
                <w:szCs w:val="7"/>
                <w:color w:val="auto"/>
              </w:rPr>
            </w:pPr>
          </w:p>
        </w:tc>
        <w:tc>
          <w:tcPr>
            <w:tcW w:w="2400" w:type="dxa"/>
            <w:vAlign w:val="bottom"/>
            <w:tcBorders>
              <w:bottom w:val="single" w:sz="8" w:color="9D9D9C"/>
              <w:right w:val="single" w:sz="8" w:color="808080"/>
            </w:tcBorders>
            <w:shd w:val="clear" w:color="auto" w:fill="E5E7EF"/>
          </w:tcPr>
          <w:p>
            <w:pPr>
              <w:spacing w:after="0"/>
              <w:rPr>
                <w:sz w:val="7"/>
                <w:szCs w:val="7"/>
                <w:color w:val="auto"/>
              </w:rPr>
            </w:pPr>
          </w:p>
        </w:tc>
        <w:tc>
          <w:tcPr>
            <w:tcW w:w="8100" w:type="dxa"/>
            <w:vAlign w:val="bottom"/>
            <w:tcBorders>
              <w:bottom w:val="single" w:sz="8" w:color="9D9D9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3442970</wp:posOffset>
            </wp:positionH>
            <wp:positionV relativeFrom="paragraph">
              <wp:posOffset>-7620</wp:posOffset>
            </wp:positionV>
            <wp:extent cx="8255" cy="11112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255" cy="11112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-7620</wp:posOffset>
            </wp:positionV>
            <wp:extent cx="8255" cy="11112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55" cy="111125"/>
                    </a:xfrm>
                    <a:prstGeom prst="rect">
                      <a:avLst/>
                    </a:prstGeom>
                    <a:noFill/>
                  </pic:spPr>
                </pic:pic>
              </a:graphicData>
            </a:graphic>
          </wp:anchor>
        </w:drawing>
      </w:r>
    </w:p>
    <w:p>
      <w:pPr>
        <w:spacing w:after="0" w:line="366" w:lineRule="exact"/>
        <w:rPr>
          <w:sz w:val="20"/>
          <w:szCs w:val="20"/>
          <w:color w:val="auto"/>
        </w:rPr>
      </w:pPr>
    </w:p>
    <w:p>
      <w:pPr>
        <w:ind w:left="180"/>
        <w:spacing w:after="0"/>
        <w:rPr>
          <w:sz w:val="20"/>
          <w:szCs w:val="20"/>
          <w:color w:val="auto"/>
        </w:rPr>
      </w:pPr>
      <w:r>
        <w:rPr>
          <w:rFonts w:ascii="Arial" w:cs="Arial" w:eastAsia="Arial" w:hAnsi="Arial"/>
          <w:sz w:val="20"/>
          <w:szCs w:val="20"/>
          <w:color w:val="003478"/>
        </w:rPr>
        <w:t>Onboarding and Continuing Education</w:t>
      </w:r>
    </w:p>
    <w:p>
      <w:pPr>
        <w:spacing w:after="0" w:line="130" w:lineRule="exact"/>
        <w:rPr>
          <w:sz w:val="20"/>
          <w:szCs w:val="20"/>
          <w:color w:val="auto"/>
        </w:rPr>
      </w:pPr>
    </w:p>
    <w:p>
      <w:pPr>
        <w:ind w:left="180" w:right="80"/>
        <w:spacing w:after="0" w:line="265" w:lineRule="auto"/>
        <w:rPr>
          <w:sz w:val="20"/>
          <w:szCs w:val="20"/>
          <w:color w:val="auto"/>
        </w:rPr>
      </w:pPr>
      <w:r>
        <w:rPr>
          <w:rFonts w:ascii="Arial" w:cs="Arial" w:eastAsia="Arial" w:hAnsi="Arial"/>
          <w:sz w:val="17"/>
          <w:szCs w:val="17"/>
          <w:color w:val="auto"/>
        </w:rPr>
        <w:t>New directors are provided a comprehensive orientation about the Company, including our business operations, strategy and governance. New directors have one-on-one sessions with the CEO, other directors and other members of senior management. Members of our senior management regularly review with the Board the operating plan of each of our business segments and the Company as a whole. The Board also conducts periodic site visits to our facilities as part of its regularly scheduled Board meetings and directors are encouraged to visit sites on an ad hoc basis and meet one-on-one with members of senior management and other employees. Directors are encouraged to attend outside director continuing education programs sponsored by educational and other institutions to assist them in staying abreast of developments in corporate governance and critical issues relating to the operation of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486410</wp:posOffset>
            </wp:positionV>
            <wp:extent cx="963930" cy="2216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17</w:t>
      </w:r>
    </w:p>
    <w:p>
      <w:pPr>
        <w:sectPr>
          <w:pgSz w:w="11900" w:h="16838" w:orient="portrait"/>
          <w:cols w:equalWidth="0" w:num="1">
            <w:col w:w="11020"/>
          </w:cols>
          <w:pgMar w:left="320" w:top="254" w:right="55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43"/>
          <w:szCs w:val="43"/>
          <w:color w:val="003478"/>
        </w:rPr>
        <w:t>Corporate Governance</w:t>
      </w:r>
    </w:p>
    <w:p>
      <w:pPr>
        <w:spacing w:after="0" w:line="52" w:lineRule="exact"/>
        <w:rPr>
          <w:sz w:val="20"/>
          <w:szCs w:val="20"/>
          <w:color w:val="auto"/>
        </w:rPr>
      </w:pPr>
    </w:p>
    <w:p>
      <w:pPr>
        <w:jc w:val="both"/>
        <w:ind w:right="540"/>
        <w:spacing w:after="0" w:line="252" w:lineRule="auto"/>
        <w:rPr>
          <w:sz w:val="20"/>
          <w:szCs w:val="20"/>
          <w:color w:val="auto"/>
        </w:rPr>
      </w:pPr>
      <w:r>
        <w:rPr>
          <w:rFonts w:ascii="Arial" w:cs="Arial" w:eastAsia="Arial" w:hAnsi="Arial"/>
          <w:sz w:val="17"/>
          <w:szCs w:val="17"/>
          <w:color w:val="auto"/>
        </w:rPr>
        <w:t>Good governance is integral to achieving long-term stockholder value. The Board’s primary role is to oversee management and represent the interests of stockholders. Directors attend Board and committee meetings and between meetings interact with the CEO, the independent Lead Director and other members of management and are available to provide advice and counsel to management.</w:t>
      </w:r>
    </w:p>
    <w:p>
      <w:pPr>
        <w:sectPr>
          <w:pgSz w:w="11900" w:h="16838" w:orient="portrait"/>
          <w:cols w:equalWidth="0" w:num="1">
            <w:col w:w="11220"/>
          </w:cols>
          <w:pgMar w:left="320" w:top="254" w:right="359" w:bottom="1440" w:gutter="0" w:footer="0" w:header="0"/>
        </w:sect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25"/>
          <w:szCs w:val="25"/>
          <w:color w:val="818EB4"/>
        </w:rPr>
        <w:t>Board Leadership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right="20"/>
        <w:spacing w:after="0" w:line="249" w:lineRule="auto"/>
        <w:rPr>
          <w:sz w:val="20"/>
          <w:szCs w:val="20"/>
          <w:color w:val="auto"/>
        </w:rPr>
      </w:pPr>
      <w:r>
        <w:rPr>
          <w:rFonts w:ascii="Arial" w:cs="Arial" w:eastAsia="Arial" w:hAnsi="Arial"/>
          <w:sz w:val="17"/>
          <w:szCs w:val="17"/>
          <w:color w:val="auto"/>
        </w:rPr>
        <w:t>The Board believes that the independent Board members should have the flexibility to respond to changing circumstances and choose the board leadership structure that best fits the then-current situation. As a result, the roles of the Chairman and the CEO have been split from time to time to facilitate leadership transitions, while at other times the roles have been combined. The independent directors elected Mr. Taiclet as Chairman in March 2021. Prior to that, the roles were separated while Ms. Hewson served as Executive Chairman to assist in the transition.</w:t>
      </w:r>
    </w:p>
    <w:p>
      <w:pPr>
        <w:spacing w:after="0" w:line="58" w:lineRule="exact"/>
        <w:rPr>
          <w:sz w:val="20"/>
          <w:szCs w:val="20"/>
          <w:color w:val="auto"/>
        </w:rPr>
      </w:pPr>
    </w:p>
    <w:p>
      <w:pPr>
        <w:ind w:left="20"/>
        <w:spacing w:after="0" w:line="248" w:lineRule="auto"/>
        <w:rPr>
          <w:sz w:val="20"/>
          <w:szCs w:val="20"/>
          <w:color w:val="auto"/>
        </w:rPr>
      </w:pPr>
      <w:r>
        <w:rPr>
          <w:rFonts w:ascii="Arial" w:cs="Arial" w:eastAsia="Arial" w:hAnsi="Arial"/>
          <w:sz w:val="17"/>
          <w:szCs w:val="17"/>
          <w:color w:val="auto"/>
        </w:rPr>
        <w:t>As it does annually, in January 2022, the Board of Directors reviewed the Company’s leadership structure, including benchmarking data of the leadership structure of other large companies and industry peers and stockholder proposal trends for separating the roles. At present, the Board believes that the combination of the roles, along with the robust authority given to the experienced independent Lead Director, effectively maintains independent oversight of management. The Board consists entirely of independent directors, other than Mr. Taiclet, and exercises a strong, independent oversight function through frequent executive sessions, independent Board committees and having a strong independent Lead Director with clearly delineated and comprehensive duties. The Board believes there is value in presenting a single face to our customers through the combined Chairman and CEO role and that this structure of having the Board and management operate under the unified leadership of the highly experienced Mr. Taiclet best positions the Company to successfully implement its strategy.</w:t>
      </w:r>
    </w:p>
    <w:p>
      <w:pPr>
        <w:spacing w:after="0" w:line="75" w:lineRule="exact"/>
        <w:rPr>
          <w:sz w:val="20"/>
          <w:szCs w:val="20"/>
          <w:color w:val="auto"/>
        </w:rPr>
      </w:pPr>
    </w:p>
    <w:p>
      <w:pPr>
        <w:ind w:left="20"/>
        <w:spacing w:after="0" w:line="250" w:lineRule="auto"/>
        <w:rPr>
          <w:sz w:val="20"/>
          <w:szCs w:val="20"/>
          <w:color w:val="auto"/>
        </w:rPr>
      </w:pPr>
      <w:r>
        <w:rPr>
          <w:rFonts w:ascii="Arial" w:cs="Arial" w:eastAsia="Arial" w:hAnsi="Arial"/>
          <w:sz w:val="17"/>
          <w:szCs w:val="17"/>
          <w:color w:val="auto"/>
        </w:rPr>
        <w:t>The independent directors will continue to review the leadership structure on an ongoing basis, at least annually, to provide effective risk management and to ensure that it continues to meet the needs of the Company and supports the generation of stockholder value over the long-term.</w:t>
      </w:r>
    </w:p>
    <w:p>
      <w:pPr>
        <w:spacing w:after="0" w:line="53" w:lineRule="exact"/>
        <w:rPr>
          <w:sz w:val="20"/>
          <w:szCs w:val="20"/>
          <w:color w:val="auto"/>
        </w:rPr>
      </w:pPr>
    </w:p>
    <w:p>
      <w:pPr>
        <w:ind w:left="20"/>
        <w:spacing w:after="0"/>
        <w:rPr>
          <w:sz w:val="20"/>
          <w:szCs w:val="20"/>
          <w:color w:val="auto"/>
        </w:rPr>
      </w:pPr>
      <w:r>
        <w:rPr>
          <w:rFonts w:ascii="Arial" w:cs="Arial" w:eastAsia="Arial" w:hAnsi="Arial"/>
          <w:sz w:val="25"/>
          <w:szCs w:val="25"/>
          <w:color w:val="818EB4"/>
        </w:rPr>
        <w:t>Independent Lead Director’s Role</w:t>
      </w:r>
    </w:p>
    <w:p>
      <w:pPr>
        <w:spacing w:after="0" w:line="27" w:lineRule="exact"/>
        <w:rPr>
          <w:sz w:val="20"/>
          <w:szCs w:val="20"/>
          <w:color w:val="auto"/>
        </w:rPr>
      </w:pPr>
    </w:p>
    <w:p>
      <w:pPr>
        <w:ind w:left="20" w:right="120"/>
        <w:spacing w:after="0" w:line="252" w:lineRule="auto"/>
        <w:rPr>
          <w:sz w:val="20"/>
          <w:szCs w:val="20"/>
          <w:color w:val="auto"/>
        </w:rPr>
      </w:pPr>
      <w:r>
        <w:rPr>
          <w:rFonts w:ascii="Arial" w:cs="Arial" w:eastAsia="Arial" w:hAnsi="Arial"/>
          <w:sz w:val="17"/>
          <w:szCs w:val="17"/>
          <w:color w:val="auto"/>
        </w:rPr>
        <w:t>The Board has structured the role of the independent Lead Director to further enhance the functioning of the Board and with sufficient authority to serve as a counterbalance to management, as specified in the Bylaws to include:</w:t>
      </w:r>
    </w:p>
    <w:p>
      <w:pPr>
        <w:spacing w:after="0" w:line="9" w:lineRule="exact"/>
        <w:rPr>
          <w:sz w:val="20"/>
          <w:szCs w:val="20"/>
          <w:color w:val="auto"/>
        </w:rPr>
      </w:pPr>
    </w:p>
    <w:p>
      <w:pPr>
        <w:ind w:left="260" w:right="300" w:hanging="235"/>
        <w:spacing w:after="0" w:line="216" w:lineRule="auto"/>
        <w:tabs>
          <w:tab w:leader="none" w:pos="125" w:val="left"/>
        </w:tabs>
        <w:numPr>
          <w:ilvl w:val="0"/>
          <w:numId w:val="33"/>
        </w:numPr>
        <w:rPr>
          <w:rFonts w:ascii="Arial" w:cs="Arial" w:eastAsia="Arial" w:hAnsi="Arial"/>
          <w:sz w:val="17"/>
          <w:szCs w:val="17"/>
          <w:color w:val="003478"/>
        </w:rPr>
      </w:pPr>
      <w:r>
        <w:rPr>
          <w:rFonts w:ascii="Arial" w:cs="Arial" w:eastAsia="Arial" w:hAnsi="Arial"/>
          <w:sz w:val="17"/>
          <w:szCs w:val="17"/>
          <w:b w:val="1"/>
          <w:bCs w:val="1"/>
          <w:color w:val="auto"/>
        </w:rPr>
        <w:t xml:space="preserve">Leadership of independent directors — </w:t>
      </w:r>
      <w:r>
        <w:rPr>
          <w:rFonts w:ascii="Arial" w:cs="Arial" w:eastAsia="Arial" w:hAnsi="Arial"/>
          <w:sz w:val="17"/>
          <w:szCs w:val="17"/>
          <w:color w:val="auto"/>
        </w:rPr>
        <w:t>preside as chair at Board meetings while in</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sessions of the non-management directors or executive sessions of the independent directors or if the Chairman is not present; determine the frequency and timing of executive sessions of non-management directors;</w:t>
      </w:r>
    </w:p>
    <w:p>
      <w:pPr>
        <w:spacing w:after="0" w:line="1" w:lineRule="exact"/>
        <w:rPr>
          <w:rFonts w:ascii="Arial" w:cs="Arial" w:eastAsia="Arial" w:hAnsi="Arial"/>
          <w:sz w:val="17"/>
          <w:szCs w:val="17"/>
          <w:color w:val="003478"/>
        </w:rPr>
      </w:pPr>
    </w:p>
    <w:p>
      <w:pPr>
        <w:ind w:left="260" w:right="100" w:hanging="235"/>
        <w:spacing w:after="0" w:line="207" w:lineRule="auto"/>
        <w:tabs>
          <w:tab w:leader="none" w:pos="125" w:val="left"/>
        </w:tabs>
        <w:numPr>
          <w:ilvl w:val="0"/>
          <w:numId w:val="33"/>
        </w:numPr>
        <w:rPr>
          <w:rFonts w:ascii="Arial" w:cs="Arial" w:eastAsia="Arial" w:hAnsi="Arial"/>
          <w:sz w:val="17"/>
          <w:szCs w:val="17"/>
          <w:color w:val="003478"/>
        </w:rPr>
      </w:pPr>
      <w:r>
        <w:rPr>
          <w:rFonts w:ascii="Arial" w:cs="Arial" w:eastAsia="Arial" w:hAnsi="Arial"/>
          <w:sz w:val="17"/>
          <w:szCs w:val="17"/>
          <w:b w:val="1"/>
          <w:bCs w:val="1"/>
          <w:color w:val="auto"/>
        </w:rPr>
        <w:t xml:space="preserve">Board meeting agendas and schedules — </w:t>
      </w:r>
      <w:r>
        <w:rPr>
          <w:rFonts w:ascii="Arial" w:cs="Arial" w:eastAsia="Arial" w:hAnsi="Arial"/>
          <w:sz w:val="17"/>
          <w:szCs w:val="17"/>
          <w:color w:val="auto"/>
        </w:rPr>
        <w:t>consult with the Chairman and committee</w:t>
      </w:r>
      <w:r>
        <w:rPr>
          <w:rFonts w:ascii="Arial" w:cs="Arial" w:eastAsia="Arial" w:hAnsi="Arial"/>
          <w:sz w:val="17"/>
          <w:szCs w:val="17"/>
          <w:b w:val="1"/>
          <w:bCs w:val="1"/>
          <w:color w:val="auto"/>
        </w:rPr>
        <w:t xml:space="preserve"> </w:t>
      </w:r>
      <w:r>
        <w:rPr>
          <w:rFonts w:ascii="Arial" w:cs="Arial" w:eastAsia="Arial" w:hAnsi="Arial"/>
          <w:sz w:val="17"/>
          <w:szCs w:val="17"/>
          <w:color w:val="auto"/>
        </w:rPr>
        <w:t>chairs regarding the topics for and schedules of the meetings of the Board and committees and approve the topics for and schedules of Board meetings; review and approve all Board and committee agendas (in addition to each committee chair) and provide input to management on the scope and quality of information sent to the Board;</w:t>
      </w:r>
    </w:p>
    <w:p>
      <w:pPr>
        <w:spacing w:after="0" w:line="3" w:lineRule="exact"/>
        <w:rPr>
          <w:rFonts w:ascii="Arial" w:cs="Arial" w:eastAsia="Arial" w:hAnsi="Arial"/>
          <w:sz w:val="17"/>
          <w:szCs w:val="17"/>
          <w:color w:val="003478"/>
        </w:rPr>
      </w:pPr>
    </w:p>
    <w:p>
      <w:pPr>
        <w:ind w:left="260" w:right="180" w:hanging="235"/>
        <w:spacing w:after="0" w:line="214" w:lineRule="auto"/>
        <w:tabs>
          <w:tab w:leader="none" w:pos="125" w:val="left"/>
        </w:tabs>
        <w:numPr>
          <w:ilvl w:val="0"/>
          <w:numId w:val="33"/>
        </w:numPr>
        <w:rPr>
          <w:rFonts w:ascii="Arial" w:cs="Arial" w:eastAsia="Arial" w:hAnsi="Arial"/>
          <w:sz w:val="17"/>
          <w:szCs w:val="17"/>
          <w:color w:val="003478"/>
        </w:rPr>
      </w:pPr>
      <w:r>
        <w:rPr>
          <w:rFonts w:ascii="Arial" w:cs="Arial" w:eastAsia="Arial" w:hAnsi="Arial"/>
          <w:sz w:val="17"/>
          <w:szCs w:val="17"/>
          <w:b w:val="1"/>
          <w:bCs w:val="1"/>
          <w:color w:val="auto"/>
        </w:rPr>
        <w:t xml:space="preserve">Board refreshment — </w:t>
      </w:r>
      <w:r>
        <w:rPr>
          <w:rFonts w:ascii="Arial" w:cs="Arial" w:eastAsia="Arial" w:hAnsi="Arial"/>
          <w:sz w:val="17"/>
          <w:szCs w:val="17"/>
          <w:color w:val="auto"/>
        </w:rPr>
        <w:t>assist with recruitment of director candidates and, along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Chairman, extend invitations to potential directors to join the Board;</w:t>
      </w:r>
    </w:p>
    <w:p>
      <w:pPr>
        <w:ind w:left="260" w:right="20" w:hanging="235"/>
        <w:spacing w:after="0" w:line="214" w:lineRule="auto"/>
        <w:tabs>
          <w:tab w:leader="none" w:pos="125" w:val="left"/>
        </w:tabs>
        <w:numPr>
          <w:ilvl w:val="0"/>
          <w:numId w:val="33"/>
        </w:numPr>
        <w:rPr>
          <w:rFonts w:ascii="Arial" w:cs="Arial" w:eastAsia="Arial" w:hAnsi="Arial"/>
          <w:sz w:val="17"/>
          <w:szCs w:val="17"/>
          <w:color w:val="003478"/>
        </w:rPr>
      </w:pPr>
      <w:r>
        <w:rPr>
          <w:rFonts w:ascii="Arial" w:cs="Arial" w:eastAsia="Arial" w:hAnsi="Arial"/>
          <w:sz w:val="17"/>
          <w:szCs w:val="17"/>
          <w:b w:val="1"/>
          <w:bCs w:val="1"/>
          <w:color w:val="auto"/>
        </w:rPr>
        <w:t xml:space="preserve">Board committees — </w:t>
      </w:r>
      <w:r>
        <w:rPr>
          <w:rFonts w:ascii="Arial" w:cs="Arial" w:eastAsia="Arial" w:hAnsi="Arial"/>
          <w:sz w:val="17"/>
          <w:szCs w:val="17"/>
          <w:color w:val="auto"/>
        </w:rPr>
        <w:t>act as liaison between the Board and management and among the</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and the committees of the Board; serve as an ex-officio member of each committee if not otherwise a member of the committee;</w:t>
      </w:r>
    </w:p>
    <w:p>
      <w:pPr>
        <w:spacing w:after="0" w:line="1" w:lineRule="exact"/>
        <w:rPr>
          <w:rFonts w:ascii="Arial" w:cs="Arial" w:eastAsia="Arial" w:hAnsi="Arial"/>
          <w:sz w:val="17"/>
          <w:szCs w:val="17"/>
          <w:color w:val="003478"/>
        </w:rPr>
      </w:pPr>
    </w:p>
    <w:p>
      <w:pPr>
        <w:ind w:left="260" w:right="20" w:hanging="235"/>
        <w:spacing w:after="0" w:line="222" w:lineRule="auto"/>
        <w:tabs>
          <w:tab w:leader="none" w:pos="125" w:val="left"/>
        </w:tabs>
        <w:numPr>
          <w:ilvl w:val="0"/>
          <w:numId w:val="33"/>
        </w:numPr>
        <w:rPr>
          <w:rFonts w:ascii="Arial" w:cs="Arial" w:eastAsia="Arial" w:hAnsi="Arial"/>
          <w:sz w:val="17"/>
          <w:szCs w:val="17"/>
          <w:color w:val="003478"/>
        </w:rPr>
      </w:pPr>
      <w:r>
        <w:rPr>
          <w:rFonts w:ascii="Arial" w:cs="Arial" w:eastAsia="Arial" w:hAnsi="Arial"/>
          <w:sz w:val="17"/>
          <w:szCs w:val="17"/>
          <w:b w:val="1"/>
          <w:bCs w:val="1"/>
          <w:color w:val="auto"/>
        </w:rPr>
        <w:t xml:space="preserve">Stockholder communication — </w:t>
      </w:r>
      <w:r>
        <w:rPr>
          <w:rFonts w:ascii="Arial" w:cs="Arial" w:eastAsia="Arial" w:hAnsi="Arial"/>
          <w:sz w:val="17"/>
          <w:szCs w:val="17"/>
          <w:color w:val="auto"/>
        </w:rPr>
        <w:t>serve as the point of contact for stockholders and others</w:t>
      </w:r>
      <w:r>
        <w:rPr>
          <w:rFonts w:ascii="Arial" w:cs="Arial" w:eastAsia="Arial" w:hAnsi="Arial"/>
          <w:sz w:val="17"/>
          <w:szCs w:val="17"/>
          <w:b w:val="1"/>
          <w:bCs w:val="1"/>
          <w:color w:val="auto"/>
        </w:rPr>
        <w:t xml:space="preserve"> </w:t>
      </w:r>
      <w:r>
        <w:rPr>
          <w:rFonts w:ascii="Arial" w:cs="Arial" w:eastAsia="Arial" w:hAnsi="Arial"/>
          <w:sz w:val="17"/>
          <w:szCs w:val="17"/>
          <w:color w:val="auto"/>
        </w:rPr>
        <w:t>to communicate with the Board;</w:t>
      </w:r>
    </w:p>
    <w:p>
      <w:pPr>
        <w:spacing w:after="0" w:line="1" w:lineRule="exact"/>
        <w:rPr>
          <w:rFonts w:ascii="Arial" w:cs="Arial" w:eastAsia="Arial" w:hAnsi="Arial"/>
          <w:sz w:val="17"/>
          <w:szCs w:val="17"/>
          <w:color w:val="003478"/>
        </w:rPr>
      </w:pPr>
    </w:p>
    <w:p>
      <w:pPr>
        <w:ind w:left="260" w:right="40" w:hanging="235"/>
        <w:spacing w:after="0" w:line="214" w:lineRule="auto"/>
        <w:tabs>
          <w:tab w:leader="none" w:pos="125" w:val="left"/>
        </w:tabs>
        <w:numPr>
          <w:ilvl w:val="0"/>
          <w:numId w:val="33"/>
        </w:numPr>
        <w:rPr>
          <w:rFonts w:ascii="Arial" w:cs="Arial" w:eastAsia="Arial" w:hAnsi="Arial"/>
          <w:sz w:val="17"/>
          <w:szCs w:val="17"/>
          <w:color w:val="003478"/>
        </w:rPr>
      </w:pPr>
      <w:r>
        <w:rPr>
          <w:rFonts w:ascii="Arial" w:cs="Arial" w:eastAsia="Arial" w:hAnsi="Arial"/>
          <w:sz w:val="17"/>
          <w:szCs w:val="17"/>
          <w:b w:val="1"/>
          <w:bCs w:val="1"/>
          <w:color w:val="auto"/>
        </w:rPr>
        <w:t xml:space="preserve">Board consultants — </w:t>
      </w:r>
      <w:r>
        <w:rPr>
          <w:rFonts w:ascii="Arial" w:cs="Arial" w:eastAsia="Arial" w:hAnsi="Arial"/>
          <w:sz w:val="17"/>
          <w:szCs w:val="17"/>
          <w:color w:val="auto"/>
        </w:rPr>
        <w:t>recommend to the Board and committees the retention of advisors</w:t>
      </w:r>
      <w:r>
        <w:rPr>
          <w:rFonts w:ascii="Arial" w:cs="Arial" w:eastAsia="Arial" w:hAnsi="Arial"/>
          <w:sz w:val="17"/>
          <w:szCs w:val="17"/>
          <w:b w:val="1"/>
          <w:bCs w:val="1"/>
          <w:color w:val="auto"/>
        </w:rPr>
        <w:t xml:space="preserve"> </w:t>
      </w:r>
      <w:r>
        <w:rPr>
          <w:rFonts w:ascii="Arial" w:cs="Arial" w:eastAsia="Arial" w:hAnsi="Arial"/>
          <w:sz w:val="17"/>
          <w:szCs w:val="17"/>
          <w:color w:val="auto"/>
        </w:rPr>
        <w:t>and consultants who report directly to the Board; and</w:t>
      </w:r>
    </w:p>
    <w:p>
      <w:pPr>
        <w:ind w:left="260" w:right="360" w:hanging="235"/>
        <w:spacing w:after="0" w:line="224" w:lineRule="auto"/>
        <w:tabs>
          <w:tab w:leader="none" w:pos="125" w:val="left"/>
        </w:tabs>
        <w:numPr>
          <w:ilvl w:val="0"/>
          <w:numId w:val="33"/>
        </w:numPr>
        <w:rPr>
          <w:rFonts w:ascii="Arial" w:cs="Arial" w:eastAsia="Arial" w:hAnsi="Arial"/>
          <w:sz w:val="17"/>
          <w:szCs w:val="17"/>
          <w:color w:val="003478"/>
        </w:rPr>
      </w:pPr>
      <w:r>
        <w:rPr>
          <w:rFonts w:ascii="Arial" w:cs="Arial" w:eastAsia="Arial" w:hAnsi="Arial"/>
          <w:sz w:val="17"/>
          <w:szCs w:val="17"/>
          <w:b w:val="1"/>
          <w:bCs w:val="1"/>
          <w:color w:val="auto"/>
        </w:rPr>
        <w:t xml:space="preserve">Board special meetings — </w:t>
      </w:r>
      <w:r>
        <w:rPr>
          <w:rFonts w:ascii="Arial" w:cs="Arial" w:eastAsia="Arial" w:hAnsi="Arial"/>
          <w:sz w:val="17"/>
          <w:szCs w:val="17"/>
          <w:color w:val="auto"/>
        </w:rPr>
        <w:t>call a special meeting of the Board or of the independent</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at any time, at any place and for any purpose.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003478"/>
        </w:rPr>
        <w:t>CHAIRMAN, PRESIDENT AND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wp:posOffset>
            </wp:positionH>
            <wp:positionV relativeFrom="paragraph">
              <wp:posOffset>-721360</wp:posOffset>
            </wp:positionV>
            <wp:extent cx="2508250" cy="66040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08250" cy="6604000"/>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James D. Taiclet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520"/>
        <w:spacing w:after="0" w:line="274" w:lineRule="auto"/>
        <w:rPr>
          <w:sz w:val="20"/>
          <w:szCs w:val="20"/>
          <w:color w:val="auto"/>
        </w:rPr>
      </w:pPr>
      <w:r>
        <w:rPr>
          <w:rFonts w:ascii="Arial" w:cs="Arial" w:eastAsia="Arial" w:hAnsi="Arial"/>
          <w:sz w:val="17"/>
          <w:szCs w:val="17"/>
          <w:b w:val="1"/>
          <w:bCs w:val="1"/>
          <w:color w:val="003478"/>
        </w:rPr>
        <w:t>LEAD DIRECTOR AND GOVERNANCE COMMITTEE CHAIR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Daniel F. Akerson</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Elected by independent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003478"/>
        </w:rPr>
        <w:t>OTHER COMMITTEE CHAIRS</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Thomas J. Falk (Audit)</w:t>
      </w:r>
    </w:p>
    <w:p>
      <w:pPr>
        <w:spacing w:after="0"/>
        <w:rPr>
          <w:sz w:val="20"/>
          <w:szCs w:val="20"/>
          <w:color w:val="auto"/>
        </w:rPr>
      </w:pPr>
      <w:r>
        <w:rPr>
          <w:rFonts w:ascii="Arial" w:cs="Arial" w:eastAsia="Arial" w:hAnsi="Arial"/>
          <w:sz w:val="14"/>
          <w:szCs w:val="14"/>
          <w:color w:val="auto"/>
        </w:rPr>
        <w:t>James O. Ellis, Jr. (CBS)</w:t>
      </w:r>
    </w:p>
    <w:p>
      <w:pPr>
        <w:spacing w:after="0"/>
        <w:rPr>
          <w:sz w:val="20"/>
          <w:szCs w:val="20"/>
          <w:color w:val="auto"/>
        </w:rPr>
      </w:pPr>
      <w:r>
        <w:rPr>
          <w:rFonts w:ascii="Arial" w:cs="Arial" w:eastAsia="Arial" w:hAnsi="Arial"/>
          <w:sz w:val="14"/>
          <w:szCs w:val="14"/>
          <w:color w:val="auto"/>
        </w:rPr>
        <w:t>Ilene S. Gordon (Compensation)</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All committees are independent</w:t>
      </w:r>
    </w:p>
    <w:p>
      <w:pPr>
        <w:spacing w:after="0" w:line="335" w:lineRule="exact"/>
        <w:rPr>
          <w:sz w:val="20"/>
          <w:szCs w:val="20"/>
          <w:color w:val="auto"/>
        </w:rPr>
      </w:pPr>
    </w:p>
    <w:p>
      <w:pPr>
        <w:ind w:right="840"/>
        <w:spacing w:after="0" w:line="315" w:lineRule="auto"/>
        <w:rPr>
          <w:sz w:val="20"/>
          <w:szCs w:val="20"/>
          <w:color w:val="auto"/>
        </w:rPr>
      </w:pPr>
      <w:r>
        <w:rPr>
          <w:rFonts w:ascii="Arial" w:cs="Arial" w:eastAsia="Arial" w:hAnsi="Arial"/>
          <w:sz w:val="16"/>
          <w:szCs w:val="16"/>
          <w:b w:val="1"/>
          <w:bCs w:val="1"/>
          <w:color w:val="003478"/>
        </w:rPr>
        <w:t>CONSIDERATIONS IN SELECTING CURRENT LEAD DIRECTOR</w:t>
      </w:r>
    </w:p>
    <w:p>
      <w:pPr>
        <w:spacing w:after="0" w:line="195" w:lineRule="exact"/>
        <w:rPr>
          <w:sz w:val="20"/>
          <w:szCs w:val="20"/>
          <w:color w:val="auto"/>
        </w:rPr>
      </w:pPr>
    </w:p>
    <w:p>
      <w:pPr>
        <w:ind w:right="380"/>
        <w:spacing w:after="0" w:line="217" w:lineRule="auto"/>
        <w:rPr>
          <w:sz w:val="20"/>
          <w:szCs w:val="20"/>
          <w:color w:val="auto"/>
        </w:rPr>
      </w:pPr>
      <w:r>
        <w:rPr>
          <w:rFonts w:ascii="Arial" w:cs="Arial" w:eastAsia="Arial" w:hAnsi="Arial"/>
          <w:sz w:val="17"/>
          <w:szCs w:val="17"/>
          <w:color w:val="auto"/>
        </w:rPr>
        <w:t>Mr. Akerson has served as the independent Lead Director since April 2019. The Board believes that having a strong, independent Lead Director role is important to sound corporate governance. In accordance with our Bylaws and Governance Guidelines, the independent members of the Board annually elect one of the independent directors to serve as the Lead Director by the affirmative vote of a majority of the directors who have been determined to be “independent” for purposes of the New York Stock Exchange (NYSE) listing standards.</w:t>
      </w:r>
    </w:p>
    <w:p>
      <w:pPr>
        <w:spacing w:after="0" w:line="132" w:lineRule="exact"/>
        <w:rPr>
          <w:sz w:val="20"/>
          <w:szCs w:val="20"/>
          <w:color w:val="auto"/>
        </w:rPr>
      </w:pPr>
    </w:p>
    <w:p>
      <w:pPr>
        <w:jc w:val="both"/>
        <w:ind w:right="500"/>
        <w:spacing w:after="0" w:line="226" w:lineRule="auto"/>
        <w:rPr>
          <w:sz w:val="20"/>
          <w:szCs w:val="20"/>
          <w:color w:val="auto"/>
        </w:rPr>
      </w:pPr>
      <w:r>
        <w:rPr>
          <w:rFonts w:ascii="Arial" w:cs="Arial" w:eastAsia="Arial" w:hAnsi="Arial"/>
          <w:sz w:val="17"/>
          <w:szCs w:val="17"/>
          <w:color w:val="auto"/>
        </w:rPr>
        <w:t xml:space="preserve">Stockholders and other interested parties may communicate with the Lead Director at </w:t>
      </w:r>
      <w:r>
        <w:rPr>
          <w:rFonts w:ascii="Arial" w:cs="Arial" w:eastAsia="Arial" w:hAnsi="Arial"/>
          <w:sz w:val="17"/>
          <w:szCs w:val="17"/>
          <w:i w:val="1"/>
          <w:iCs w:val="1"/>
          <w:color w:val="auto"/>
        </w:rPr>
        <w:t>Lead.Director@lmco.com</w:t>
      </w:r>
    </w:p>
    <w:p>
      <w:pPr>
        <w:spacing w:after="0" w:line="1181" w:lineRule="exact"/>
        <w:rPr>
          <w:sz w:val="20"/>
          <w:szCs w:val="20"/>
          <w:color w:val="auto"/>
        </w:rPr>
      </w:pPr>
    </w:p>
    <w:p>
      <w:pPr>
        <w:sectPr>
          <w:pgSz w:w="11900" w:h="16838" w:orient="portrait"/>
          <w:cols w:equalWidth="0" w:num="2">
            <w:col w:w="6920" w:space="700"/>
            <w:col w:w="3600"/>
          </w:cols>
          <w:pgMar w:left="320" w:top="25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18</w:t>
      </w:r>
    </w:p>
    <w:p>
      <w:pPr>
        <w:sectPr>
          <w:pgSz w:w="11900" w:h="16838" w:orient="portrait"/>
          <w:cols w:equalWidth="0" w:num="1">
            <w:col w:w="11220"/>
          </w:cols>
          <w:pgMar w:left="320" w:top="254" w:right="359" w:bottom="1440" w:gutter="0" w:footer="0" w:header="0"/>
          <w:type w:val="continuous"/>
        </w:sectPr>
      </w:pPr>
    </w:p>
    <w:bookmarkStart w:id="24" w:name="page25"/>
    <w:bookmarkEnd w:id="24"/>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9"/>
          <w:szCs w:val="29"/>
          <w:color w:val="003478"/>
        </w:rPr>
        <w:t>Executive Sessions</w:t>
      </w:r>
    </w:p>
    <w:p>
      <w:pPr>
        <w:spacing w:after="0" w:line="121"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Generally, each meeting agenda of the Board and each committee includes an executive session of the non-management directors, who are all independent. The Governance Guidelines require that at least three Board meetings per year will include an executive session of the non-management directors. In each case, these sessions include a discussion of the performance of the CEO. The independent Lead Director presides during the executive sessions of the Board, and will report the results to the Chairman and CEO on all relevant matters, or invite the Chairman and CEO to join the executive session for further discussion, as appropriate. The respective chairman of each committee presides during the committee executive sessions.</w:t>
      </w:r>
    </w:p>
    <w:p>
      <w:pPr>
        <w:spacing w:after="0" w:line="86" w:lineRule="exact"/>
        <w:rPr>
          <w:sz w:val="20"/>
          <w:szCs w:val="20"/>
          <w:color w:val="auto"/>
        </w:rPr>
      </w:pPr>
    </w:p>
    <w:p>
      <w:pPr>
        <w:spacing w:after="0"/>
        <w:rPr>
          <w:sz w:val="20"/>
          <w:szCs w:val="20"/>
          <w:color w:val="auto"/>
        </w:rPr>
      </w:pPr>
      <w:r>
        <w:rPr>
          <w:rFonts w:ascii="Arial" w:cs="Arial" w:eastAsia="Arial" w:hAnsi="Arial"/>
          <w:sz w:val="29"/>
          <w:szCs w:val="29"/>
          <w:color w:val="003478"/>
        </w:rPr>
        <w:t>Committees of the Board of Directors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The Board has four standing committees: Audit, Classified Business and Security (CBS Committee), Management Development and Compensation (Compensation Committee) and Nominating and Corporate Governance (Governance Committee). Charters for each committee are available on the Company’s website at </w:t>
      </w:r>
      <w:r>
        <w:rPr>
          <w:rFonts w:ascii="Arial" w:cs="Arial" w:eastAsia="Arial" w:hAnsi="Arial"/>
          <w:sz w:val="17"/>
          <w:szCs w:val="17"/>
          <w:i w:val="1"/>
          <w:iCs w:val="1"/>
          <w:color w:val="auto"/>
        </w:rPr>
        <w:t>www.lockheedmartin.com/corporate-governance</w:t>
      </w:r>
      <w:r>
        <w:rPr>
          <w:rFonts w:ascii="Arial" w:cs="Arial" w:eastAsia="Arial" w:hAnsi="Arial"/>
          <w:sz w:val="17"/>
          <w:szCs w:val="17"/>
          <w:color w:val="auto"/>
        </w:rPr>
        <w:t>. In addition to these committees, the Board may establish other standing or special committees as may be necessary to carry out its responsibilities.</w:t>
      </w:r>
    </w:p>
    <w:p>
      <w:pPr>
        <w:sectPr>
          <w:pgSz w:w="11900" w:h="16838" w:orient="portrait"/>
          <w:cols w:equalWidth="0" w:num="1">
            <w:col w:w="11160"/>
          </w:cols>
          <w:pgMar w:left="320" w:top="254" w:right="419" w:bottom="1440" w:gutter="0" w:footer="0" w:header="0"/>
        </w:sectPr>
      </w:pP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18EB4"/>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157480</wp:posOffset>
            </wp:positionV>
            <wp:extent cx="2175510" cy="38995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175510" cy="3899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Thomas J. Falk, Chair</w:t>
      </w:r>
    </w:p>
    <w:p>
      <w:pPr>
        <w:spacing w:after="0" w:line="81"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David B. Burritt</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James O. Ellis, Jr.</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Ilene S. Gordon</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Debra L. Reed-Klages</w:t>
      </w:r>
    </w:p>
    <w:p>
      <w:pPr>
        <w:ind w:left="160"/>
        <w:spacing w:after="0"/>
        <w:rPr>
          <w:sz w:val="20"/>
          <w:szCs w:val="20"/>
          <w:color w:val="auto"/>
        </w:rPr>
      </w:pPr>
      <w:r>
        <w:rPr>
          <w:rFonts w:ascii="Arial" w:cs="Arial" w:eastAsia="Arial" w:hAnsi="Arial"/>
          <w:sz w:val="14"/>
          <w:szCs w:val="14"/>
          <w:color w:val="003478"/>
        </w:rPr>
        <w:t xml:space="preserve">Patricia E. Yarrington </w:t>
      </w:r>
      <w:r>
        <w:rPr>
          <w:rFonts w:ascii="Arial" w:cs="Arial" w:eastAsia="Arial" w:hAnsi="Arial"/>
          <w:sz w:val="22"/>
          <w:szCs w:val="22"/>
          <w:color w:val="003478"/>
          <w:vertAlign w:val="superscript"/>
        </w:rPr>
        <w:t>1</w:t>
      </w:r>
    </w:p>
    <w:p>
      <w:pPr>
        <w:spacing w:after="0" w:line="110" w:lineRule="exact"/>
        <w:rPr>
          <w:sz w:val="20"/>
          <w:szCs w:val="20"/>
          <w:color w:val="auto"/>
        </w:rPr>
      </w:pPr>
    </w:p>
    <w:p>
      <w:pPr>
        <w:ind w:left="160"/>
        <w:spacing w:after="0" w:line="264" w:lineRule="auto"/>
        <w:rPr>
          <w:sz w:val="20"/>
          <w:szCs w:val="20"/>
          <w:color w:val="auto"/>
        </w:rPr>
      </w:pPr>
      <w:r>
        <w:rPr>
          <w:rFonts w:ascii="Arial" w:cs="Arial" w:eastAsia="Arial" w:hAnsi="Arial"/>
          <w:sz w:val="17"/>
          <w:szCs w:val="17"/>
          <w:color w:val="002E6D"/>
          <w:shd w:val="clear" w:color="auto" w:fill="E5E7EF"/>
        </w:rPr>
        <w:t>All Audit Committee members are independent within the meaning of the NYSE listing standards, applicable SEC regulations and our Governance Guidelines. Each has accounting and related financial management expertise sufficient to be considered financially literate within the meaning of the NYSE listing standards. The Board has determined that all Committee members except Mr. Ellis meet the SEC’s criteria as audit committee financial experts.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600710</wp:posOffset>
            </wp:positionV>
            <wp:extent cx="2175510" cy="1708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175510" cy="1708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tabs>
          <w:tab w:leader="none" w:pos="5480" w:val="left"/>
        </w:tabs>
        <w:rPr>
          <w:sz w:val="20"/>
          <w:szCs w:val="20"/>
          <w:color w:val="auto"/>
        </w:rPr>
      </w:pPr>
      <w:r>
        <w:rPr>
          <w:rFonts w:ascii="Arial" w:cs="Arial" w:eastAsia="Arial" w:hAnsi="Arial"/>
          <w:sz w:val="20"/>
          <w:szCs w:val="20"/>
          <w:color w:val="003478"/>
        </w:rPr>
        <w:t>2021 Focus Areas</w:t>
      </w:r>
      <w:r>
        <w:rPr>
          <w:sz w:val="20"/>
          <w:szCs w:val="20"/>
          <w:color w:val="auto"/>
        </w:rPr>
        <w:tab/>
      </w:r>
      <w:r>
        <w:rPr>
          <w:rFonts w:ascii="Arial" w:cs="Arial" w:eastAsia="Arial" w:hAnsi="Arial"/>
          <w:sz w:val="19"/>
          <w:szCs w:val="19"/>
          <w:color w:val="003478"/>
        </w:rPr>
        <w:t>Meetings in 2021: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-2319020</wp:posOffset>
            </wp:positionH>
            <wp:positionV relativeFrom="paragraph">
              <wp:posOffset>-262255</wp:posOffset>
            </wp:positionV>
            <wp:extent cx="7132955" cy="679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955" cy="679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18415</wp:posOffset>
            </wp:positionV>
            <wp:extent cx="48209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pacing w:after="0" w:line="164" w:lineRule="exact"/>
        <w:rPr>
          <w:sz w:val="20"/>
          <w:szCs w:val="20"/>
          <w:color w:val="auto"/>
        </w:rPr>
      </w:pPr>
    </w:p>
    <w:p>
      <w:pPr>
        <w:ind w:left="220" w:hanging="133"/>
        <w:spacing w:after="0"/>
        <w:tabs>
          <w:tab w:leader="none" w:pos="220" w:val="left"/>
        </w:tabs>
        <w:numPr>
          <w:ilvl w:val="0"/>
          <w:numId w:val="34"/>
        </w:numPr>
        <w:rPr>
          <w:rFonts w:ascii="Arial" w:cs="Arial" w:eastAsia="Arial" w:hAnsi="Arial"/>
          <w:sz w:val="17"/>
          <w:szCs w:val="17"/>
          <w:color w:val="002E6D"/>
        </w:rPr>
      </w:pPr>
      <w:r>
        <w:rPr>
          <w:rFonts w:ascii="Arial" w:cs="Arial" w:eastAsia="Arial" w:hAnsi="Arial"/>
          <w:sz w:val="17"/>
          <w:szCs w:val="17"/>
          <w:color w:val="auto"/>
        </w:rPr>
        <w:t>Oversight of Capital Allocation and Dividend Policy</w:t>
      </w:r>
    </w:p>
    <w:p>
      <w:pPr>
        <w:spacing w:after="0" w:line="127" w:lineRule="exact"/>
        <w:rPr>
          <w:rFonts w:ascii="Arial" w:cs="Arial" w:eastAsia="Arial" w:hAnsi="Arial"/>
          <w:sz w:val="17"/>
          <w:szCs w:val="17"/>
          <w:color w:val="002E6D"/>
        </w:rPr>
      </w:pPr>
    </w:p>
    <w:p>
      <w:pPr>
        <w:ind w:left="220" w:hanging="133"/>
        <w:spacing w:after="0"/>
        <w:tabs>
          <w:tab w:leader="none" w:pos="220" w:val="left"/>
        </w:tabs>
        <w:numPr>
          <w:ilvl w:val="0"/>
          <w:numId w:val="34"/>
        </w:numPr>
        <w:rPr>
          <w:rFonts w:ascii="Arial" w:cs="Arial" w:eastAsia="Arial" w:hAnsi="Arial"/>
          <w:sz w:val="17"/>
          <w:szCs w:val="17"/>
          <w:color w:val="002E6D"/>
        </w:rPr>
      </w:pPr>
      <w:r>
        <w:rPr>
          <w:rFonts w:ascii="Arial" w:cs="Arial" w:eastAsia="Arial" w:hAnsi="Arial"/>
          <w:sz w:val="17"/>
          <w:szCs w:val="17"/>
          <w:color w:val="auto"/>
        </w:rPr>
        <w:t>Enterprise Risk Management and 2021 Audit Plan</w:t>
      </w:r>
    </w:p>
    <w:p>
      <w:pPr>
        <w:spacing w:after="0" w:line="127" w:lineRule="exact"/>
        <w:rPr>
          <w:rFonts w:ascii="Arial" w:cs="Arial" w:eastAsia="Arial" w:hAnsi="Arial"/>
          <w:sz w:val="17"/>
          <w:szCs w:val="17"/>
          <w:color w:val="002E6D"/>
        </w:rPr>
      </w:pPr>
    </w:p>
    <w:p>
      <w:pPr>
        <w:ind w:left="240" w:right="400" w:hanging="153"/>
        <w:spacing w:after="0" w:line="274" w:lineRule="auto"/>
        <w:tabs>
          <w:tab w:leader="none" w:pos="205" w:val="left"/>
        </w:tabs>
        <w:numPr>
          <w:ilvl w:val="0"/>
          <w:numId w:val="34"/>
        </w:numPr>
        <w:rPr>
          <w:rFonts w:ascii="Arial" w:cs="Arial" w:eastAsia="Arial" w:hAnsi="Arial"/>
          <w:sz w:val="17"/>
          <w:szCs w:val="17"/>
          <w:color w:val="003478"/>
        </w:rPr>
      </w:pPr>
      <w:r>
        <w:rPr>
          <w:rFonts w:ascii="Arial" w:cs="Arial" w:eastAsia="Arial" w:hAnsi="Arial"/>
          <w:sz w:val="17"/>
          <w:szCs w:val="17"/>
          <w:color w:val="auto"/>
        </w:rPr>
        <w:t>Critical Audit Matters Related to Revenue Recognition and Pension Estimates; Pension De-Risking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70485</wp:posOffset>
            </wp:positionV>
            <wp:extent cx="48209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color w:val="003478"/>
        </w:rPr>
        <w:t>Roles and Responsibilities of the Committee</w:t>
      </w:r>
    </w:p>
    <w:p>
      <w:pPr>
        <w:spacing w:after="0" w:line="130"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The Audit Committee assists the Board in fulfilling its oversight responsibilities relating to the financial condition of the Company, the integrity of the financial statements and compliance with legal and regulatory requirements. The Audit Committee has oversight of the Company’s internal audit plan and reviews risks and opportunities to management's long-term strategy as identified by the Company's enterprise risk management processes. It is directly responsible for the appointment, compensation, retention, oversight and termination of the Company's independent auditors, Ernst &amp; Young LLP (Ernst &amp; Young). The Audit Committee also reviews the allocation of resources, the Company’s financial condition and capital structure and policies regarding derivatives. The Audit Committee meets privately with management, internal audit, and Ernst &amp; Young. The functions of the Audit Committee are further described in the “Audit Committee Report” on page 35.</w:t>
      </w:r>
    </w:p>
    <w:p>
      <w:pPr>
        <w:spacing w:after="0" w:line="818" w:lineRule="exact"/>
        <w:rPr>
          <w:sz w:val="20"/>
          <w:szCs w:val="20"/>
          <w:color w:val="auto"/>
        </w:rPr>
      </w:pPr>
    </w:p>
    <w:p>
      <w:pPr>
        <w:sectPr>
          <w:pgSz w:w="11900" w:h="16838" w:orient="portrait"/>
          <w:cols w:equalWidth="0" w:num="2">
            <w:col w:w="3320" w:space="340"/>
            <w:col w:w="7500"/>
          </w:cols>
          <w:pgMar w:left="320" w:top="254"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40" w:hanging="100"/>
        <w:spacing w:after="0"/>
        <w:tabs>
          <w:tab w:leader="none" w:pos="340" w:val="left"/>
        </w:tabs>
        <w:numPr>
          <w:ilvl w:val="0"/>
          <w:numId w:val="35"/>
        </w:numPr>
        <w:rPr>
          <w:rFonts w:ascii="Arial" w:cs="Arial" w:eastAsia="Arial" w:hAnsi="Arial"/>
          <w:sz w:val="21"/>
          <w:szCs w:val="21"/>
          <w:color w:val="003478"/>
          <w:vertAlign w:val="superscript"/>
        </w:rPr>
      </w:pPr>
      <w:r>
        <w:rPr>
          <w:rFonts w:ascii="Arial" w:cs="Arial" w:eastAsia="Arial" w:hAnsi="Arial"/>
          <w:sz w:val="16"/>
          <w:szCs w:val="16"/>
          <w:color w:val="003478"/>
        </w:rPr>
        <w:t>Ms. Yarrington joined in June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71329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292735</wp:posOffset>
            </wp:positionV>
            <wp:extent cx="963930" cy="2216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19</w:t>
      </w:r>
    </w:p>
    <w:p>
      <w:pPr>
        <w:sectPr>
          <w:pgSz w:w="11900" w:h="16838" w:orient="portrait"/>
          <w:cols w:equalWidth="0" w:num="1">
            <w:col w:w="11160"/>
          </w:cols>
          <w:pgMar w:left="320" w:top="254" w:right="419" w:bottom="1440" w:gutter="0" w:footer="0" w:header="0"/>
          <w:type w:val="continuous"/>
        </w:sectPr>
      </w:pPr>
    </w:p>
    <w:bookmarkStart w:id="25" w:name="page26"/>
    <w:bookmarkEnd w:id="25"/>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5"/>
          <w:szCs w:val="25"/>
          <w:color w:val="818EB4"/>
        </w:rPr>
        <w:t>Classified Business and Security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97790</wp:posOffset>
            </wp:positionV>
            <wp:extent cx="7132955" cy="290068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955" cy="2900680"/>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James O. Ellis, Jr., Chair</w:t>
      </w:r>
    </w:p>
    <w:p>
      <w:pPr>
        <w:spacing w:after="0" w:line="81"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Bruce A. Carlson</w:t>
      </w:r>
    </w:p>
    <w:p>
      <w:pPr>
        <w:ind w:left="160"/>
        <w:spacing w:after="0" w:line="229" w:lineRule="auto"/>
        <w:rPr>
          <w:sz w:val="20"/>
          <w:szCs w:val="20"/>
          <w:color w:val="auto"/>
        </w:rPr>
      </w:pPr>
      <w:r>
        <w:rPr>
          <w:rFonts w:ascii="Arial" w:cs="Arial" w:eastAsia="Arial" w:hAnsi="Arial"/>
          <w:sz w:val="14"/>
          <w:szCs w:val="14"/>
          <w:color w:val="003478"/>
        </w:rPr>
        <w:t xml:space="preserve">John M. Donovan </w:t>
      </w:r>
      <w:r>
        <w:rPr>
          <w:rFonts w:ascii="Arial" w:cs="Arial" w:eastAsia="Arial" w:hAnsi="Arial"/>
          <w:sz w:val="22"/>
          <w:szCs w:val="22"/>
          <w:color w:val="003478"/>
          <w:vertAlign w:val="superscript"/>
        </w:rPr>
        <w:t>1</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Joseph F. Dunford, Jr.</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Jeh C. Johnson</w:t>
      </w:r>
    </w:p>
    <w:p>
      <w:pPr>
        <w:spacing w:after="0" w:line="164"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002E6D"/>
        </w:rPr>
        <w:t>All members of the CBS Committee are independent within the meaning of the NYSE listing standards and our Governance Guidelines and hold high-level security clearances.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tabs>
          <w:tab w:leader="none" w:pos="5480" w:val="left"/>
        </w:tabs>
        <w:rPr>
          <w:sz w:val="20"/>
          <w:szCs w:val="20"/>
          <w:color w:val="auto"/>
        </w:rPr>
      </w:pPr>
      <w:r>
        <w:rPr>
          <w:rFonts w:ascii="Arial" w:cs="Arial" w:eastAsia="Arial" w:hAnsi="Arial"/>
          <w:sz w:val="20"/>
          <w:szCs w:val="20"/>
          <w:color w:val="003478"/>
        </w:rPr>
        <w:t>2021 Focus Areas</w:t>
      </w:r>
      <w:r>
        <w:rPr>
          <w:sz w:val="20"/>
          <w:szCs w:val="20"/>
          <w:color w:val="auto"/>
        </w:rPr>
        <w:tab/>
      </w:r>
      <w:r>
        <w:rPr>
          <w:rFonts w:ascii="Arial" w:cs="Arial" w:eastAsia="Arial" w:hAnsi="Arial"/>
          <w:sz w:val="19"/>
          <w:szCs w:val="19"/>
          <w:color w:val="003478"/>
        </w:rPr>
        <w:t>Meetings in 2021: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18415</wp:posOffset>
            </wp:positionV>
            <wp:extent cx="48209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pacing w:after="0" w:line="231" w:lineRule="exact"/>
        <w:rPr>
          <w:sz w:val="20"/>
          <w:szCs w:val="20"/>
          <w:color w:val="auto"/>
        </w:rPr>
      </w:pPr>
    </w:p>
    <w:p>
      <w:pPr>
        <w:ind w:left="220" w:hanging="133"/>
        <w:spacing w:after="0"/>
        <w:tabs>
          <w:tab w:leader="none" w:pos="220" w:val="left"/>
        </w:tabs>
        <w:numPr>
          <w:ilvl w:val="0"/>
          <w:numId w:val="36"/>
        </w:numPr>
        <w:rPr>
          <w:rFonts w:ascii="Arial" w:cs="Arial" w:eastAsia="Arial" w:hAnsi="Arial"/>
          <w:sz w:val="17"/>
          <w:szCs w:val="17"/>
          <w:color w:val="002E6D"/>
        </w:rPr>
      </w:pPr>
      <w:r>
        <w:rPr>
          <w:rFonts w:ascii="Arial" w:cs="Arial" w:eastAsia="Arial" w:hAnsi="Arial"/>
          <w:sz w:val="17"/>
          <w:szCs w:val="17"/>
          <w:color w:val="auto"/>
        </w:rPr>
        <w:t>Classified Program Risk Oversight and Alignment with Company’s Strategy</w:t>
      </w:r>
    </w:p>
    <w:p>
      <w:pPr>
        <w:spacing w:after="0" w:line="127" w:lineRule="exact"/>
        <w:rPr>
          <w:rFonts w:ascii="Arial" w:cs="Arial" w:eastAsia="Arial" w:hAnsi="Arial"/>
          <w:sz w:val="17"/>
          <w:szCs w:val="17"/>
          <w:color w:val="002E6D"/>
        </w:rPr>
      </w:pPr>
    </w:p>
    <w:p>
      <w:pPr>
        <w:ind w:left="220" w:hanging="133"/>
        <w:spacing w:after="0"/>
        <w:tabs>
          <w:tab w:leader="none" w:pos="220" w:val="left"/>
        </w:tabs>
        <w:numPr>
          <w:ilvl w:val="0"/>
          <w:numId w:val="36"/>
        </w:numPr>
        <w:rPr>
          <w:rFonts w:ascii="Arial" w:cs="Arial" w:eastAsia="Arial" w:hAnsi="Arial"/>
          <w:sz w:val="17"/>
          <w:szCs w:val="17"/>
          <w:color w:val="002E6D"/>
        </w:rPr>
      </w:pPr>
      <w:r>
        <w:rPr>
          <w:rFonts w:ascii="Arial" w:cs="Arial" w:eastAsia="Arial" w:hAnsi="Arial"/>
          <w:sz w:val="17"/>
          <w:szCs w:val="17"/>
          <w:color w:val="auto"/>
        </w:rPr>
        <w:t>Support to Supply Chain Risk Management</w:t>
      </w:r>
    </w:p>
    <w:p>
      <w:pPr>
        <w:spacing w:after="0" w:line="127" w:lineRule="exact"/>
        <w:rPr>
          <w:rFonts w:ascii="Arial" w:cs="Arial" w:eastAsia="Arial" w:hAnsi="Arial"/>
          <w:sz w:val="17"/>
          <w:szCs w:val="17"/>
          <w:color w:val="002E6D"/>
        </w:rPr>
      </w:pPr>
    </w:p>
    <w:p>
      <w:pPr>
        <w:ind w:left="220" w:hanging="133"/>
        <w:spacing w:after="0"/>
        <w:tabs>
          <w:tab w:leader="none" w:pos="220" w:val="left"/>
        </w:tabs>
        <w:numPr>
          <w:ilvl w:val="0"/>
          <w:numId w:val="36"/>
        </w:numPr>
        <w:rPr>
          <w:rFonts w:ascii="Arial" w:cs="Arial" w:eastAsia="Arial" w:hAnsi="Arial"/>
          <w:sz w:val="17"/>
          <w:szCs w:val="17"/>
          <w:color w:val="002E6D"/>
        </w:rPr>
      </w:pPr>
      <w:r>
        <w:rPr>
          <w:rFonts w:ascii="Arial" w:cs="Arial" w:eastAsia="Arial" w:hAnsi="Arial"/>
          <w:sz w:val="17"/>
          <w:szCs w:val="17"/>
          <w:color w:val="auto"/>
        </w:rPr>
        <w:t>Security of Personnel, Facilities and Data (including classified cybersecurity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67310</wp:posOffset>
            </wp:positionV>
            <wp:extent cx="48209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003478"/>
        </w:rPr>
        <w:t>Roles and Responsibilities of the Committee</w:t>
      </w:r>
    </w:p>
    <w:p>
      <w:pPr>
        <w:spacing w:after="0" w:line="117"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The CBS Committee assists the Board in fulfilling its oversight responsibilities relating to the Company’s classified business activities and the security of personnel, facilities and data (including classified cybersecurity matters). The CBS Committee consists of directors who possess the appropriate security clearance credentials, at least one of whom must be a member of the Audit Committee, none of whom are officers or employees of the Company and all of whom are free from any relationship that, in the opinion of the Board, would interfere with the exercise of independent judgment as a member of the CBS Committee.</w:t>
      </w:r>
    </w:p>
    <w:p>
      <w:pPr>
        <w:spacing w:after="0" w:line="240" w:lineRule="exact"/>
        <w:rPr>
          <w:sz w:val="20"/>
          <w:szCs w:val="20"/>
          <w:color w:val="auto"/>
        </w:rPr>
      </w:pPr>
    </w:p>
    <w:p>
      <w:pPr>
        <w:sectPr>
          <w:pgSz w:w="11900" w:h="16838" w:orient="portrait"/>
          <w:cols w:equalWidth="0" w:num="2">
            <w:col w:w="3420" w:space="240"/>
            <w:col w:w="7580"/>
          </w:cols>
          <w:pgMar w:left="320" w:top="254" w:right="339" w:bottom="1440" w:gutter="0" w:footer="0" w:header="0"/>
          <w:type w:val="continuous"/>
        </w:sectPr>
      </w:pPr>
    </w:p>
    <w:p>
      <w:pPr>
        <w:ind w:left="340" w:hanging="100"/>
        <w:spacing w:after="0"/>
        <w:tabs>
          <w:tab w:leader="none" w:pos="340" w:val="left"/>
        </w:tabs>
        <w:numPr>
          <w:ilvl w:val="0"/>
          <w:numId w:val="37"/>
        </w:numPr>
        <w:rPr>
          <w:rFonts w:ascii="Arial" w:cs="Arial" w:eastAsia="Arial" w:hAnsi="Arial"/>
          <w:sz w:val="22"/>
          <w:szCs w:val="22"/>
          <w:color w:val="002E6D"/>
          <w:vertAlign w:val="superscript"/>
        </w:rPr>
      </w:pPr>
      <w:r>
        <w:rPr>
          <w:rFonts w:ascii="Arial" w:cs="Arial" w:eastAsia="Arial" w:hAnsi="Arial"/>
          <w:sz w:val="17"/>
          <w:szCs w:val="17"/>
          <w:color w:val="002E6D"/>
        </w:rPr>
        <w:t>Mr. Donovan joined in October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292735</wp:posOffset>
            </wp:positionV>
            <wp:extent cx="71329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5"/>
          <w:szCs w:val="25"/>
          <w:color w:val="818EB4"/>
        </w:rPr>
        <w:t>Management Development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89535</wp:posOffset>
            </wp:positionV>
            <wp:extent cx="7132955" cy="32937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955" cy="32937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Ilene S. Gordon, Chair</w:t>
      </w:r>
    </w:p>
    <w:p>
      <w:pPr>
        <w:spacing w:after="0" w:line="81"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Thomas J. Falk</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Vicki A. Hollub</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Debra L. Reed-Klages</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 xml:space="preserve">Patricia E. Yarrington </w:t>
      </w:r>
      <w:r>
        <w:rPr>
          <w:rFonts w:ascii="Arial" w:cs="Arial" w:eastAsia="Arial" w:hAnsi="Arial"/>
          <w:sz w:val="22"/>
          <w:szCs w:val="22"/>
          <w:color w:val="003478"/>
          <w:vertAlign w:val="superscript"/>
        </w:rPr>
        <w:t>1</w:t>
      </w:r>
    </w:p>
    <w:p>
      <w:pPr>
        <w:spacing w:after="0" w:line="123"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002E6D"/>
        </w:rPr>
        <w:t>All members of the Compensation Committee are independent within the meaning of the NYSE listing standards, applicable SEC regulations and our Governance Guidelines.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hanging="100"/>
        <w:spacing w:after="0"/>
        <w:tabs>
          <w:tab w:leader="none" w:pos="340" w:val="left"/>
        </w:tabs>
        <w:numPr>
          <w:ilvl w:val="0"/>
          <w:numId w:val="38"/>
        </w:numPr>
        <w:rPr>
          <w:rFonts w:ascii="Arial" w:cs="Arial" w:eastAsia="Arial" w:hAnsi="Arial"/>
          <w:sz w:val="22"/>
          <w:szCs w:val="22"/>
          <w:color w:val="002E6D"/>
          <w:vertAlign w:val="superscript"/>
        </w:rPr>
      </w:pPr>
      <w:r>
        <w:rPr>
          <w:rFonts w:ascii="Arial" w:cs="Arial" w:eastAsia="Arial" w:hAnsi="Arial"/>
          <w:sz w:val="17"/>
          <w:szCs w:val="17"/>
          <w:color w:val="002E6D"/>
        </w:rPr>
        <w:t>Ms. Yarrington joined in June 2021.</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tabs>
          <w:tab w:leader="none" w:pos="5480" w:val="left"/>
        </w:tabs>
        <w:rPr>
          <w:sz w:val="20"/>
          <w:szCs w:val="20"/>
          <w:color w:val="auto"/>
        </w:rPr>
      </w:pPr>
      <w:r>
        <w:rPr>
          <w:rFonts w:ascii="Arial" w:cs="Arial" w:eastAsia="Arial" w:hAnsi="Arial"/>
          <w:sz w:val="20"/>
          <w:szCs w:val="20"/>
          <w:color w:val="003478"/>
        </w:rPr>
        <w:t>2021 Focus Areas</w:t>
      </w:r>
      <w:r>
        <w:rPr>
          <w:sz w:val="20"/>
          <w:szCs w:val="20"/>
          <w:color w:val="auto"/>
        </w:rPr>
        <w:tab/>
      </w:r>
      <w:r>
        <w:rPr>
          <w:rFonts w:ascii="Arial" w:cs="Arial" w:eastAsia="Arial" w:hAnsi="Arial"/>
          <w:sz w:val="19"/>
          <w:szCs w:val="19"/>
          <w:color w:val="003478"/>
        </w:rPr>
        <w:t>Meetings in 2021: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18415</wp:posOffset>
            </wp:positionV>
            <wp:extent cx="48209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pacing w:after="0" w:line="164" w:lineRule="exact"/>
        <w:rPr>
          <w:sz w:val="20"/>
          <w:szCs w:val="20"/>
          <w:color w:val="auto"/>
        </w:rPr>
      </w:pPr>
    </w:p>
    <w:p>
      <w:pPr>
        <w:ind w:left="220" w:hanging="133"/>
        <w:spacing w:after="0"/>
        <w:tabs>
          <w:tab w:leader="none" w:pos="220" w:val="left"/>
        </w:tabs>
        <w:numPr>
          <w:ilvl w:val="0"/>
          <w:numId w:val="39"/>
        </w:numPr>
        <w:rPr>
          <w:rFonts w:ascii="Arial" w:cs="Arial" w:eastAsia="Arial" w:hAnsi="Arial"/>
          <w:sz w:val="17"/>
          <w:szCs w:val="17"/>
          <w:color w:val="002E6D"/>
        </w:rPr>
      </w:pPr>
      <w:r>
        <w:rPr>
          <w:rFonts w:ascii="Arial" w:cs="Arial" w:eastAsia="Arial" w:hAnsi="Arial"/>
          <w:sz w:val="17"/>
          <w:szCs w:val="17"/>
          <w:color w:val="auto"/>
        </w:rPr>
        <w:t>Chairman Transition and Other Leadership Changes</w:t>
      </w:r>
    </w:p>
    <w:p>
      <w:pPr>
        <w:spacing w:after="0" w:line="127" w:lineRule="exact"/>
        <w:rPr>
          <w:rFonts w:ascii="Arial" w:cs="Arial" w:eastAsia="Arial" w:hAnsi="Arial"/>
          <w:sz w:val="17"/>
          <w:szCs w:val="17"/>
          <w:color w:val="002E6D"/>
        </w:rPr>
      </w:pPr>
    </w:p>
    <w:p>
      <w:pPr>
        <w:ind w:left="220" w:hanging="133"/>
        <w:spacing w:after="0"/>
        <w:tabs>
          <w:tab w:leader="none" w:pos="220" w:val="left"/>
        </w:tabs>
        <w:numPr>
          <w:ilvl w:val="0"/>
          <w:numId w:val="39"/>
        </w:numPr>
        <w:rPr>
          <w:rFonts w:ascii="Arial" w:cs="Arial" w:eastAsia="Arial" w:hAnsi="Arial"/>
          <w:sz w:val="17"/>
          <w:szCs w:val="17"/>
          <w:color w:val="002E6D"/>
        </w:rPr>
      </w:pPr>
      <w:r>
        <w:rPr>
          <w:rFonts w:ascii="Arial" w:cs="Arial" w:eastAsia="Arial" w:hAnsi="Arial"/>
          <w:sz w:val="17"/>
          <w:szCs w:val="17"/>
          <w:color w:val="auto"/>
        </w:rPr>
        <w:t>Talent Management and Succession Planning</w:t>
      </w:r>
    </w:p>
    <w:p>
      <w:pPr>
        <w:spacing w:after="0" w:line="127" w:lineRule="exact"/>
        <w:rPr>
          <w:rFonts w:ascii="Arial" w:cs="Arial" w:eastAsia="Arial" w:hAnsi="Arial"/>
          <w:sz w:val="17"/>
          <w:szCs w:val="17"/>
          <w:color w:val="002E6D"/>
        </w:rPr>
      </w:pPr>
    </w:p>
    <w:p>
      <w:pPr>
        <w:ind w:left="220" w:hanging="133"/>
        <w:spacing w:after="0"/>
        <w:tabs>
          <w:tab w:leader="none" w:pos="220" w:val="left"/>
        </w:tabs>
        <w:numPr>
          <w:ilvl w:val="0"/>
          <w:numId w:val="39"/>
        </w:numPr>
        <w:rPr>
          <w:rFonts w:ascii="Arial" w:cs="Arial" w:eastAsia="Arial" w:hAnsi="Arial"/>
          <w:sz w:val="17"/>
          <w:szCs w:val="17"/>
          <w:color w:val="002E6D"/>
        </w:rPr>
      </w:pPr>
      <w:r>
        <w:rPr>
          <w:rFonts w:ascii="Arial" w:cs="Arial" w:eastAsia="Arial" w:hAnsi="Arial"/>
          <w:sz w:val="17"/>
          <w:szCs w:val="17"/>
          <w:color w:val="auto"/>
        </w:rPr>
        <w:t>Human Capital Governance and Workforce 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93345</wp:posOffset>
            </wp:positionV>
            <wp:extent cx="482092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color w:val="003478"/>
        </w:rPr>
        <w:t>Roles and Responsibilities of the Committee</w:t>
      </w:r>
    </w:p>
    <w:p>
      <w:pPr>
        <w:spacing w:after="0" w:line="117"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The Compensation Committee reviews and approves the corporate goals and objectives relevant to the compensation of the CEO and other executive officers, evaluates the performance of the CEO and, either as a committee or together with the other independent members of the Board, determines and approves the compensation philosophy and levels for the CEO and other executive officers. The Compensation Committee does not delegate its responsibilities with respect to compensation that is specific to the executive officers. For other employees and for broad-based compensation plans, the Compensation Committee may delegate authority to the CEO or the Senior Vice President and Chief Human Resources Officer, subject to certain annual limits.</w:t>
      </w:r>
    </w:p>
    <w:p>
      <w:pPr>
        <w:spacing w:after="0" w:line="101"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Additional information regarding the role of the Compensation Committee and our compensation practices and procedures is provided under the captions “Compensation Committee Report” on page 36, “Compensation Discussion and Analysis (CD&amp;A)” beginning on page 37 and “Other Compensation Matters” on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-2319020</wp:posOffset>
            </wp:positionH>
            <wp:positionV relativeFrom="paragraph">
              <wp:posOffset>262255</wp:posOffset>
            </wp:positionV>
            <wp:extent cx="71329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540"/>
            <w:col w:w="7580"/>
          </w:cols>
          <w:pgMar w:left="320" w:top="25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20</w:t>
      </w:r>
    </w:p>
    <w:p>
      <w:pPr>
        <w:sectPr>
          <w:pgSz w:w="11900" w:h="16838" w:orient="portrait"/>
          <w:cols w:equalWidth="0" w:num="1">
            <w:col w:w="11240"/>
          </w:cols>
          <w:pgMar w:left="320" w:top="254" w:right="339" w:bottom="1440" w:gutter="0" w:footer="0" w:header="0"/>
          <w:type w:val="continuous"/>
        </w:sectPr>
      </w:pPr>
    </w:p>
    <w:bookmarkStart w:id="26" w:name="page27"/>
    <w:bookmarkEnd w:id="26"/>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25"/>
          <w:szCs w:val="25"/>
          <w:color w:val="818EB4"/>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89535</wp:posOffset>
            </wp:positionV>
            <wp:extent cx="7132955" cy="35921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955" cy="3592195"/>
                    </a:xfrm>
                    <a:prstGeom prst="rect">
                      <a:avLst/>
                    </a:prstGeom>
                    <a:noFill/>
                  </pic:spPr>
                </pic:pic>
              </a:graphicData>
            </a:graphic>
          </wp:anchor>
        </w:drawing>
      </w:r>
    </w:p>
    <w:p>
      <w:pPr>
        <w:sectPr>
          <w:pgSz w:w="11900" w:h="16838" w:orient="portrait"/>
          <w:cols w:equalWidth="0" w:num="1">
            <w:col w:w="11200"/>
          </w:cols>
          <w:pgMar w:left="320" w:top="25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Daniel F. Akerson, Chair</w:t>
      </w:r>
    </w:p>
    <w:p>
      <w:pPr>
        <w:spacing w:after="0" w:line="94"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David B. Burritt</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Bruce A. Carlson</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Joseph F. Dunford, Jr.</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Vicki A. Hollub</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4"/>
          <w:szCs w:val="14"/>
          <w:color w:val="003478"/>
        </w:rPr>
        <w:t>Jeh C. Johnson</w:t>
      </w:r>
    </w:p>
    <w:p>
      <w:pPr>
        <w:spacing w:after="0" w:line="164"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002E6D"/>
          <w:shd w:val="clear" w:color="auto" w:fill="E5E7EF"/>
        </w:rPr>
        <w:t>All members of the Governance Committee are independent within the meaning of the NYSE listing standards, applicable SEC regulations and our Governance Guidelines.</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tabs>
          <w:tab w:leader="none" w:pos="5480" w:val="left"/>
        </w:tabs>
        <w:rPr>
          <w:sz w:val="20"/>
          <w:szCs w:val="20"/>
          <w:color w:val="auto"/>
        </w:rPr>
      </w:pPr>
      <w:r>
        <w:rPr>
          <w:rFonts w:ascii="Arial" w:cs="Arial" w:eastAsia="Arial" w:hAnsi="Arial"/>
          <w:sz w:val="20"/>
          <w:szCs w:val="20"/>
          <w:color w:val="003478"/>
        </w:rPr>
        <w:t>2021 Focus Areas</w:t>
      </w:r>
      <w:r>
        <w:rPr>
          <w:sz w:val="20"/>
          <w:szCs w:val="20"/>
          <w:color w:val="auto"/>
        </w:rPr>
        <w:tab/>
      </w:r>
      <w:r>
        <w:rPr>
          <w:rFonts w:ascii="Arial" w:cs="Arial" w:eastAsia="Arial" w:hAnsi="Arial"/>
          <w:sz w:val="19"/>
          <w:szCs w:val="19"/>
          <w:color w:val="003478"/>
        </w:rPr>
        <w:t>Meetings in 2021: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18415</wp:posOffset>
            </wp:positionV>
            <wp:extent cx="48209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pacing w:after="0" w:line="164" w:lineRule="exact"/>
        <w:rPr>
          <w:sz w:val="20"/>
          <w:szCs w:val="20"/>
          <w:color w:val="auto"/>
        </w:rPr>
      </w:pPr>
    </w:p>
    <w:p>
      <w:pPr>
        <w:ind w:left="220" w:hanging="133"/>
        <w:spacing w:after="0"/>
        <w:tabs>
          <w:tab w:leader="none" w:pos="220" w:val="left"/>
        </w:tabs>
        <w:numPr>
          <w:ilvl w:val="0"/>
          <w:numId w:val="40"/>
        </w:numPr>
        <w:rPr>
          <w:rFonts w:ascii="Arial" w:cs="Arial" w:eastAsia="Arial" w:hAnsi="Arial"/>
          <w:sz w:val="17"/>
          <w:szCs w:val="17"/>
          <w:color w:val="002E6D"/>
        </w:rPr>
      </w:pPr>
      <w:r>
        <w:rPr>
          <w:rFonts w:ascii="Arial" w:cs="Arial" w:eastAsia="Arial" w:hAnsi="Arial"/>
          <w:sz w:val="17"/>
          <w:szCs w:val="17"/>
          <w:color w:val="auto"/>
        </w:rPr>
        <w:t>Board Recruitment and Refreshment</w:t>
      </w:r>
    </w:p>
    <w:p>
      <w:pPr>
        <w:spacing w:after="0" w:line="127" w:lineRule="exact"/>
        <w:rPr>
          <w:rFonts w:ascii="Arial" w:cs="Arial" w:eastAsia="Arial" w:hAnsi="Arial"/>
          <w:sz w:val="17"/>
          <w:szCs w:val="17"/>
          <w:color w:val="002E6D"/>
        </w:rPr>
      </w:pPr>
    </w:p>
    <w:p>
      <w:pPr>
        <w:ind w:left="220" w:hanging="133"/>
        <w:spacing w:after="0"/>
        <w:tabs>
          <w:tab w:leader="none" w:pos="220" w:val="left"/>
        </w:tabs>
        <w:numPr>
          <w:ilvl w:val="0"/>
          <w:numId w:val="40"/>
        </w:numPr>
        <w:rPr>
          <w:rFonts w:ascii="Arial" w:cs="Arial" w:eastAsia="Arial" w:hAnsi="Arial"/>
          <w:sz w:val="17"/>
          <w:szCs w:val="17"/>
          <w:color w:val="002E6D"/>
        </w:rPr>
      </w:pPr>
      <w:r>
        <w:rPr>
          <w:rFonts w:ascii="Arial" w:cs="Arial" w:eastAsia="Arial" w:hAnsi="Arial"/>
          <w:sz w:val="17"/>
          <w:szCs w:val="17"/>
          <w:color w:val="auto"/>
        </w:rPr>
        <w:t>2025 Sustainability Management Plan Goals and Progress, Including Climate Goals</w:t>
      </w:r>
    </w:p>
    <w:p>
      <w:pPr>
        <w:spacing w:after="0" w:line="127" w:lineRule="exact"/>
        <w:rPr>
          <w:rFonts w:ascii="Arial" w:cs="Arial" w:eastAsia="Arial" w:hAnsi="Arial"/>
          <w:sz w:val="17"/>
          <w:szCs w:val="17"/>
          <w:color w:val="002E6D"/>
        </w:rPr>
      </w:pPr>
    </w:p>
    <w:p>
      <w:pPr>
        <w:ind w:left="220" w:hanging="133"/>
        <w:spacing w:after="0"/>
        <w:tabs>
          <w:tab w:leader="none" w:pos="220" w:val="left"/>
        </w:tabs>
        <w:numPr>
          <w:ilvl w:val="0"/>
          <w:numId w:val="40"/>
        </w:numPr>
        <w:rPr>
          <w:rFonts w:ascii="Arial" w:cs="Arial" w:eastAsia="Arial" w:hAnsi="Arial"/>
          <w:sz w:val="17"/>
          <w:szCs w:val="17"/>
          <w:color w:val="002E6D"/>
        </w:rPr>
      </w:pPr>
      <w:r>
        <w:rPr>
          <w:rFonts w:ascii="Arial" w:cs="Arial" w:eastAsia="Arial" w:hAnsi="Arial"/>
          <w:sz w:val="17"/>
          <w:szCs w:val="17"/>
          <w:color w:val="auto"/>
        </w:rPr>
        <w:t>Continued COVID-19 Business Continuity and Employee Safety and Health Efforts</w:t>
      </w:r>
    </w:p>
    <w:p>
      <w:pPr>
        <w:spacing w:after="0" w:line="127" w:lineRule="exact"/>
        <w:rPr>
          <w:rFonts w:ascii="Arial" w:cs="Arial" w:eastAsia="Arial" w:hAnsi="Arial"/>
          <w:sz w:val="17"/>
          <w:szCs w:val="17"/>
          <w:color w:val="002E6D"/>
        </w:rPr>
      </w:pPr>
    </w:p>
    <w:p>
      <w:pPr>
        <w:ind w:left="220" w:hanging="133"/>
        <w:spacing w:after="0"/>
        <w:tabs>
          <w:tab w:leader="none" w:pos="220" w:val="left"/>
        </w:tabs>
        <w:numPr>
          <w:ilvl w:val="0"/>
          <w:numId w:val="40"/>
        </w:numPr>
        <w:rPr>
          <w:rFonts w:ascii="Arial" w:cs="Arial" w:eastAsia="Arial" w:hAnsi="Arial"/>
          <w:sz w:val="17"/>
          <w:szCs w:val="17"/>
          <w:color w:val="002E6D"/>
        </w:rPr>
      </w:pPr>
      <w:r>
        <w:rPr>
          <w:rFonts w:ascii="Arial" w:cs="Arial" w:eastAsia="Arial" w:hAnsi="Arial"/>
          <w:sz w:val="17"/>
          <w:szCs w:val="17"/>
          <w:color w:val="auto"/>
        </w:rPr>
        <w:t>Published Inaugural Human Rights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93345</wp:posOffset>
            </wp:positionV>
            <wp:extent cx="48209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color w:val="003478"/>
        </w:rPr>
        <w:t>Roles and Responsibilities of the Committee</w:t>
      </w:r>
    </w:p>
    <w:p>
      <w:pPr>
        <w:spacing w:after="0" w:line="117"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The Governance Committee develops and implements policies and practices relating to corporate governance, including our Governance Guidelines. The Governance Committee assists the Board by selecting candidates to be nominated to the Board, making recommendations concerning the composition of Board committees and overseeing the annual evaluation of the Board and its committees.</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The Governance Committee reviews and recommends to the Board the compensation of directors.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Our executive officers do not play a role in determining director pay.</w:t>
      </w:r>
    </w:p>
    <w:p>
      <w:pPr>
        <w:spacing w:after="0" w:line="127"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The Governance Committee assists the Board in fulfilling its oversight efforts in corporate responsibility, corporate culture, human rights, environmental stewardship, political contributions, ethical business practices, community outreach, philanthropy, diversity, inclusion and equal opportunity, sustainability, and safety programs. The Governance Committee monitors compliance and recommends changes to our Code of Conduct. The Governance Committee also has oversight over the Company’s policies and processes for the safety of the Company’s products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-2319020</wp:posOffset>
            </wp:positionH>
            <wp:positionV relativeFrom="paragraph">
              <wp:posOffset>151130</wp:posOffset>
            </wp:positionV>
            <wp:extent cx="71329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540"/>
            <w:col w:w="7540"/>
          </w:cols>
          <w:pgMar w:left="320" w:top="254" w:right="37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9"/>
          <w:szCs w:val="29"/>
          <w:color w:val="003478"/>
        </w:rPr>
        <w:t>Board Role and Responsibilities</w:t>
      </w:r>
    </w:p>
    <w:p>
      <w:pPr>
        <w:spacing w:after="0" w:line="116" w:lineRule="exact"/>
        <w:rPr>
          <w:sz w:val="20"/>
          <w:szCs w:val="20"/>
          <w:color w:val="auto"/>
        </w:rPr>
      </w:pPr>
    </w:p>
    <w:p>
      <w:pPr>
        <w:spacing w:after="0"/>
        <w:rPr>
          <w:sz w:val="20"/>
          <w:szCs w:val="20"/>
          <w:color w:val="auto"/>
        </w:rPr>
      </w:pPr>
      <w:r>
        <w:rPr>
          <w:rFonts w:ascii="Arial" w:cs="Arial" w:eastAsia="Arial" w:hAnsi="Arial"/>
          <w:sz w:val="25"/>
          <w:szCs w:val="25"/>
          <w:color w:val="818EB4"/>
        </w:rPr>
        <w:t>Board Role in Strategic Planning</w:t>
      </w:r>
    </w:p>
    <w:p>
      <w:pPr>
        <w:spacing w:after="0" w:line="121"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The Board is involved in strategic planning and review throughout the year. Every September the Board meets in a half-day session dedicated to a discussion of the Company’s strategy, one-year plan and three-year long-range plan. The President and CEO regularly reviews developments against the Company’s strategic framework at Board meetings and provides updates between regularly scheduled sessions as necessary. This schedule corresponds to management’s annual schedule for developing the long-range plan and provides the Board with the opportunity to provide input while the long-range plan is being developed and to monitor progress on the plan. In addition:</w:t>
      </w:r>
    </w:p>
    <w:p>
      <w:pPr>
        <w:spacing w:after="0" w:line="45" w:lineRule="exact"/>
        <w:rPr>
          <w:sz w:val="20"/>
          <w:szCs w:val="20"/>
          <w:color w:val="auto"/>
        </w:rPr>
      </w:pPr>
    </w:p>
    <w:p>
      <w:pPr>
        <w:ind w:left="240" w:right="600" w:hanging="152"/>
        <w:spacing w:after="0" w:line="274" w:lineRule="auto"/>
        <w:tabs>
          <w:tab w:leader="none" w:pos="205" w:val="left"/>
        </w:tabs>
        <w:numPr>
          <w:ilvl w:val="0"/>
          <w:numId w:val="41"/>
        </w:numPr>
        <w:rPr>
          <w:rFonts w:ascii="Arial" w:cs="Arial" w:eastAsia="Arial" w:hAnsi="Arial"/>
          <w:sz w:val="17"/>
          <w:szCs w:val="17"/>
          <w:color w:val="012E6C"/>
        </w:rPr>
      </w:pPr>
      <w:r>
        <w:rPr>
          <w:rFonts w:ascii="Arial" w:cs="Arial" w:eastAsia="Arial" w:hAnsi="Arial"/>
          <w:sz w:val="17"/>
          <w:szCs w:val="17"/>
          <w:color w:val="auto"/>
        </w:rPr>
        <w:t>the Board (or the appropriate committee) reviews the progress and challenges to the Company’s strategy and approves specific initiatives, including acquisitions and divestitures over a certain monetary threshold;</w:t>
      </w:r>
    </w:p>
    <w:p>
      <w:pPr>
        <w:spacing w:after="0" w:line="37" w:lineRule="exact"/>
        <w:rPr>
          <w:rFonts w:ascii="Arial" w:cs="Arial" w:eastAsia="Arial" w:hAnsi="Arial"/>
          <w:sz w:val="17"/>
          <w:szCs w:val="17"/>
          <w:color w:val="012E6C"/>
        </w:rPr>
      </w:pPr>
    </w:p>
    <w:p>
      <w:pPr>
        <w:ind w:left="240" w:right="60" w:hanging="152"/>
        <w:spacing w:after="0" w:line="274" w:lineRule="auto"/>
        <w:tabs>
          <w:tab w:leader="none" w:pos="205" w:val="left"/>
        </w:tabs>
        <w:numPr>
          <w:ilvl w:val="0"/>
          <w:numId w:val="41"/>
        </w:numPr>
        <w:rPr>
          <w:rFonts w:ascii="Arial" w:cs="Arial" w:eastAsia="Arial" w:hAnsi="Arial"/>
          <w:sz w:val="17"/>
          <w:szCs w:val="17"/>
          <w:color w:val="012E6C"/>
        </w:rPr>
      </w:pPr>
      <w:r>
        <w:rPr>
          <w:rFonts w:ascii="Arial" w:cs="Arial" w:eastAsia="Arial" w:hAnsi="Arial"/>
          <w:sz w:val="17"/>
          <w:szCs w:val="17"/>
          <w:color w:val="auto"/>
        </w:rPr>
        <w:t>the Board (or the appropriate committee) reviews trends identified as significant risks and topical items of strategic interest such as human capital strategy and cybersecurity on a regular basis;</w:t>
      </w:r>
    </w:p>
    <w:p>
      <w:pPr>
        <w:spacing w:after="0" w:line="37" w:lineRule="exact"/>
        <w:rPr>
          <w:rFonts w:ascii="Arial" w:cs="Arial" w:eastAsia="Arial" w:hAnsi="Arial"/>
          <w:sz w:val="17"/>
          <w:szCs w:val="17"/>
          <w:color w:val="012E6C"/>
        </w:rPr>
      </w:pPr>
    </w:p>
    <w:p>
      <w:pPr>
        <w:ind w:left="240" w:right="300" w:hanging="152"/>
        <w:spacing w:after="0" w:line="274" w:lineRule="auto"/>
        <w:tabs>
          <w:tab w:leader="none" w:pos="205" w:val="left"/>
        </w:tabs>
        <w:numPr>
          <w:ilvl w:val="0"/>
          <w:numId w:val="41"/>
        </w:numPr>
        <w:rPr>
          <w:rFonts w:ascii="Arial" w:cs="Arial" w:eastAsia="Arial" w:hAnsi="Arial"/>
          <w:sz w:val="17"/>
          <w:szCs w:val="17"/>
          <w:color w:val="012E6C"/>
        </w:rPr>
      </w:pPr>
      <w:r>
        <w:rPr>
          <w:rFonts w:ascii="Arial" w:cs="Arial" w:eastAsia="Arial" w:hAnsi="Arial"/>
          <w:sz w:val="17"/>
          <w:szCs w:val="17"/>
          <w:color w:val="auto"/>
        </w:rPr>
        <w:t>the Board’s annual schedule includes at least one meeting per year at a different Company facility where directors can tour the operations and engage directly with employees and experience first-hand the Company’s culture; and</w:t>
      </w:r>
    </w:p>
    <w:p>
      <w:pPr>
        <w:spacing w:after="0" w:line="37" w:lineRule="exact"/>
        <w:rPr>
          <w:rFonts w:ascii="Arial" w:cs="Arial" w:eastAsia="Arial" w:hAnsi="Arial"/>
          <w:sz w:val="17"/>
          <w:szCs w:val="17"/>
          <w:color w:val="012E6C"/>
        </w:rPr>
      </w:pPr>
    </w:p>
    <w:p>
      <w:pPr>
        <w:ind w:left="240" w:hanging="152"/>
        <w:spacing w:after="0" w:line="274" w:lineRule="auto"/>
        <w:tabs>
          <w:tab w:leader="none" w:pos="205" w:val="left"/>
        </w:tabs>
        <w:numPr>
          <w:ilvl w:val="0"/>
          <w:numId w:val="41"/>
        </w:numPr>
        <w:rPr>
          <w:rFonts w:ascii="Arial" w:cs="Arial" w:eastAsia="Arial" w:hAnsi="Arial"/>
          <w:sz w:val="17"/>
          <w:szCs w:val="17"/>
          <w:color w:val="012E6C"/>
        </w:rPr>
      </w:pPr>
      <w:r>
        <w:rPr>
          <w:rFonts w:ascii="Arial" w:cs="Arial" w:eastAsia="Arial" w:hAnsi="Arial"/>
          <w:sz w:val="17"/>
          <w:szCs w:val="17"/>
          <w:color w:val="auto"/>
        </w:rPr>
        <w:t>each business segment executive vice president presents an operations review to the Board and each business segment financial officer presents a financial review to the Audit Committee on a rotating basis.</w:t>
      </w:r>
    </w:p>
    <w:p>
      <w:pPr>
        <w:spacing w:after="0" w:line="85" w:lineRule="exact"/>
        <w:rPr>
          <w:sz w:val="20"/>
          <w:szCs w:val="20"/>
          <w:color w:val="auto"/>
        </w:rPr>
      </w:pPr>
    </w:p>
    <w:p>
      <w:pPr>
        <w:spacing w:after="0"/>
        <w:rPr>
          <w:sz w:val="20"/>
          <w:szCs w:val="20"/>
          <w:color w:val="auto"/>
        </w:rPr>
      </w:pPr>
      <w:r>
        <w:rPr>
          <w:rFonts w:ascii="Arial" w:cs="Arial" w:eastAsia="Arial" w:hAnsi="Arial"/>
          <w:sz w:val="25"/>
          <w:szCs w:val="25"/>
          <w:color w:val="818EB4"/>
        </w:rPr>
        <w:t>Enterprise Risk Management</w:t>
      </w:r>
    </w:p>
    <w:p>
      <w:pPr>
        <w:spacing w:after="0" w:line="121"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A prominent oversight responsibility of the Board is the management of corporate risk-appetite to achieve strategic objectives and the ongoing monitoring of risk mitigation effectiveness. The Board and its committees receive risk management updates throughout the year. Executive management provides updates on risks managed at the enterprise level. Business segment management provides updates on risks to individual business segment objectives. The Audit Committee reviews the state of enterprise risk governance,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262255</wp:posOffset>
            </wp:positionV>
            <wp:extent cx="963930" cy="2216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21</w:t>
      </w:r>
    </w:p>
    <w:p>
      <w:pPr>
        <w:sectPr>
          <w:pgSz w:w="11900" w:h="16838" w:orient="portrait"/>
          <w:cols w:equalWidth="0" w:num="1">
            <w:col w:w="11200"/>
          </w:cols>
          <w:pgMar w:left="320" w:top="254" w:right="379" w:bottom="1440" w:gutter="0" w:footer="0" w:header="0"/>
          <w:type w:val="continuous"/>
        </w:sectPr>
      </w:pPr>
    </w:p>
    <w:bookmarkStart w:id="27" w:name="page28"/>
    <w:bookmarkEnd w:id="27"/>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ind w:right="20"/>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377" w:lineRule="exact"/>
        <w:rPr>
          <w:sz w:val="20"/>
          <w:szCs w:val="20"/>
          <w:color w:val="auto"/>
        </w:rPr>
      </w:pPr>
    </w:p>
    <w:p>
      <w:pPr>
        <w:ind w:right="320"/>
        <w:spacing w:after="0" w:line="269" w:lineRule="auto"/>
        <w:rPr>
          <w:sz w:val="20"/>
          <w:szCs w:val="20"/>
          <w:color w:val="auto"/>
        </w:rPr>
      </w:pPr>
      <w:r>
        <w:rPr>
          <w:rFonts w:ascii="Arial" w:cs="Arial" w:eastAsia="Arial" w:hAnsi="Arial"/>
          <w:sz w:val="17"/>
          <w:szCs w:val="17"/>
          <w:color w:val="auto"/>
        </w:rPr>
        <w:t>well as the assessments of risks that may impact the Company’s ability to achieve strategic business objectives. Other Board committees also supervise management’s execution of additional programs and functions and associated risk elements and compliance with laws and regulations. The following table summarizes the risk mitigation roles of each Board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329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142" w:lineRule="exact"/>
        <w:rPr>
          <w:sz w:val="20"/>
          <w:szCs w:val="20"/>
          <w:color w:val="auto"/>
        </w:rPr>
      </w:pPr>
    </w:p>
    <w:p>
      <w:pPr>
        <w:ind w:left="20"/>
        <w:spacing w:after="0"/>
        <w:rPr>
          <w:sz w:val="20"/>
          <w:szCs w:val="20"/>
          <w:color w:val="auto"/>
        </w:rPr>
      </w:pPr>
      <w:r>
        <w:rPr>
          <w:rFonts w:ascii="Arial" w:cs="Arial" w:eastAsia="Arial" w:hAnsi="Arial"/>
          <w:sz w:val="21"/>
          <w:szCs w:val="21"/>
          <w:color w:val="818EB4"/>
        </w:rPr>
        <w:t>Risk Governance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960" w:type="dxa"/>
            <w:vAlign w:val="bottom"/>
            <w:shd w:val="clear" w:color="auto" w:fill="E4E6EF"/>
          </w:tcPr>
          <w:p>
            <w:pPr>
              <w:ind w:left="20"/>
              <w:spacing w:after="0"/>
              <w:rPr>
                <w:sz w:val="20"/>
                <w:szCs w:val="20"/>
                <w:color w:val="auto"/>
              </w:rPr>
            </w:pPr>
            <w:r>
              <w:rPr>
                <w:rFonts w:ascii="Arial" w:cs="Arial" w:eastAsia="Arial" w:hAnsi="Arial"/>
                <w:sz w:val="17"/>
                <w:szCs w:val="17"/>
                <w:color w:val="auto"/>
              </w:rPr>
              <w:t>Board Committee</w:t>
            </w:r>
          </w:p>
        </w:tc>
        <w:tc>
          <w:tcPr>
            <w:tcW w:w="8280" w:type="dxa"/>
            <w:vAlign w:val="bottom"/>
            <w:shd w:val="clear" w:color="auto" w:fill="E4E6EF"/>
          </w:tcPr>
          <w:p>
            <w:pPr>
              <w:ind w:left="20"/>
              <w:spacing w:after="0"/>
              <w:rPr>
                <w:sz w:val="20"/>
                <w:szCs w:val="20"/>
                <w:color w:val="auto"/>
              </w:rPr>
            </w:pPr>
            <w:r>
              <w:rPr>
                <w:rFonts w:ascii="Arial" w:cs="Arial" w:eastAsia="Arial" w:hAnsi="Arial"/>
                <w:sz w:val="17"/>
                <w:szCs w:val="17"/>
                <w:color w:val="auto"/>
              </w:rPr>
              <w:t>Risk Mitigation Role</w:t>
            </w:r>
          </w:p>
        </w:tc>
        <w:tc>
          <w:tcPr>
            <w:tcW w:w="20" w:type="dxa"/>
            <w:vAlign w:val="bottom"/>
          </w:tcPr>
          <w:p>
            <w:pPr>
              <w:spacing w:after="0"/>
              <w:rPr>
                <w:sz w:val="19"/>
                <w:szCs w:val="19"/>
                <w:color w:val="auto"/>
              </w:rPr>
            </w:pPr>
          </w:p>
        </w:tc>
      </w:tr>
      <w:tr>
        <w:trPr>
          <w:trHeight w:val="84"/>
        </w:trPr>
        <w:tc>
          <w:tcPr>
            <w:tcW w:w="2960" w:type="dxa"/>
            <w:vAlign w:val="bottom"/>
            <w:tcBorders>
              <w:bottom w:val="single" w:sz="8" w:color="9D9D9C"/>
            </w:tcBorders>
            <w:shd w:val="clear" w:color="auto" w:fill="E4E6EF"/>
          </w:tcPr>
          <w:p>
            <w:pPr>
              <w:spacing w:after="0"/>
              <w:rPr>
                <w:sz w:val="7"/>
                <w:szCs w:val="7"/>
                <w:color w:val="auto"/>
              </w:rPr>
            </w:pPr>
          </w:p>
        </w:tc>
        <w:tc>
          <w:tcPr>
            <w:tcW w:w="8280" w:type="dxa"/>
            <w:vAlign w:val="bottom"/>
            <w:tcBorders>
              <w:bottom w:val="single" w:sz="8" w:color="9D9D9C"/>
            </w:tcBorders>
            <w:shd w:val="clear" w:color="auto" w:fill="E4E6EF"/>
          </w:tcPr>
          <w:p>
            <w:pPr>
              <w:spacing w:after="0"/>
              <w:rPr>
                <w:sz w:val="7"/>
                <w:szCs w:val="7"/>
                <w:color w:val="auto"/>
              </w:rPr>
            </w:pPr>
          </w:p>
        </w:tc>
        <w:tc>
          <w:tcPr>
            <w:tcW w:w="20" w:type="dxa"/>
            <w:vAlign w:val="bottom"/>
            <w:tcBorders>
              <w:bottom w:val="single" w:sz="8" w:color="9D9D9C"/>
            </w:tcBorders>
          </w:tcPr>
          <w:p>
            <w:pPr>
              <w:spacing w:after="0"/>
              <w:rPr>
                <w:sz w:val="7"/>
                <w:szCs w:val="7"/>
                <w:color w:val="auto"/>
              </w:rPr>
            </w:pPr>
          </w:p>
        </w:tc>
      </w:tr>
      <w:tr>
        <w:trPr>
          <w:trHeight w:val="216"/>
        </w:trPr>
        <w:tc>
          <w:tcPr>
            <w:tcW w:w="2960" w:type="dxa"/>
            <w:vAlign w:val="bottom"/>
          </w:tcPr>
          <w:p>
            <w:pPr>
              <w:ind w:left="40"/>
              <w:spacing w:after="0"/>
              <w:rPr>
                <w:sz w:val="20"/>
                <w:szCs w:val="20"/>
                <w:color w:val="auto"/>
              </w:rPr>
            </w:pPr>
            <w:r>
              <w:rPr>
                <w:rFonts w:ascii="Arial" w:cs="Arial" w:eastAsia="Arial" w:hAnsi="Arial"/>
                <w:sz w:val="17"/>
                <w:szCs w:val="17"/>
                <w:color w:val="auto"/>
              </w:rPr>
              <w:t>AUDIT</w:t>
            </w:r>
          </w:p>
        </w:tc>
        <w:tc>
          <w:tcPr>
            <w:tcW w:w="8280" w:type="dxa"/>
            <w:vAlign w:val="bottom"/>
          </w:tcPr>
          <w:p>
            <w:pPr>
              <w:ind w:left="40"/>
              <w:spacing w:after="0"/>
              <w:rPr>
                <w:sz w:val="20"/>
                <w:szCs w:val="20"/>
                <w:color w:val="auto"/>
              </w:rPr>
            </w:pPr>
            <w:r>
              <w:rPr>
                <w:rFonts w:ascii="Arial" w:cs="Arial" w:eastAsia="Arial" w:hAnsi="Arial"/>
                <w:sz w:val="17"/>
                <w:szCs w:val="17"/>
                <w:color w:val="auto"/>
                <w:w w:val="99"/>
              </w:rPr>
              <w:t>Financial and compliance risks and risk identification process; risks related to business strategy and identified</w:t>
            </w:r>
          </w:p>
        </w:tc>
        <w:tc>
          <w:tcPr>
            <w:tcW w:w="20" w:type="dxa"/>
            <w:vAlign w:val="bottom"/>
          </w:tcPr>
          <w:p>
            <w:pPr>
              <w:spacing w:after="0"/>
              <w:rPr>
                <w:sz w:val="18"/>
                <w:szCs w:val="18"/>
                <w:color w:val="auto"/>
              </w:rPr>
            </w:pPr>
          </w:p>
        </w:tc>
      </w:tr>
      <w:tr>
        <w:trPr>
          <w:trHeight w:val="204"/>
        </w:trPr>
        <w:tc>
          <w:tcPr>
            <w:tcW w:w="2960" w:type="dxa"/>
            <w:vAlign w:val="bottom"/>
          </w:tcPr>
          <w:p>
            <w:pPr>
              <w:spacing w:after="0"/>
              <w:rPr>
                <w:sz w:val="17"/>
                <w:szCs w:val="17"/>
                <w:color w:val="auto"/>
              </w:rPr>
            </w:pPr>
          </w:p>
        </w:tc>
        <w:tc>
          <w:tcPr>
            <w:tcW w:w="8280" w:type="dxa"/>
            <w:vAlign w:val="bottom"/>
          </w:tcPr>
          <w:p>
            <w:pPr>
              <w:ind w:left="40"/>
              <w:spacing w:after="0"/>
              <w:rPr>
                <w:sz w:val="20"/>
                <w:szCs w:val="20"/>
                <w:color w:val="auto"/>
              </w:rPr>
            </w:pPr>
            <w:r>
              <w:rPr>
                <w:rFonts w:ascii="Arial" w:cs="Arial" w:eastAsia="Arial" w:hAnsi="Arial"/>
                <w:sz w:val="17"/>
                <w:szCs w:val="17"/>
                <w:color w:val="auto"/>
              </w:rPr>
              <w:t>enterprise risk</w:t>
            </w:r>
          </w:p>
        </w:tc>
        <w:tc>
          <w:tcPr>
            <w:tcW w:w="20" w:type="dxa"/>
            <w:vAlign w:val="bottom"/>
          </w:tcPr>
          <w:p>
            <w:pPr>
              <w:spacing w:after="0"/>
              <w:rPr>
                <w:sz w:val="17"/>
                <w:szCs w:val="17"/>
                <w:color w:val="auto"/>
              </w:rPr>
            </w:pPr>
          </w:p>
        </w:tc>
      </w:tr>
      <w:tr>
        <w:trPr>
          <w:trHeight w:val="31"/>
        </w:trPr>
        <w:tc>
          <w:tcPr>
            <w:tcW w:w="2960" w:type="dxa"/>
            <w:vAlign w:val="bottom"/>
            <w:tcBorders>
              <w:bottom w:val="single" w:sz="8" w:color="9D9D9C"/>
            </w:tcBorders>
          </w:tcPr>
          <w:p>
            <w:pPr>
              <w:spacing w:after="0"/>
              <w:rPr>
                <w:sz w:val="2"/>
                <w:szCs w:val="2"/>
                <w:color w:val="auto"/>
              </w:rPr>
            </w:pPr>
          </w:p>
        </w:tc>
        <w:tc>
          <w:tcPr>
            <w:tcW w:w="8280" w:type="dxa"/>
            <w:vAlign w:val="bottom"/>
            <w:tcBorders>
              <w:bottom w:val="single" w:sz="8" w:color="9D9D9C"/>
            </w:tcBorders>
          </w:tcPr>
          <w:p>
            <w:pPr>
              <w:spacing w:after="0"/>
              <w:rPr>
                <w:sz w:val="2"/>
                <w:szCs w:val="2"/>
                <w:color w:val="auto"/>
              </w:rPr>
            </w:pPr>
          </w:p>
        </w:tc>
        <w:tc>
          <w:tcPr>
            <w:tcW w:w="20" w:type="dxa"/>
            <w:vAlign w:val="bottom"/>
            <w:tcBorders>
              <w:bottom w:val="single" w:sz="8" w:color="9D9D9C"/>
            </w:tcBorders>
          </w:tcPr>
          <w:p>
            <w:pPr>
              <w:spacing w:after="0"/>
              <w:rPr>
                <w:sz w:val="2"/>
                <w:szCs w:val="2"/>
                <w:color w:val="auto"/>
              </w:rPr>
            </w:pPr>
          </w:p>
        </w:tc>
      </w:tr>
      <w:tr>
        <w:trPr>
          <w:trHeight w:val="216"/>
        </w:trPr>
        <w:tc>
          <w:tcPr>
            <w:tcW w:w="2960" w:type="dxa"/>
            <w:vAlign w:val="bottom"/>
            <w:shd w:val="clear" w:color="auto" w:fill="E4E6EF"/>
          </w:tcPr>
          <w:p>
            <w:pPr>
              <w:ind w:left="40"/>
              <w:spacing w:after="0"/>
              <w:rPr>
                <w:sz w:val="20"/>
                <w:szCs w:val="20"/>
                <w:color w:val="auto"/>
              </w:rPr>
            </w:pPr>
            <w:r>
              <w:rPr>
                <w:rFonts w:ascii="Arial" w:cs="Arial" w:eastAsia="Arial" w:hAnsi="Arial"/>
                <w:sz w:val="17"/>
                <w:szCs w:val="17"/>
                <w:color w:val="auto"/>
              </w:rPr>
              <w:t>CLASSIFIED BUSINESS AND</w:t>
            </w:r>
          </w:p>
        </w:tc>
        <w:tc>
          <w:tcPr>
            <w:tcW w:w="8280" w:type="dxa"/>
            <w:vAlign w:val="bottom"/>
            <w:shd w:val="clear" w:color="auto" w:fill="E4E6EF"/>
          </w:tcPr>
          <w:p>
            <w:pPr>
              <w:ind w:left="20"/>
              <w:spacing w:after="0"/>
              <w:rPr>
                <w:sz w:val="20"/>
                <w:szCs w:val="20"/>
                <w:color w:val="auto"/>
              </w:rPr>
            </w:pPr>
            <w:r>
              <w:rPr>
                <w:rFonts w:ascii="Arial" w:cs="Arial" w:eastAsia="Arial" w:hAnsi="Arial"/>
                <w:sz w:val="17"/>
                <w:szCs w:val="17"/>
                <w:color w:val="auto"/>
              </w:rPr>
              <w:t>Classified programs and security of personnel, facilities and data-related risks including classified</w:t>
            </w:r>
          </w:p>
        </w:tc>
        <w:tc>
          <w:tcPr>
            <w:tcW w:w="20" w:type="dxa"/>
            <w:vAlign w:val="bottom"/>
          </w:tcPr>
          <w:p>
            <w:pPr>
              <w:spacing w:after="0"/>
              <w:rPr>
                <w:sz w:val="18"/>
                <w:szCs w:val="18"/>
                <w:color w:val="auto"/>
              </w:rPr>
            </w:pPr>
          </w:p>
        </w:tc>
      </w:tr>
      <w:tr>
        <w:trPr>
          <w:trHeight w:val="235"/>
        </w:trPr>
        <w:tc>
          <w:tcPr>
            <w:tcW w:w="2960" w:type="dxa"/>
            <w:vAlign w:val="bottom"/>
            <w:tcBorders>
              <w:bottom w:val="single" w:sz="8" w:color="E4E6EF"/>
            </w:tcBorders>
            <w:shd w:val="clear" w:color="auto" w:fill="E4E6EF"/>
          </w:tcPr>
          <w:p>
            <w:pPr>
              <w:ind w:left="40"/>
              <w:spacing w:after="0"/>
              <w:rPr>
                <w:sz w:val="20"/>
                <w:szCs w:val="20"/>
                <w:color w:val="auto"/>
              </w:rPr>
            </w:pPr>
            <w:r>
              <w:rPr>
                <w:rFonts w:ascii="Arial" w:cs="Arial" w:eastAsia="Arial" w:hAnsi="Arial"/>
                <w:sz w:val="17"/>
                <w:szCs w:val="17"/>
                <w:color w:val="auto"/>
              </w:rPr>
              <w:t>SECURITY</w:t>
            </w:r>
          </w:p>
        </w:tc>
        <w:tc>
          <w:tcPr>
            <w:tcW w:w="8280" w:type="dxa"/>
            <w:vAlign w:val="bottom"/>
            <w:tcBorders>
              <w:bottom w:val="single" w:sz="8" w:color="E4E6EF"/>
            </w:tcBorders>
            <w:shd w:val="clear" w:color="auto" w:fill="E4E6EF"/>
          </w:tcPr>
          <w:p>
            <w:pPr>
              <w:ind w:left="20"/>
              <w:spacing w:after="0"/>
              <w:rPr>
                <w:sz w:val="20"/>
                <w:szCs w:val="20"/>
                <w:color w:val="auto"/>
              </w:rPr>
            </w:pPr>
            <w:r>
              <w:rPr>
                <w:rFonts w:ascii="Arial" w:cs="Arial" w:eastAsia="Arial" w:hAnsi="Arial"/>
                <w:sz w:val="17"/>
                <w:szCs w:val="17"/>
                <w:color w:val="auto"/>
              </w:rPr>
              <w:t>cybersecurity, security of suppliers and the global supply chain within the classified business</w:t>
            </w:r>
          </w:p>
        </w:tc>
        <w:tc>
          <w:tcPr>
            <w:tcW w:w="20" w:type="dxa"/>
            <w:vAlign w:val="bottom"/>
          </w:tcPr>
          <w:p>
            <w:pPr>
              <w:spacing w:after="0"/>
              <w:rPr>
                <w:sz w:val="20"/>
                <w:szCs w:val="20"/>
                <w:color w:val="auto"/>
              </w:rPr>
            </w:pPr>
          </w:p>
        </w:tc>
      </w:tr>
      <w:tr>
        <w:trPr>
          <w:trHeight w:val="216"/>
        </w:trPr>
        <w:tc>
          <w:tcPr>
            <w:tcW w:w="2960" w:type="dxa"/>
            <w:vAlign w:val="bottom"/>
            <w:tcBorders>
              <w:top w:val="single" w:sz="8" w:color="9D9D9C"/>
            </w:tcBorders>
          </w:tcPr>
          <w:p>
            <w:pPr>
              <w:ind w:left="40"/>
              <w:spacing w:after="0"/>
              <w:rPr>
                <w:sz w:val="20"/>
                <w:szCs w:val="20"/>
                <w:color w:val="auto"/>
              </w:rPr>
            </w:pPr>
            <w:r>
              <w:rPr>
                <w:rFonts w:ascii="Arial" w:cs="Arial" w:eastAsia="Arial" w:hAnsi="Arial"/>
                <w:sz w:val="17"/>
                <w:szCs w:val="17"/>
                <w:color w:val="auto"/>
              </w:rPr>
              <w:t>NOMINATING AND CORPORATE</w:t>
            </w:r>
          </w:p>
        </w:tc>
        <w:tc>
          <w:tcPr>
            <w:tcW w:w="8280" w:type="dxa"/>
            <w:vAlign w:val="bottom"/>
            <w:tcBorders>
              <w:top w:val="single" w:sz="8" w:color="9D9D9C"/>
            </w:tcBorders>
          </w:tcPr>
          <w:p>
            <w:pPr>
              <w:ind w:left="40"/>
              <w:spacing w:after="0"/>
              <w:rPr>
                <w:sz w:val="20"/>
                <w:szCs w:val="20"/>
                <w:color w:val="auto"/>
              </w:rPr>
            </w:pPr>
            <w:r>
              <w:rPr>
                <w:rFonts w:ascii="Arial" w:cs="Arial" w:eastAsia="Arial" w:hAnsi="Arial"/>
                <w:sz w:val="17"/>
                <w:szCs w:val="17"/>
                <w:color w:val="auto"/>
              </w:rPr>
              <w:t>Board composition, corporate governance, safety, ethical conduct, human rights, political activities, corporate</w:t>
            </w:r>
          </w:p>
        </w:tc>
        <w:tc>
          <w:tcPr>
            <w:tcW w:w="20" w:type="dxa"/>
            <w:vAlign w:val="bottom"/>
            <w:tcBorders>
              <w:top w:val="single" w:sz="8" w:color="9D9D9C"/>
            </w:tcBorders>
          </w:tcPr>
          <w:p>
            <w:pPr>
              <w:spacing w:after="0"/>
              <w:rPr>
                <w:sz w:val="18"/>
                <w:szCs w:val="18"/>
                <w:color w:val="auto"/>
              </w:rPr>
            </w:pPr>
          </w:p>
        </w:tc>
      </w:tr>
      <w:tr>
        <w:trPr>
          <w:trHeight w:val="204"/>
        </w:trPr>
        <w:tc>
          <w:tcPr>
            <w:tcW w:w="2960" w:type="dxa"/>
            <w:vAlign w:val="bottom"/>
          </w:tcPr>
          <w:p>
            <w:pPr>
              <w:ind w:left="40"/>
              <w:spacing w:after="0"/>
              <w:rPr>
                <w:sz w:val="20"/>
                <w:szCs w:val="20"/>
                <w:color w:val="auto"/>
              </w:rPr>
            </w:pPr>
            <w:r>
              <w:rPr>
                <w:rFonts w:ascii="Arial" w:cs="Arial" w:eastAsia="Arial" w:hAnsi="Arial"/>
                <w:sz w:val="17"/>
                <w:szCs w:val="17"/>
                <w:color w:val="auto"/>
              </w:rPr>
              <w:t>GOVERNANCE</w:t>
            </w:r>
          </w:p>
        </w:tc>
        <w:tc>
          <w:tcPr>
            <w:tcW w:w="8280" w:type="dxa"/>
            <w:vAlign w:val="bottom"/>
          </w:tcPr>
          <w:p>
            <w:pPr>
              <w:ind w:left="40"/>
              <w:spacing w:after="0"/>
              <w:rPr>
                <w:sz w:val="20"/>
                <w:szCs w:val="20"/>
                <w:color w:val="auto"/>
              </w:rPr>
            </w:pPr>
            <w:r>
              <w:rPr>
                <w:rFonts w:ascii="Arial" w:cs="Arial" w:eastAsia="Arial" w:hAnsi="Arial"/>
                <w:sz w:val="17"/>
                <w:szCs w:val="17"/>
                <w:color w:val="auto"/>
              </w:rPr>
              <w:t>culture, human capital, and climate and other environmental risks</w:t>
            </w:r>
          </w:p>
        </w:tc>
        <w:tc>
          <w:tcPr>
            <w:tcW w:w="20" w:type="dxa"/>
            <w:vAlign w:val="bottom"/>
          </w:tcPr>
          <w:p>
            <w:pPr>
              <w:spacing w:after="0"/>
              <w:rPr>
                <w:sz w:val="17"/>
                <w:szCs w:val="17"/>
                <w:color w:val="auto"/>
              </w:rPr>
            </w:pPr>
          </w:p>
        </w:tc>
      </w:tr>
      <w:tr>
        <w:trPr>
          <w:trHeight w:val="31"/>
        </w:trPr>
        <w:tc>
          <w:tcPr>
            <w:tcW w:w="2960" w:type="dxa"/>
            <w:vAlign w:val="bottom"/>
            <w:tcBorders>
              <w:bottom w:val="single" w:sz="8" w:color="9D9D9C"/>
            </w:tcBorders>
          </w:tcPr>
          <w:p>
            <w:pPr>
              <w:spacing w:after="0"/>
              <w:rPr>
                <w:sz w:val="2"/>
                <w:szCs w:val="2"/>
                <w:color w:val="auto"/>
              </w:rPr>
            </w:pPr>
          </w:p>
        </w:tc>
        <w:tc>
          <w:tcPr>
            <w:tcW w:w="8280" w:type="dxa"/>
            <w:vAlign w:val="bottom"/>
            <w:tcBorders>
              <w:bottom w:val="single" w:sz="8" w:color="9D9D9C"/>
            </w:tcBorders>
          </w:tcPr>
          <w:p>
            <w:pPr>
              <w:spacing w:after="0"/>
              <w:rPr>
                <w:sz w:val="2"/>
                <w:szCs w:val="2"/>
                <w:color w:val="auto"/>
              </w:rPr>
            </w:pPr>
          </w:p>
        </w:tc>
        <w:tc>
          <w:tcPr>
            <w:tcW w:w="20" w:type="dxa"/>
            <w:vAlign w:val="bottom"/>
            <w:tcBorders>
              <w:bottom w:val="single" w:sz="8" w:color="9D9D9C"/>
            </w:tcBorders>
          </w:tcPr>
          <w:p>
            <w:pPr>
              <w:spacing w:after="0"/>
              <w:rPr>
                <w:sz w:val="2"/>
                <w:szCs w:val="2"/>
                <w:color w:val="auto"/>
              </w:rPr>
            </w:pPr>
          </w:p>
        </w:tc>
      </w:tr>
      <w:tr>
        <w:trPr>
          <w:trHeight w:val="216"/>
        </w:trPr>
        <w:tc>
          <w:tcPr>
            <w:tcW w:w="2960" w:type="dxa"/>
            <w:vAlign w:val="bottom"/>
            <w:shd w:val="clear" w:color="auto" w:fill="E4E6EF"/>
          </w:tcPr>
          <w:p>
            <w:pPr>
              <w:ind w:left="40"/>
              <w:spacing w:after="0"/>
              <w:rPr>
                <w:sz w:val="20"/>
                <w:szCs w:val="20"/>
                <w:color w:val="auto"/>
              </w:rPr>
            </w:pPr>
            <w:r>
              <w:rPr>
                <w:rFonts w:ascii="Arial" w:cs="Arial" w:eastAsia="Arial" w:hAnsi="Arial"/>
                <w:sz w:val="17"/>
                <w:szCs w:val="17"/>
                <w:color w:val="auto"/>
              </w:rPr>
              <w:t>MANAGEMENT DEVELOPMENT</w:t>
            </w:r>
          </w:p>
        </w:tc>
        <w:tc>
          <w:tcPr>
            <w:tcW w:w="8280" w:type="dxa"/>
            <w:vAlign w:val="bottom"/>
            <w:shd w:val="clear" w:color="auto" w:fill="E4E6EF"/>
          </w:tcPr>
          <w:p>
            <w:pPr>
              <w:ind w:left="20"/>
              <w:spacing w:after="0"/>
              <w:rPr>
                <w:sz w:val="20"/>
                <w:szCs w:val="20"/>
                <w:color w:val="auto"/>
              </w:rPr>
            </w:pPr>
            <w:r>
              <w:rPr>
                <w:rFonts w:ascii="Arial" w:cs="Arial" w:eastAsia="Arial" w:hAnsi="Arial"/>
                <w:sz w:val="17"/>
                <w:szCs w:val="17"/>
                <w:color w:val="auto"/>
              </w:rPr>
              <w:t>Talent, workforce and incentive compensation risks</w:t>
            </w:r>
          </w:p>
        </w:tc>
        <w:tc>
          <w:tcPr>
            <w:tcW w:w="20" w:type="dxa"/>
            <w:vAlign w:val="bottom"/>
          </w:tcPr>
          <w:p>
            <w:pPr>
              <w:spacing w:after="0"/>
              <w:rPr>
                <w:sz w:val="18"/>
                <w:szCs w:val="18"/>
                <w:color w:val="auto"/>
              </w:rPr>
            </w:pPr>
          </w:p>
        </w:tc>
      </w:tr>
      <w:tr>
        <w:trPr>
          <w:trHeight w:val="215"/>
        </w:trPr>
        <w:tc>
          <w:tcPr>
            <w:tcW w:w="2960" w:type="dxa"/>
            <w:vAlign w:val="bottom"/>
            <w:tcBorders>
              <w:bottom w:val="single" w:sz="8" w:color="E4E6EF"/>
            </w:tcBorders>
            <w:shd w:val="clear" w:color="auto" w:fill="E4E6EF"/>
          </w:tcPr>
          <w:p>
            <w:pPr>
              <w:ind w:left="40"/>
              <w:spacing w:after="0"/>
              <w:rPr>
                <w:sz w:val="20"/>
                <w:szCs w:val="20"/>
                <w:color w:val="auto"/>
              </w:rPr>
            </w:pPr>
            <w:r>
              <w:rPr>
                <w:rFonts w:ascii="Arial" w:cs="Arial" w:eastAsia="Arial" w:hAnsi="Arial"/>
                <w:sz w:val="17"/>
                <w:szCs w:val="17"/>
                <w:color w:val="auto"/>
              </w:rPr>
              <w:t>AND COMPENSATION</w:t>
            </w:r>
          </w:p>
        </w:tc>
        <w:tc>
          <w:tcPr>
            <w:tcW w:w="8280" w:type="dxa"/>
            <w:vAlign w:val="bottom"/>
            <w:tcBorders>
              <w:bottom w:val="single" w:sz="8" w:color="E4E6EF"/>
            </w:tcBorders>
            <w:shd w:val="clear" w:color="auto" w:fill="E4E6EF"/>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2960" w:type="dxa"/>
            <w:vAlign w:val="bottom"/>
            <w:shd w:val="clear" w:color="auto" w:fill="9D9D9C"/>
          </w:tcPr>
          <w:p>
            <w:pPr>
              <w:spacing w:after="0" w:line="20" w:lineRule="exact"/>
              <w:rPr>
                <w:sz w:val="1"/>
                <w:szCs w:val="1"/>
                <w:color w:val="auto"/>
              </w:rPr>
            </w:pPr>
          </w:p>
        </w:tc>
        <w:tc>
          <w:tcPr>
            <w:tcW w:w="8280" w:type="dxa"/>
            <w:vAlign w:val="bottom"/>
            <w:shd w:val="clear" w:color="auto" w:fill="9D9D9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7138035</wp:posOffset>
            </wp:positionH>
            <wp:positionV relativeFrom="paragraph">
              <wp:posOffset>-605155</wp:posOffset>
            </wp:positionV>
            <wp:extent cx="8255" cy="3073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30734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-605155</wp:posOffset>
            </wp:positionV>
            <wp:extent cx="8255" cy="3073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307340"/>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-1202690</wp:posOffset>
            </wp:positionV>
            <wp:extent cx="8255" cy="3073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3073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-1202690</wp:posOffset>
            </wp:positionV>
            <wp:extent cx="8255" cy="12033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255" cy="1203325"/>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-1202690</wp:posOffset>
            </wp:positionV>
            <wp:extent cx="8255" cy="3073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255" cy="307340"/>
                    </a:xfrm>
                    <a:prstGeom prst="rect">
                      <a:avLst/>
                    </a:prstGeom>
                    <a:noFill/>
                  </pic:spPr>
                </pic:pic>
              </a:graphicData>
            </a:graphic>
          </wp:anchor>
        </w:drawing>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enterprise risk management process involves providing the Board with regular, periodic reports on:</w:t>
      </w:r>
    </w:p>
    <w:p>
      <w:pPr>
        <w:spacing w:after="0" w:line="127" w:lineRule="exact"/>
        <w:rPr>
          <w:sz w:val="20"/>
          <w:szCs w:val="20"/>
          <w:color w:val="auto"/>
        </w:rPr>
      </w:pPr>
    </w:p>
    <w:p>
      <w:pPr>
        <w:ind w:left="300" w:hanging="131"/>
        <w:spacing w:after="0"/>
        <w:tabs>
          <w:tab w:leader="none" w:pos="300" w:val="left"/>
        </w:tabs>
        <w:numPr>
          <w:ilvl w:val="0"/>
          <w:numId w:val="42"/>
        </w:numPr>
        <w:rPr>
          <w:rFonts w:ascii="Arial" w:cs="Arial" w:eastAsia="Arial" w:hAnsi="Arial"/>
          <w:sz w:val="17"/>
          <w:szCs w:val="17"/>
          <w:color w:val="003478"/>
        </w:rPr>
      </w:pPr>
      <w:r>
        <w:rPr>
          <w:rFonts w:ascii="Arial" w:cs="Arial" w:eastAsia="Arial" w:hAnsi="Arial"/>
          <w:sz w:val="17"/>
          <w:szCs w:val="17"/>
          <w:color w:val="auto"/>
        </w:rPr>
        <w:t>a clear governance structure guiding our risk management process across the Company;</w:t>
      </w:r>
    </w:p>
    <w:p>
      <w:pPr>
        <w:spacing w:after="0" w:line="73" w:lineRule="exact"/>
        <w:rPr>
          <w:rFonts w:ascii="Arial" w:cs="Arial" w:eastAsia="Arial" w:hAnsi="Arial"/>
          <w:sz w:val="17"/>
          <w:szCs w:val="17"/>
          <w:color w:val="003478"/>
        </w:rPr>
      </w:pPr>
    </w:p>
    <w:p>
      <w:pPr>
        <w:ind w:left="380" w:hanging="211"/>
        <w:spacing w:after="0"/>
        <w:tabs>
          <w:tab w:leader="none" w:pos="380" w:val="left"/>
        </w:tabs>
        <w:numPr>
          <w:ilvl w:val="0"/>
          <w:numId w:val="42"/>
        </w:numPr>
        <w:rPr>
          <w:rFonts w:ascii="Arial" w:cs="Arial" w:eastAsia="Arial" w:hAnsi="Arial"/>
          <w:sz w:val="17"/>
          <w:szCs w:val="17"/>
          <w:color w:val="003478"/>
        </w:rPr>
      </w:pPr>
      <w:r>
        <w:rPr>
          <w:rFonts w:ascii="Arial" w:cs="Arial" w:eastAsia="Arial" w:hAnsi="Arial"/>
          <w:sz w:val="17"/>
          <w:szCs w:val="17"/>
          <w:color w:val="auto"/>
        </w:rPr>
        <w:t>the risks the Company faces, including drivers posing potential impacts to meeting strategic objectives or compliance standards;</w:t>
      </w:r>
    </w:p>
    <w:p>
      <w:pPr>
        <w:spacing w:after="0" w:line="73" w:lineRule="exact"/>
        <w:rPr>
          <w:rFonts w:ascii="Arial" w:cs="Arial" w:eastAsia="Arial" w:hAnsi="Arial"/>
          <w:sz w:val="17"/>
          <w:szCs w:val="17"/>
          <w:color w:val="003478"/>
        </w:rPr>
      </w:pPr>
    </w:p>
    <w:p>
      <w:pPr>
        <w:ind w:left="380" w:hanging="211"/>
        <w:spacing w:after="0"/>
        <w:tabs>
          <w:tab w:leader="none" w:pos="380" w:val="left"/>
        </w:tabs>
        <w:numPr>
          <w:ilvl w:val="0"/>
          <w:numId w:val="42"/>
        </w:numPr>
        <w:rPr>
          <w:rFonts w:ascii="Arial" w:cs="Arial" w:eastAsia="Arial" w:hAnsi="Arial"/>
          <w:sz w:val="17"/>
          <w:szCs w:val="17"/>
          <w:color w:val="003478"/>
        </w:rPr>
      </w:pPr>
      <w:r>
        <w:rPr>
          <w:rFonts w:ascii="Arial" w:cs="Arial" w:eastAsia="Arial" w:hAnsi="Arial"/>
          <w:sz w:val="17"/>
          <w:szCs w:val="17"/>
          <w:color w:val="auto"/>
        </w:rPr>
        <w:t>areas where compliance risk topics pose vulnerability to the Company;</w:t>
      </w:r>
    </w:p>
    <w:p>
      <w:pPr>
        <w:spacing w:after="0" w:line="73" w:lineRule="exact"/>
        <w:rPr>
          <w:rFonts w:ascii="Arial" w:cs="Arial" w:eastAsia="Arial" w:hAnsi="Arial"/>
          <w:sz w:val="17"/>
          <w:szCs w:val="17"/>
          <w:color w:val="003478"/>
        </w:rPr>
      </w:pPr>
    </w:p>
    <w:p>
      <w:pPr>
        <w:ind w:left="420" w:right="180" w:hanging="251"/>
        <w:spacing w:after="0" w:line="274" w:lineRule="auto"/>
        <w:tabs>
          <w:tab w:leader="none" w:pos="385" w:val="left"/>
        </w:tabs>
        <w:numPr>
          <w:ilvl w:val="0"/>
          <w:numId w:val="42"/>
        </w:numPr>
        <w:rPr>
          <w:rFonts w:ascii="Arial" w:cs="Arial" w:eastAsia="Arial" w:hAnsi="Arial"/>
          <w:sz w:val="17"/>
          <w:szCs w:val="17"/>
          <w:color w:val="003478"/>
        </w:rPr>
      </w:pPr>
      <w:r>
        <w:rPr>
          <w:rFonts w:ascii="Arial" w:cs="Arial" w:eastAsia="Arial" w:hAnsi="Arial"/>
          <w:sz w:val="17"/>
          <w:szCs w:val="17"/>
          <w:color w:val="auto"/>
        </w:rPr>
        <w:t>a clear framework for accountability that illustrates mitigating measures and action plans, and how the CEO and the executive leadership team are involved in reviewing and executing such activities;</w:t>
      </w:r>
    </w:p>
    <w:p>
      <w:pPr>
        <w:spacing w:after="0" w:line="37" w:lineRule="exact"/>
        <w:rPr>
          <w:rFonts w:ascii="Arial" w:cs="Arial" w:eastAsia="Arial" w:hAnsi="Arial"/>
          <w:sz w:val="17"/>
          <w:szCs w:val="17"/>
          <w:color w:val="003478"/>
        </w:rPr>
      </w:pPr>
    </w:p>
    <w:p>
      <w:pPr>
        <w:ind w:left="420" w:right="860" w:hanging="251"/>
        <w:spacing w:after="0" w:line="274" w:lineRule="auto"/>
        <w:tabs>
          <w:tab w:leader="none" w:pos="385" w:val="left"/>
        </w:tabs>
        <w:numPr>
          <w:ilvl w:val="0"/>
          <w:numId w:val="42"/>
        </w:numPr>
        <w:rPr>
          <w:rFonts w:ascii="Arial" w:cs="Arial" w:eastAsia="Arial" w:hAnsi="Arial"/>
          <w:sz w:val="17"/>
          <w:szCs w:val="17"/>
          <w:color w:val="003478"/>
        </w:rPr>
      </w:pPr>
      <w:r>
        <w:rPr>
          <w:rFonts w:ascii="Arial" w:cs="Arial" w:eastAsia="Arial" w:hAnsi="Arial"/>
          <w:sz w:val="17"/>
          <w:szCs w:val="17"/>
          <w:color w:val="auto"/>
        </w:rPr>
        <w:t>the ways in which enterprise risks are measured, the setting of aggregate and subject-specific risk indicators, and related policies and procedures in place to control risks; and</w:t>
      </w:r>
    </w:p>
    <w:p>
      <w:pPr>
        <w:spacing w:after="0" w:line="37" w:lineRule="exact"/>
        <w:rPr>
          <w:rFonts w:ascii="Arial" w:cs="Arial" w:eastAsia="Arial" w:hAnsi="Arial"/>
          <w:sz w:val="17"/>
          <w:szCs w:val="17"/>
          <w:color w:val="003478"/>
        </w:rPr>
      </w:pPr>
    </w:p>
    <w:p>
      <w:pPr>
        <w:ind w:left="420" w:right="480" w:hanging="251"/>
        <w:spacing w:after="0" w:line="274" w:lineRule="auto"/>
        <w:tabs>
          <w:tab w:leader="none" w:pos="385" w:val="left"/>
        </w:tabs>
        <w:numPr>
          <w:ilvl w:val="0"/>
          <w:numId w:val="42"/>
        </w:numPr>
        <w:rPr>
          <w:rFonts w:ascii="Arial" w:cs="Arial" w:eastAsia="Arial" w:hAnsi="Arial"/>
          <w:sz w:val="17"/>
          <w:szCs w:val="17"/>
          <w:color w:val="003478"/>
        </w:rPr>
      </w:pPr>
      <w:r>
        <w:rPr>
          <w:rFonts w:ascii="Arial" w:cs="Arial" w:eastAsia="Arial" w:hAnsi="Arial"/>
          <w:sz w:val="17"/>
          <w:szCs w:val="17"/>
          <w:color w:val="auto"/>
        </w:rPr>
        <w:t>the analysis underpinning the prioritization of key risks and the tools for risk observation that management can utilize to ensure that new or shifting risks are readily identified and addressed.</w:t>
      </w:r>
    </w:p>
    <w:p>
      <w:pPr>
        <w:spacing w:after="0" w:line="85" w:lineRule="exact"/>
        <w:rPr>
          <w:sz w:val="20"/>
          <w:szCs w:val="20"/>
          <w:color w:val="auto"/>
        </w:rPr>
      </w:pPr>
    </w:p>
    <w:p>
      <w:pPr>
        <w:spacing w:after="0"/>
        <w:rPr>
          <w:sz w:val="20"/>
          <w:szCs w:val="20"/>
          <w:color w:val="auto"/>
        </w:rPr>
      </w:pPr>
      <w:r>
        <w:rPr>
          <w:rFonts w:ascii="Arial" w:cs="Arial" w:eastAsia="Arial" w:hAnsi="Arial"/>
          <w:sz w:val="25"/>
          <w:szCs w:val="25"/>
          <w:color w:val="818EB4"/>
        </w:rPr>
        <w:t>Cybersecurity</w:t>
      </w:r>
    </w:p>
    <w:p>
      <w:pPr>
        <w:spacing w:after="0" w:line="101" w:lineRule="exact"/>
        <w:rPr>
          <w:sz w:val="20"/>
          <w:szCs w:val="20"/>
          <w:color w:val="auto"/>
        </w:rPr>
      </w:pPr>
    </w:p>
    <w:p>
      <w:pPr>
        <w:ind w:left="240" w:right="180" w:hanging="233"/>
        <w:spacing w:after="0" w:line="275" w:lineRule="auto"/>
        <w:tabs>
          <w:tab w:leader="none" w:pos="205" w:val="left"/>
        </w:tabs>
        <w:numPr>
          <w:ilvl w:val="0"/>
          <w:numId w:val="43"/>
        </w:numPr>
        <w:rPr>
          <w:rFonts w:ascii="Arial" w:cs="Arial" w:eastAsia="Arial" w:hAnsi="Arial"/>
          <w:sz w:val="17"/>
          <w:szCs w:val="17"/>
          <w:color w:val="003478"/>
        </w:rPr>
      </w:pPr>
      <w:r>
        <w:rPr>
          <w:rFonts w:ascii="Arial" w:cs="Arial" w:eastAsia="Arial" w:hAnsi="Arial"/>
          <w:sz w:val="17"/>
          <w:szCs w:val="17"/>
          <w:b w:val="1"/>
          <w:bCs w:val="1"/>
          <w:color w:val="auto"/>
        </w:rPr>
        <w:t xml:space="preserve">Board Oversight. </w:t>
      </w:r>
      <w:r>
        <w:rPr>
          <w:rFonts w:ascii="Arial" w:cs="Arial" w:eastAsia="Arial" w:hAnsi="Arial"/>
          <w:sz w:val="17"/>
          <w:szCs w:val="17"/>
          <w:color w:val="auto"/>
        </w:rPr>
        <w:t>Cybersecurity is included in the Company’s enterprise risk management process and is overseen by the Board.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receives a briefing from senior leadership on cybersecurity and information security twice a year or more frequently as needed (either orally or in writing). The Classified Business and Security Committee also is briefed by senior management on the security of classified cyber data and information and the security of suppliers and the global supply chain within the Company’s classified business.</w:t>
      </w:r>
    </w:p>
    <w:p>
      <w:pPr>
        <w:spacing w:after="0" w:line="17" w:lineRule="exact"/>
        <w:rPr>
          <w:rFonts w:ascii="Arial" w:cs="Arial" w:eastAsia="Arial" w:hAnsi="Arial"/>
          <w:sz w:val="17"/>
          <w:szCs w:val="17"/>
          <w:color w:val="003478"/>
        </w:rPr>
      </w:pPr>
    </w:p>
    <w:p>
      <w:pPr>
        <w:ind w:left="240" w:right="20" w:hanging="233"/>
        <w:spacing w:after="0" w:line="270" w:lineRule="auto"/>
        <w:tabs>
          <w:tab w:leader="none" w:pos="205" w:val="left"/>
        </w:tabs>
        <w:numPr>
          <w:ilvl w:val="0"/>
          <w:numId w:val="43"/>
        </w:numPr>
        <w:rPr>
          <w:rFonts w:ascii="Arial" w:cs="Arial" w:eastAsia="Arial" w:hAnsi="Arial"/>
          <w:sz w:val="17"/>
          <w:szCs w:val="17"/>
          <w:color w:val="003478"/>
        </w:rPr>
      </w:pPr>
      <w:r>
        <w:rPr>
          <w:rFonts w:ascii="Arial" w:cs="Arial" w:eastAsia="Arial" w:hAnsi="Arial"/>
          <w:sz w:val="17"/>
          <w:szCs w:val="17"/>
          <w:b w:val="1"/>
          <w:bCs w:val="1"/>
          <w:color w:val="auto"/>
        </w:rPr>
        <w:t xml:space="preserve">Cybersecurity Protections. </w:t>
      </w:r>
      <w:r>
        <w:rPr>
          <w:rFonts w:ascii="Arial" w:cs="Arial" w:eastAsia="Arial" w:hAnsi="Arial"/>
          <w:sz w:val="17"/>
          <w:szCs w:val="17"/>
          <w:color w:val="auto"/>
        </w:rPr>
        <w:t>We have an extensive global security organization whose mission is to protect our systems and data, including a</w:t>
      </w:r>
      <w:r>
        <w:rPr>
          <w:rFonts w:ascii="Arial" w:cs="Arial" w:eastAsia="Arial" w:hAnsi="Arial"/>
          <w:sz w:val="17"/>
          <w:szCs w:val="17"/>
          <w:b w:val="1"/>
          <w:bCs w:val="1"/>
          <w:color w:val="auto"/>
        </w:rPr>
        <w:t xml:space="preserve"> </w:t>
      </w:r>
      <w:r>
        <w:rPr>
          <w:rFonts w:ascii="Arial" w:cs="Arial" w:eastAsia="Arial" w:hAnsi="Arial"/>
          <w:sz w:val="17"/>
          <w:szCs w:val="17"/>
          <w:color w:val="auto"/>
        </w:rPr>
        <w:t>Computer Incident Response Team (CIRT) to defend against cyber attacks and annual training for our employees on the protection of sensitive information, including testing intended to prevent the success of “phishing” attacks. Additionally, we partner with our defense industrial base peers, government agencies and cyber associations to share intelligence to further defend against cyber attacks. We also have a corporate-wide counterintelligence and insider threat detection program to proactively identify external and internal threats and mitigate these threats in a timely manner.</w:t>
      </w:r>
    </w:p>
    <w:p>
      <w:pPr>
        <w:spacing w:after="0" w:line="24" w:lineRule="exact"/>
        <w:rPr>
          <w:rFonts w:ascii="Arial" w:cs="Arial" w:eastAsia="Arial" w:hAnsi="Arial"/>
          <w:sz w:val="17"/>
          <w:szCs w:val="17"/>
          <w:color w:val="003478"/>
        </w:rPr>
      </w:pPr>
    </w:p>
    <w:p>
      <w:pPr>
        <w:ind w:left="240" w:right="140" w:hanging="233"/>
        <w:spacing w:after="0" w:line="270" w:lineRule="auto"/>
        <w:tabs>
          <w:tab w:leader="none" w:pos="205" w:val="left"/>
        </w:tabs>
        <w:numPr>
          <w:ilvl w:val="0"/>
          <w:numId w:val="43"/>
        </w:numPr>
        <w:rPr>
          <w:rFonts w:ascii="Arial" w:cs="Arial" w:eastAsia="Arial" w:hAnsi="Arial"/>
          <w:sz w:val="17"/>
          <w:szCs w:val="17"/>
          <w:color w:val="003478"/>
        </w:rPr>
      </w:pPr>
      <w:r>
        <w:rPr>
          <w:rFonts w:ascii="Arial" w:cs="Arial" w:eastAsia="Arial" w:hAnsi="Arial"/>
          <w:sz w:val="17"/>
          <w:szCs w:val="17"/>
          <w:b w:val="1"/>
          <w:bCs w:val="1"/>
          <w:color w:val="auto"/>
        </w:rPr>
        <w:t xml:space="preserve">Third-Party Certifications. </w:t>
      </w:r>
      <w:r>
        <w:rPr>
          <w:rFonts w:ascii="Arial" w:cs="Arial" w:eastAsia="Arial" w:hAnsi="Arial"/>
          <w:sz w:val="17"/>
          <w:szCs w:val="17"/>
          <w:color w:val="auto"/>
        </w:rPr>
        <w:t>Lockheed Martin maintains an enterprise ISO 27001 certification that undergoes annual surveillance auditing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recertification every three years. Lockheed Martin also maintains a Defense Industrial Base Cybersecurity Assessment Center (DIBCAC) High assessment from the Defense Contract Management Agency (DCMA), which demonstrates our compliance with the regulatory requirements to protect U.S. Department of Defense (DoD) Controlled Unclassified Information (CUI). We have collaborated extensively with the DoD and across the Defense Industrial Base on the Cybersecurity Maturity Model Certification (CMMC), the future model for data protection from the DoD, and believe we are well positioned to meet the requirements of CMMC.</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22</w:t>
      </w:r>
    </w:p>
    <w:p>
      <w:pPr>
        <w:sectPr>
          <w:pgSz w:w="11900" w:h="16838" w:orient="portrait"/>
          <w:cols w:equalWidth="0" w:num="1">
            <w:col w:w="11260"/>
          </w:cols>
          <w:pgMar w:left="320" w:top="254" w:right="31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5"/>
          <w:szCs w:val="25"/>
          <w:color w:val="818EB4"/>
        </w:rPr>
        <w:t>Political and Public Policy Activities</w:t>
      </w:r>
    </w:p>
    <w:p>
      <w:pPr>
        <w:spacing w:after="0" w:line="101" w:lineRule="exact"/>
        <w:rPr>
          <w:sz w:val="20"/>
          <w:szCs w:val="20"/>
          <w:color w:val="auto"/>
        </w:rPr>
      </w:pPr>
    </w:p>
    <w:p>
      <w:pPr>
        <w:ind w:left="240" w:hanging="233"/>
        <w:spacing w:after="0" w:line="270" w:lineRule="auto"/>
        <w:tabs>
          <w:tab w:leader="none" w:pos="205" w:val="left"/>
        </w:tabs>
        <w:numPr>
          <w:ilvl w:val="0"/>
          <w:numId w:val="44"/>
        </w:numPr>
        <w:rPr>
          <w:rFonts w:ascii="Arial" w:cs="Arial" w:eastAsia="Arial" w:hAnsi="Arial"/>
          <w:sz w:val="17"/>
          <w:szCs w:val="17"/>
          <w:color w:val="003478"/>
        </w:rPr>
      </w:pPr>
      <w:r>
        <w:rPr>
          <w:rFonts w:ascii="Arial" w:cs="Arial" w:eastAsia="Arial" w:hAnsi="Arial"/>
          <w:sz w:val="17"/>
          <w:szCs w:val="17"/>
          <w:b w:val="1"/>
          <w:bCs w:val="1"/>
          <w:color w:val="auto"/>
        </w:rPr>
        <w:t xml:space="preserve">Board Oversight. </w:t>
      </w:r>
      <w:r>
        <w:rPr>
          <w:rFonts w:ascii="Arial" w:cs="Arial" w:eastAsia="Arial" w:hAnsi="Arial"/>
          <w:sz w:val="17"/>
          <w:szCs w:val="17"/>
          <w:color w:val="auto"/>
        </w:rPr>
        <w:t>Lockheed Martin’s political and public policy activities, including its advocacy efforts, government affairs activities and political</w:t>
      </w:r>
      <w:r>
        <w:rPr>
          <w:rFonts w:ascii="Arial" w:cs="Arial" w:eastAsia="Arial" w:hAnsi="Arial"/>
          <w:sz w:val="17"/>
          <w:szCs w:val="17"/>
          <w:b w:val="1"/>
          <w:bCs w:val="1"/>
          <w:color w:val="auto"/>
        </w:rPr>
        <w:t xml:space="preserve"> </w:t>
      </w:r>
      <w:r>
        <w:rPr>
          <w:rFonts w:ascii="Arial" w:cs="Arial" w:eastAsia="Arial" w:hAnsi="Arial"/>
          <w:sz w:val="17"/>
          <w:szCs w:val="17"/>
          <w:color w:val="auto"/>
        </w:rPr>
        <w:t>spending is overseen by the Governance Committee. The Governance Committee supervises the policies related to these activities to ensure the intended purposes of the activities and their related benefits are well-aligned with the Company's strategy and driving long-term value. The Governance Committee receives regular reports from management on these matters and, in turn, supports accountability, transparency and public disclosure of corporate political expenditures and lobbying activities. To that end, the Company provides extensive information on its website about its political and public policy activities well beyond what is required by law.</w:t>
      </w:r>
    </w:p>
    <w:p>
      <w:pPr>
        <w:spacing w:after="0" w:line="10" w:lineRule="exact"/>
        <w:rPr>
          <w:rFonts w:ascii="Arial" w:cs="Arial" w:eastAsia="Arial" w:hAnsi="Arial"/>
          <w:sz w:val="17"/>
          <w:szCs w:val="17"/>
          <w:color w:val="003478"/>
        </w:rPr>
      </w:pPr>
    </w:p>
    <w:p>
      <w:pPr>
        <w:ind w:left="240" w:right="120" w:hanging="233"/>
        <w:spacing w:after="0" w:line="238" w:lineRule="auto"/>
        <w:tabs>
          <w:tab w:leader="none" w:pos="205" w:val="left"/>
        </w:tabs>
        <w:numPr>
          <w:ilvl w:val="0"/>
          <w:numId w:val="44"/>
        </w:numPr>
        <w:rPr>
          <w:rFonts w:ascii="Arial" w:cs="Arial" w:eastAsia="Arial" w:hAnsi="Arial"/>
          <w:sz w:val="17"/>
          <w:szCs w:val="17"/>
          <w:color w:val="003478"/>
        </w:rPr>
      </w:pPr>
      <w:r>
        <w:rPr>
          <w:rFonts w:ascii="Arial" w:cs="Arial" w:eastAsia="Arial" w:hAnsi="Arial"/>
          <w:sz w:val="17"/>
          <w:szCs w:val="17"/>
          <w:b w:val="1"/>
          <w:bCs w:val="1"/>
          <w:color w:val="auto"/>
        </w:rPr>
        <w:t xml:space="preserve">What we do. </w:t>
      </w:r>
      <w:r>
        <w:rPr>
          <w:rFonts w:ascii="Arial" w:cs="Arial" w:eastAsia="Arial" w:hAnsi="Arial"/>
          <w:sz w:val="17"/>
          <w:szCs w:val="17"/>
          <w:color w:val="auto"/>
        </w:rPr>
        <w:t>Lockheed Martin is committed to participating in the political and public policy process in a responsible and ethical way that serves</w:t>
      </w:r>
      <w:r>
        <w:rPr>
          <w:rFonts w:ascii="Arial" w:cs="Arial" w:eastAsia="Arial" w:hAnsi="Arial"/>
          <w:sz w:val="17"/>
          <w:szCs w:val="17"/>
          <w:b w:val="1"/>
          <w:bCs w:val="1"/>
          <w:color w:val="auto"/>
        </w:rPr>
        <w:t xml:space="preserve"> </w:t>
      </w:r>
      <w:r>
        <w:rPr>
          <w:rFonts w:ascii="Arial" w:cs="Arial" w:eastAsia="Arial" w:hAnsi="Arial"/>
          <w:sz w:val="17"/>
          <w:szCs w:val="17"/>
          <w:color w:val="auto"/>
        </w:rPr>
        <w:t>the best interests of our stockholders and customers. We operate in the highly regulated global security industry, and our operations are affected by the actions of elected and appointed officials at many levels of government. Our public policy activities include advocacy efforts at the federal and state levels, thought leadership regarding global security trends, and other important issues impacting us and our customers, educational outreach and promotion, and other related activities. We only engage in political activities directly related to our core business interests, such as national defense, space exploration, alternative energy technologies, corporate taxes, export policy and international trade.</w:t>
      </w:r>
    </w:p>
    <w:p>
      <w:pPr>
        <w:spacing w:after="0" w:line="32" w:lineRule="exact"/>
        <w:rPr>
          <w:rFonts w:ascii="Arial" w:cs="Arial" w:eastAsia="Arial" w:hAnsi="Arial"/>
          <w:sz w:val="17"/>
          <w:szCs w:val="17"/>
          <w:color w:val="003478"/>
        </w:rPr>
      </w:pPr>
    </w:p>
    <w:p>
      <w:pPr>
        <w:ind w:left="240" w:right="100" w:hanging="233"/>
        <w:spacing w:after="0" w:line="268" w:lineRule="auto"/>
        <w:tabs>
          <w:tab w:leader="none" w:pos="205" w:val="left"/>
        </w:tabs>
        <w:numPr>
          <w:ilvl w:val="0"/>
          <w:numId w:val="44"/>
        </w:numPr>
        <w:rPr>
          <w:rFonts w:ascii="Arial" w:cs="Arial" w:eastAsia="Arial" w:hAnsi="Arial"/>
          <w:sz w:val="17"/>
          <w:szCs w:val="17"/>
          <w:color w:val="003478"/>
        </w:rPr>
      </w:pPr>
      <w:r>
        <w:rPr>
          <w:rFonts w:ascii="Arial" w:cs="Arial" w:eastAsia="Arial" w:hAnsi="Arial"/>
          <w:sz w:val="17"/>
          <w:szCs w:val="17"/>
          <w:b w:val="1"/>
          <w:bCs w:val="1"/>
          <w:color w:val="auto"/>
        </w:rPr>
        <w:t xml:space="preserve">How we do it. </w:t>
      </w:r>
      <w:r>
        <w:rPr>
          <w:rFonts w:ascii="Arial" w:cs="Arial" w:eastAsia="Arial" w:hAnsi="Arial"/>
          <w:sz w:val="17"/>
          <w:szCs w:val="17"/>
          <w:color w:val="auto"/>
        </w:rPr>
        <w:t>All decisions regarding corporate political and public policy activities are managed by the Senior Vice President, Lockheed Martin</w:t>
      </w:r>
      <w:r>
        <w:rPr>
          <w:rFonts w:ascii="Arial" w:cs="Arial" w:eastAsia="Arial" w:hAnsi="Arial"/>
          <w:sz w:val="17"/>
          <w:szCs w:val="17"/>
          <w:b w:val="1"/>
          <w:bCs w:val="1"/>
          <w:color w:val="auto"/>
        </w:rPr>
        <w:t xml:space="preserve"> </w:t>
      </w:r>
      <w:r>
        <w:rPr>
          <w:rFonts w:ascii="Arial" w:cs="Arial" w:eastAsia="Arial" w:hAnsi="Arial"/>
          <w:sz w:val="17"/>
          <w:szCs w:val="17"/>
          <w:color w:val="auto"/>
        </w:rPr>
        <w:t>Government Affairs, following coordination with individual Lockheed Martin elements in accordance with established policies and procedures and are ultimately overseen by the Governance Committee. Any political or other public policy activity in which we engage, including political expenditures, comply with all internal policies and procedures, are made solely based upon the best interests of the company and its stockholders, and are not based on personal agendas of individual directors, officers, or employees. We comply with all applicable laws and regulations in connection with our political and public policy activities. Our political activities are audited on a regular basis in accordance with our established audit schedule and outside counsel provides regular guidance regarding compliance with applicable laws and regulation of political activities.</w:t>
      </w:r>
    </w:p>
    <w:p>
      <w:pPr>
        <w:spacing w:after="0" w:line="95" w:lineRule="exact"/>
        <w:rPr>
          <w:sz w:val="20"/>
          <w:szCs w:val="20"/>
          <w:color w:val="auto"/>
        </w:rPr>
      </w:pPr>
    </w:p>
    <w:p>
      <w:pPr>
        <w:spacing w:after="0"/>
        <w:rPr>
          <w:sz w:val="20"/>
          <w:szCs w:val="20"/>
          <w:color w:val="auto"/>
        </w:rPr>
      </w:pPr>
      <w:r>
        <w:rPr>
          <w:rFonts w:ascii="Arial" w:cs="Arial" w:eastAsia="Arial" w:hAnsi="Arial"/>
          <w:sz w:val="25"/>
          <w:szCs w:val="25"/>
          <w:color w:val="818EB4"/>
        </w:rPr>
        <w:t>Talent Management and Succession Planning</w:t>
      </w:r>
    </w:p>
    <w:p>
      <w:pPr>
        <w:spacing w:after="0" w:line="12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Management conducts regular talent reviews, including three in 2021. During these reviews, the executive leadership team discusses succession plans for key positions and identifies top talent for development in future leadership roles. Our Board is actively engaged in management succession planning. CEO succession planning discussions are led by the independent Lead Director and the Board members have direct access to and interaction with members of senior management and high potential future leaders as part of this succession planning. This includes informal and one-on-one settings to enable directors to personally assess potential candidates and cultivate future leaders. The Board of Directors maintains a succession plan for the CEO and other key members of management and has a contingency plan if the CEO were to depart unexpectedly.</w:t>
      </w:r>
    </w:p>
    <w:p>
      <w:pPr>
        <w:spacing w:after="0" w:line="98"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Company has a corporate policy imposing a mandatory retirement age of 65 for all executive officers other than the CEO. The CEO’s tenure is at the discretion of the Board, which is free to consider all relevant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257810</wp:posOffset>
            </wp:positionV>
            <wp:extent cx="963930" cy="2216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23</w:t>
      </w:r>
    </w:p>
    <w:p>
      <w:pPr>
        <w:sectPr>
          <w:pgSz w:w="11900" w:h="16838" w:orient="portrait"/>
          <w:cols w:equalWidth="0" w:num="1">
            <w:col w:w="11220"/>
          </w:cols>
          <w:pgMar w:left="320" w:top="254" w:right="35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25"/>
          <w:szCs w:val="25"/>
          <w:color w:val="818EB4"/>
        </w:rPr>
        <w:t>Board Oversight of People Strategy</w:t>
      </w:r>
    </w:p>
    <w:p>
      <w:pPr>
        <w:spacing w:after="0" w:line="229" w:lineRule="exact"/>
        <w:rPr>
          <w:sz w:val="20"/>
          <w:szCs w:val="20"/>
          <w:color w:val="auto"/>
        </w:rPr>
      </w:pPr>
    </w:p>
    <w:p>
      <w:pPr>
        <w:ind w:left="20" w:right="240"/>
        <w:spacing w:after="0" w:line="266" w:lineRule="auto"/>
        <w:rPr>
          <w:sz w:val="20"/>
          <w:szCs w:val="20"/>
          <w:color w:val="auto"/>
        </w:rPr>
      </w:pPr>
      <w:r>
        <w:rPr>
          <w:rFonts w:ascii="Arial" w:cs="Arial" w:eastAsia="Arial" w:hAnsi="Arial"/>
          <w:sz w:val="17"/>
          <w:szCs w:val="17"/>
          <w:color w:val="auto"/>
        </w:rPr>
        <w:t>The Board of Directors is actively engaged in the oversight of human capital management and strategy. Our human capital management strategy, which we refer to as our people strategy, is tightly aligned with our business needs and technology strategy. In order to ensure that we achieve our human capital objectives, we regularly conduct an employee engagement survey to gauge employee satisfaction and to understand the effectiveness of our employee and compensation programs. The Board reviews these survey results. The Senior Vice President and Chief Human Resources Officer updates the Board on the Company’s people strategy on an annual basis. Board members also are active partners in the development of our workforce, engaging and spending time with our high-potential leaders at Board meetings and other events.</w:t>
      </w:r>
    </w:p>
    <w:p>
      <w:pPr>
        <w:spacing w:after="0" w:line="98" w:lineRule="exact"/>
        <w:rPr>
          <w:sz w:val="20"/>
          <w:szCs w:val="20"/>
          <w:color w:val="auto"/>
        </w:rPr>
      </w:pPr>
    </w:p>
    <w:p>
      <w:pPr>
        <w:ind w:left="20" w:right="140"/>
        <w:spacing w:after="0" w:line="289" w:lineRule="auto"/>
        <w:rPr>
          <w:sz w:val="20"/>
          <w:szCs w:val="20"/>
          <w:color w:val="auto"/>
        </w:rPr>
      </w:pPr>
      <w:r>
        <w:rPr>
          <w:rFonts w:ascii="Arial" w:cs="Arial" w:eastAsia="Arial" w:hAnsi="Arial"/>
          <w:sz w:val="16"/>
          <w:szCs w:val="16"/>
          <w:color w:val="auto"/>
        </w:rPr>
        <w:t>Annually, the Board meets to review our succession strategy and leadership pipeline for key roles, including the CEO, taking into account the Company’s long-term corporate strategy. More broadly, the Board is regularly informed of key talent indicators for the overall workforce, including performance against diversity metrics with respect to representation, hiring, promotions and leadership. Talent management and workforce diversity and inclusion metrics and goals are included in the strategic and operational performance measures in management’s annual incentive program.</w:t>
      </w:r>
    </w:p>
    <w:p>
      <w:pPr>
        <w:spacing w:after="0" w:line="242" w:lineRule="exact"/>
        <w:rPr>
          <w:sz w:val="20"/>
          <w:szCs w:val="20"/>
          <w:color w:val="auto"/>
        </w:rPr>
      </w:pPr>
    </w:p>
    <w:p>
      <w:pPr>
        <w:ind w:left="20"/>
        <w:spacing w:after="0"/>
        <w:rPr>
          <w:sz w:val="20"/>
          <w:szCs w:val="20"/>
          <w:color w:val="auto"/>
        </w:rPr>
      </w:pPr>
      <w:r>
        <w:rPr>
          <w:rFonts w:ascii="Arial" w:cs="Arial" w:eastAsia="Arial" w:hAnsi="Arial"/>
          <w:sz w:val="21"/>
          <w:szCs w:val="21"/>
          <w:color w:val="818EB4"/>
        </w:rPr>
        <w:t>Our People Strategy</w:t>
      </w:r>
    </w:p>
    <w:p>
      <w:pPr>
        <w:spacing w:after="0" w:line="122" w:lineRule="exact"/>
        <w:rPr>
          <w:sz w:val="20"/>
          <w:szCs w:val="20"/>
          <w:color w:val="auto"/>
        </w:rPr>
      </w:pPr>
    </w:p>
    <w:p>
      <w:pPr>
        <w:ind w:left="20" w:right="840"/>
        <w:spacing w:after="0" w:line="269" w:lineRule="auto"/>
        <w:rPr>
          <w:sz w:val="20"/>
          <w:szCs w:val="20"/>
          <w:color w:val="auto"/>
        </w:rPr>
      </w:pPr>
      <w:r>
        <w:rPr>
          <w:rFonts w:ascii="Arial" w:cs="Arial" w:eastAsia="Arial" w:hAnsi="Arial"/>
          <w:sz w:val="17"/>
          <w:szCs w:val="17"/>
          <w:color w:val="auto"/>
        </w:rPr>
        <w:t>Human capital is a critical business asset at Lockheed Martin. Due to the specialized nature of our business, our performance depends on identifying, attracting, developing, motivating, and retaining a highly skilled workforce in multiple areas, including: engineering, science, manufacturing, information technology, cybersecurity, business development and strategy and management.</w:t>
      </w:r>
    </w:p>
    <w:p>
      <w:pPr>
        <w:spacing w:after="0" w:line="95" w:lineRule="exact"/>
        <w:rPr>
          <w:sz w:val="20"/>
          <w:szCs w:val="20"/>
          <w:color w:val="auto"/>
        </w:rPr>
      </w:pPr>
    </w:p>
    <w:p>
      <w:pPr>
        <w:ind w:left="20" w:right="100"/>
        <w:spacing w:after="0" w:line="266" w:lineRule="auto"/>
        <w:rPr>
          <w:sz w:val="20"/>
          <w:szCs w:val="20"/>
          <w:color w:val="auto"/>
        </w:rPr>
      </w:pPr>
      <w:r>
        <w:rPr>
          <w:rFonts w:ascii="Arial" w:cs="Arial" w:eastAsia="Arial" w:hAnsi="Arial"/>
          <w:sz w:val="17"/>
          <w:szCs w:val="17"/>
          <w:color w:val="auto"/>
        </w:rPr>
        <w:t>During 2021, our human capital efforts were focused on continuing to accelerate the transformation of our technology for workforce management through investments in upgraded systems and processes, and continuing to increase our agility to meet the quickly changing needs of the business, all while maintaining a respectful, challenging, supportive and inclusive working environment. We use a variety of human capital measures in managing our business, including: workforce demographics; hiring metrics; talent management metrics, including retention rates of top talent; and diversity metrics with respect to representation, attrition, hiring, promotions and leadership.</w:t>
      </w:r>
    </w:p>
    <w:p>
      <w:pPr>
        <w:spacing w:after="0" w:line="99" w:lineRule="exact"/>
        <w:rPr>
          <w:sz w:val="20"/>
          <w:szCs w:val="20"/>
          <w:color w:val="auto"/>
        </w:rPr>
      </w:pPr>
    </w:p>
    <w:p>
      <w:pPr>
        <w:ind w:left="20" w:right="560"/>
        <w:spacing w:after="0" w:line="274" w:lineRule="auto"/>
        <w:rPr>
          <w:sz w:val="20"/>
          <w:szCs w:val="20"/>
          <w:color w:val="auto"/>
        </w:rPr>
      </w:pPr>
      <w:r>
        <w:rPr>
          <w:rFonts w:ascii="Arial" w:cs="Arial" w:eastAsia="Arial" w:hAnsi="Arial"/>
          <w:sz w:val="17"/>
          <w:szCs w:val="17"/>
          <w:color w:val="auto"/>
        </w:rPr>
        <w:t>Our people strategy focuses on three key priorities: Maximize Talent; Advance Technology; and Optimize Culture. In 2022 and beyond, we will continue to execute on the Lockheed Martin people strategy and its three strategic imperatives to accelerate transformation.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240665</wp:posOffset>
            </wp:positionV>
            <wp:extent cx="7132955" cy="6997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955" cy="699770"/>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100"/>
        <w:spacing w:after="0"/>
        <w:rPr>
          <w:sz w:val="20"/>
          <w:szCs w:val="20"/>
          <w:color w:val="auto"/>
        </w:rPr>
      </w:pPr>
      <w:r>
        <w:rPr>
          <w:rFonts w:ascii="Arial" w:cs="Arial" w:eastAsia="Arial" w:hAnsi="Arial"/>
          <w:sz w:val="17"/>
          <w:szCs w:val="17"/>
          <w:color w:val="003478"/>
        </w:rPr>
        <w:t>MAXIMIZE</w:t>
      </w:r>
    </w:p>
    <w:p>
      <w:pPr>
        <w:spacing w:after="0" w:line="6" w:lineRule="exact"/>
        <w:rPr>
          <w:sz w:val="20"/>
          <w:szCs w:val="20"/>
          <w:color w:val="auto"/>
        </w:rPr>
      </w:pPr>
    </w:p>
    <w:p>
      <w:pPr>
        <w:ind w:left="1100"/>
        <w:spacing w:after="0"/>
        <w:rPr>
          <w:sz w:val="20"/>
          <w:szCs w:val="20"/>
          <w:color w:val="auto"/>
        </w:rPr>
      </w:pPr>
      <w:r>
        <w:rPr>
          <w:rFonts w:ascii="Arial" w:cs="Arial" w:eastAsia="Arial" w:hAnsi="Arial"/>
          <w:sz w:val="17"/>
          <w:szCs w:val="17"/>
          <w:color w:val="003478"/>
        </w:rPr>
        <w:t>TALENT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203835</wp:posOffset>
            </wp:positionV>
            <wp:extent cx="2226945" cy="14928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226945" cy="1492885"/>
                    </a:xfrm>
                    <a:prstGeom prst="rect">
                      <a:avLst/>
                    </a:prstGeom>
                    <a:noFill/>
                  </pic:spPr>
                </pic:pic>
              </a:graphicData>
            </a:graphic>
          </wp:anchor>
        </w:drawing>
      </w:r>
    </w:p>
    <w:p>
      <w:pPr>
        <w:spacing w:after="0" w:line="389" w:lineRule="exact"/>
        <w:rPr>
          <w:sz w:val="20"/>
          <w:szCs w:val="20"/>
          <w:color w:val="auto"/>
        </w:rPr>
      </w:pPr>
    </w:p>
    <w:p>
      <w:pPr>
        <w:ind w:left="300" w:right="40" w:hanging="198"/>
        <w:spacing w:after="0" w:line="257" w:lineRule="auto"/>
        <w:tabs>
          <w:tab w:leader="none" w:pos="273" w:val="left"/>
        </w:tabs>
        <w:numPr>
          <w:ilvl w:val="0"/>
          <w:numId w:val="45"/>
        </w:numPr>
        <w:rPr>
          <w:rFonts w:ascii="Arial" w:cs="Arial" w:eastAsia="Arial" w:hAnsi="Arial"/>
          <w:sz w:val="17"/>
          <w:szCs w:val="17"/>
          <w:color w:val="003478"/>
        </w:rPr>
      </w:pPr>
      <w:r>
        <w:rPr>
          <w:rFonts w:ascii="Arial" w:cs="Arial" w:eastAsia="Arial" w:hAnsi="Arial"/>
          <w:sz w:val="17"/>
          <w:szCs w:val="17"/>
          <w:color w:val="auto"/>
        </w:rPr>
        <w:t>Acquire and Retain Top Diverse Talent at All Levels</w:t>
      </w:r>
    </w:p>
    <w:p>
      <w:pPr>
        <w:spacing w:after="0" w:line="51" w:lineRule="exact"/>
        <w:rPr>
          <w:rFonts w:ascii="Arial" w:cs="Arial" w:eastAsia="Arial" w:hAnsi="Arial"/>
          <w:sz w:val="17"/>
          <w:szCs w:val="17"/>
          <w:color w:val="003478"/>
        </w:rPr>
      </w:pPr>
    </w:p>
    <w:p>
      <w:pPr>
        <w:ind w:left="300" w:right="160" w:hanging="198"/>
        <w:spacing w:after="0" w:line="257" w:lineRule="auto"/>
        <w:tabs>
          <w:tab w:leader="none" w:pos="273" w:val="left"/>
        </w:tabs>
        <w:numPr>
          <w:ilvl w:val="0"/>
          <w:numId w:val="45"/>
        </w:numPr>
        <w:rPr>
          <w:rFonts w:ascii="Arial" w:cs="Arial" w:eastAsia="Arial" w:hAnsi="Arial"/>
          <w:sz w:val="17"/>
          <w:szCs w:val="17"/>
          <w:color w:val="003478"/>
        </w:rPr>
      </w:pPr>
      <w:r>
        <w:rPr>
          <w:rFonts w:ascii="Arial" w:cs="Arial" w:eastAsia="Arial" w:hAnsi="Arial"/>
          <w:sz w:val="17"/>
          <w:szCs w:val="17"/>
          <w:color w:val="auto"/>
        </w:rPr>
        <w:t>Elevate Technical Talent to Match Strategy and the Digital Future of Work</w:t>
      </w:r>
    </w:p>
    <w:p>
      <w:pPr>
        <w:spacing w:after="0" w:line="65" w:lineRule="exact"/>
        <w:rPr>
          <w:rFonts w:ascii="Arial" w:cs="Arial" w:eastAsia="Arial" w:hAnsi="Arial"/>
          <w:sz w:val="17"/>
          <w:szCs w:val="17"/>
          <w:color w:val="003478"/>
        </w:rPr>
      </w:pPr>
    </w:p>
    <w:p>
      <w:pPr>
        <w:ind w:left="300" w:right="200" w:hanging="198"/>
        <w:spacing w:after="0" w:line="257" w:lineRule="auto"/>
        <w:tabs>
          <w:tab w:leader="none" w:pos="273" w:val="left"/>
        </w:tabs>
        <w:numPr>
          <w:ilvl w:val="0"/>
          <w:numId w:val="45"/>
        </w:numPr>
        <w:rPr>
          <w:rFonts w:ascii="Arial" w:cs="Arial" w:eastAsia="Arial" w:hAnsi="Arial"/>
          <w:sz w:val="17"/>
          <w:szCs w:val="17"/>
          <w:color w:val="003478"/>
        </w:rPr>
      </w:pPr>
      <w:r>
        <w:rPr>
          <w:rFonts w:ascii="Arial" w:cs="Arial" w:eastAsia="Arial" w:hAnsi="Arial"/>
          <w:sz w:val="17"/>
          <w:szCs w:val="17"/>
          <w:color w:val="auto"/>
        </w:rPr>
        <w:t>Increase Executive Successor Pipeline and Leader Readiness</w:t>
      </w:r>
    </w:p>
    <w:p>
      <w:pPr>
        <w:spacing w:after="0" w:line="51" w:lineRule="exact"/>
        <w:rPr>
          <w:rFonts w:ascii="Arial" w:cs="Arial" w:eastAsia="Arial" w:hAnsi="Arial"/>
          <w:sz w:val="17"/>
          <w:szCs w:val="17"/>
          <w:color w:val="003478"/>
        </w:rPr>
      </w:pPr>
    </w:p>
    <w:p>
      <w:pPr>
        <w:ind w:left="300" w:hanging="198"/>
        <w:spacing w:after="0" w:line="288" w:lineRule="auto"/>
        <w:tabs>
          <w:tab w:leader="none" w:pos="273" w:val="left"/>
        </w:tabs>
        <w:numPr>
          <w:ilvl w:val="0"/>
          <w:numId w:val="45"/>
        </w:numPr>
        <w:rPr>
          <w:rFonts w:ascii="Arial" w:cs="Arial" w:eastAsia="Arial" w:hAnsi="Arial"/>
          <w:sz w:val="16"/>
          <w:szCs w:val="16"/>
          <w:color w:val="003478"/>
        </w:rPr>
      </w:pPr>
      <w:r>
        <w:rPr>
          <w:rFonts w:ascii="Arial" w:cs="Arial" w:eastAsia="Arial" w:hAnsi="Arial"/>
          <w:sz w:val="16"/>
          <w:szCs w:val="16"/>
          <w:color w:val="auto"/>
        </w:rPr>
        <w:t>Deliver Agile Employee Development and Competitive Total Rewards Solutions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015"/>
        <w:spacing w:after="0"/>
        <w:rPr>
          <w:sz w:val="20"/>
          <w:szCs w:val="20"/>
          <w:color w:val="auto"/>
        </w:rPr>
      </w:pPr>
      <w:r>
        <w:rPr>
          <w:rFonts w:ascii="Arial" w:cs="Arial" w:eastAsia="Arial" w:hAnsi="Arial"/>
          <w:sz w:val="17"/>
          <w:szCs w:val="17"/>
          <w:color w:val="003478"/>
        </w:rPr>
        <w:t>ADVANCE</w:t>
      </w:r>
    </w:p>
    <w:p>
      <w:pPr>
        <w:spacing w:after="0" w:line="6" w:lineRule="exact"/>
        <w:rPr>
          <w:sz w:val="20"/>
          <w:szCs w:val="20"/>
          <w:color w:val="auto"/>
        </w:rPr>
      </w:pPr>
    </w:p>
    <w:p>
      <w:pPr>
        <w:ind w:left="1015"/>
        <w:spacing w:after="0"/>
        <w:rPr>
          <w:sz w:val="20"/>
          <w:szCs w:val="20"/>
          <w:color w:val="auto"/>
        </w:rPr>
      </w:pPr>
      <w:r>
        <w:rPr>
          <w:rFonts w:ascii="Arial" w:cs="Arial" w:eastAsia="Arial" w:hAnsi="Arial"/>
          <w:sz w:val="17"/>
          <w:szCs w:val="17"/>
          <w:color w:val="003478"/>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203835</wp:posOffset>
            </wp:positionV>
            <wp:extent cx="2261235" cy="14928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261235" cy="1492885"/>
                    </a:xfrm>
                    <a:prstGeom prst="rect">
                      <a:avLst/>
                    </a:prstGeom>
                    <a:noFill/>
                  </pic:spPr>
                </pic:pic>
              </a:graphicData>
            </a:graphic>
          </wp:anchor>
        </w:drawing>
      </w:r>
    </w:p>
    <w:p>
      <w:pPr>
        <w:spacing w:after="0" w:line="397" w:lineRule="exact"/>
        <w:rPr>
          <w:sz w:val="20"/>
          <w:szCs w:val="20"/>
          <w:color w:val="auto"/>
        </w:rPr>
      </w:pPr>
    </w:p>
    <w:p>
      <w:pPr>
        <w:ind w:left="195" w:right="460" w:hanging="195"/>
        <w:spacing w:after="0" w:line="258" w:lineRule="auto"/>
        <w:tabs>
          <w:tab w:leader="none" w:pos="165" w:val="left"/>
        </w:tabs>
        <w:numPr>
          <w:ilvl w:val="0"/>
          <w:numId w:val="46"/>
        </w:numPr>
        <w:rPr>
          <w:rFonts w:ascii="Arial" w:cs="Arial" w:eastAsia="Arial" w:hAnsi="Arial"/>
          <w:sz w:val="16"/>
          <w:szCs w:val="16"/>
          <w:color w:val="003478"/>
        </w:rPr>
      </w:pPr>
      <w:r>
        <w:rPr>
          <w:rFonts w:ascii="Arial" w:cs="Arial" w:eastAsia="Arial" w:hAnsi="Arial"/>
          <w:sz w:val="16"/>
          <w:szCs w:val="16"/>
          <w:color w:val="auto"/>
        </w:rPr>
        <w:t>Modernize Systems to Enable Human Resource Process Transformation</w:t>
      </w:r>
    </w:p>
    <w:p>
      <w:pPr>
        <w:spacing w:after="0" w:line="47" w:lineRule="exact"/>
        <w:rPr>
          <w:rFonts w:ascii="Arial" w:cs="Arial" w:eastAsia="Arial" w:hAnsi="Arial"/>
          <w:sz w:val="16"/>
          <w:szCs w:val="16"/>
          <w:color w:val="003478"/>
        </w:rPr>
      </w:pPr>
    </w:p>
    <w:p>
      <w:pPr>
        <w:ind w:left="195" w:hanging="195"/>
        <w:spacing w:after="0" w:line="258" w:lineRule="auto"/>
        <w:tabs>
          <w:tab w:leader="none" w:pos="165" w:val="left"/>
        </w:tabs>
        <w:numPr>
          <w:ilvl w:val="0"/>
          <w:numId w:val="46"/>
        </w:numPr>
        <w:rPr>
          <w:rFonts w:ascii="Arial" w:cs="Arial" w:eastAsia="Arial" w:hAnsi="Arial"/>
          <w:sz w:val="16"/>
          <w:szCs w:val="16"/>
          <w:color w:val="003478"/>
        </w:rPr>
      </w:pPr>
      <w:r>
        <w:rPr>
          <w:rFonts w:ascii="Arial" w:cs="Arial" w:eastAsia="Arial" w:hAnsi="Arial"/>
          <w:sz w:val="16"/>
          <w:szCs w:val="16"/>
          <w:color w:val="auto"/>
        </w:rPr>
        <w:t>Transform Hiring with Artificial Intelligence and the New Employee Experience Process</w:t>
      </w:r>
    </w:p>
    <w:p>
      <w:pPr>
        <w:spacing w:after="0" w:line="61" w:lineRule="exact"/>
        <w:rPr>
          <w:rFonts w:ascii="Arial" w:cs="Arial" w:eastAsia="Arial" w:hAnsi="Arial"/>
          <w:sz w:val="16"/>
          <w:szCs w:val="16"/>
          <w:color w:val="003478"/>
        </w:rPr>
      </w:pPr>
    </w:p>
    <w:p>
      <w:pPr>
        <w:ind w:left="195" w:right="220" w:hanging="195"/>
        <w:spacing w:after="0" w:line="258" w:lineRule="auto"/>
        <w:tabs>
          <w:tab w:leader="none" w:pos="165" w:val="left"/>
        </w:tabs>
        <w:numPr>
          <w:ilvl w:val="0"/>
          <w:numId w:val="46"/>
        </w:numPr>
        <w:rPr>
          <w:rFonts w:ascii="Arial" w:cs="Arial" w:eastAsia="Arial" w:hAnsi="Arial"/>
          <w:sz w:val="16"/>
          <w:szCs w:val="16"/>
          <w:color w:val="003478"/>
        </w:rPr>
      </w:pPr>
      <w:r>
        <w:rPr>
          <w:rFonts w:ascii="Arial" w:cs="Arial" w:eastAsia="Arial" w:hAnsi="Arial"/>
          <w:sz w:val="16"/>
          <w:szCs w:val="16"/>
          <w:color w:val="auto"/>
        </w:rPr>
        <w:t>Enable People Analytics and Data Driven Solutions</w:t>
      </w:r>
    </w:p>
    <w:p>
      <w:pPr>
        <w:spacing w:after="0" w:line="47" w:lineRule="exact"/>
        <w:rPr>
          <w:rFonts w:ascii="Arial" w:cs="Arial" w:eastAsia="Arial" w:hAnsi="Arial"/>
          <w:sz w:val="16"/>
          <w:szCs w:val="16"/>
          <w:color w:val="003478"/>
        </w:rPr>
      </w:pPr>
    </w:p>
    <w:p>
      <w:pPr>
        <w:ind w:left="195" w:right="220" w:hanging="195"/>
        <w:spacing w:after="0" w:line="291" w:lineRule="auto"/>
        <w:tabs>
          <w:tab w:leader="none" w:pos="165" w:val="left"/>
        </w:tabs>
        <w:numPr>
          <w:ilvl w:val="0"/>
          <w:numId w:val="46"/>
        </w:numPr>
        <w:rPr>
          <w:rFonts w:ascii="Arial" w:cs="Arial" w:eastAsia="Arial" w:hAnsi="Arial"/>
          <w:sz w:val="15"/>
          <w:szCs w:val="15"/>
          <w:color w:val="003478"/>
        </w:rPr>
      </w:pPr>
      <w:r>
        <w:rPr>
          <w:rFonts w:ascii="Arial" w:cs="Arial" w:eastAsia="Arial" w:hAnsi="Arial"/>
          <w:sz w:val="15"/>
          <w:szCs w:val="15"/>
          <w:color w:val="auto"/>
        </w:rPr>
        <w:t>Advance the Secured Collaboration Tools and Facilities for Classified Programs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039"/>
        <w:spacing w:after="0"/>
        <w:rPr>
          <w:sz w:val="20"/>
          <w:szCs w:val="20"/>
          <w:color w:val="auto"/>
        </w:rPr>
      </w:pPr>
      <w:r>
        <w:rPr>
          <w:rFonts w:ascii="Arial" w:cs="Arial" w:eastAsia="Arial" w:hAnsi="Arial"/>
          <w:sz w:val="17"/>
          <w:szCs w:val="17"/>
          <w:color w:val="003478"/>
        </w:rPr>
        <w:t>OPTIMIZE</w:t>
      </w:r>
    </w:p>
    <w:p>
      <w:pPr>
        <w:spacing w:after="0" w:line="6" w:lineRule="exact"/>
        <w:rPr>
          <w:sz w:val="20"/>
          <w:szCs w:val="20"/>
          <w:color w:val="auto"/>
        </w:rPr>
      </w:pPr>
    </w:p>
    <w:p>
      <w:pPr>
        <w:ind w:left="1039"/>
        <w:spacing w:after="0"/>
        <w:rPr>
          <w:sz w:val="20"/>
          <w:szCs w:val="20"/>
          <w:color w:val="auto"/>
        </w:rPr>
      </w:pPr>
      <w:r>
        <w:rPr>
          <w:rFonts w:ascii="Arial" w:cs="Arial" w:eastAsia="Arial" w:hAnsi="Arial"/>
          <w:sz w:val="17"/>
          <w:szCs w:val="17"/>
          <w:color w:val="003478"/>
        </w:rPr>
        <w:t>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203835</wp:posOffset>
            </wp:positionV>
            <wp:extent cx="2269490" cy="14928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269490" cy="1492885"/>
                    </a:xfrm>
                    <a:prstGeom prst="rect">
                      <a:avLst/>
                    </a:prstGeom>
                    <a:noFill/>
                  </pic:spPr>
                </pic:pic>
              </a:graphicData>
            </a:graphic>
          </wp:anchor>
        </w:drawing>
      </w:r>
    </w:p>
    <w:p>
      <w:pPr>
        <w:spacing w:after="0" w:line="397" w:lineRule="exact"/>
        <w:rPr>
          <w:sz w:val="20"/>
          <w:szCs w:val="20"/>
          <w:color w:val="auto"/>
        </w:rPr>
      </w:pPr>
    </w:p>
    <w:p>
      <w:pPr>
        <w:ind w:left="199" w:right="180" w:hanging="199"/>
        <w:spacing w:after="0" w:line="258" w:lineRule="auto"/>
        <w:tabs>
          <w:tab w:leader="none" w:pos="169" w:val="left"/>
        </w:tabs>
        <w:numPr>
          <w:ilvl w:val="0"/>
          <w:numId w:val="47"/>
        </w:numPr>
        <w:rPr>
          <w:rFonts w:ascii="Arial" w:cs="Arial" w:eastAsia="Arial" w:hAnsi="Arial"/>
          <w:sz w:val="16"/>
          <w:szCs w:val="16"/>
          <w:color w:val="003478"/>
        </w:rPr>
      </w:pPr>
      <w:r>
        <w:rPr>
          <w:rFonts w:ascii="Arial" w:cs="Arial" w:eastAsia="Arial" w:hAnsi="Arial"/>
          <w:sz w:val="16"/>
          <w:szCs w:val="16"/>
          <w:color w:val="auto"/>
        </w:rPr>
        <w:t>Strengthen Inclusive Engagement, Diversity and Belonging</w:t>
      </w:r>
    </w:p>
    <w:p>
      <w:pPr>
        <w:spacing w:after="0" w:line="47" w:lineRule="exact"/>
        <w:rPr>
          <w:rFonts w:ascii="Arial" w:cs="Arial" w:eastAsia="Arial" w:hAnsi="Arial"/>
          <w:sz w:val="16"/>
          <w:szCs w:val="16"/>
          <w:color w:val="003478"/>
        </w:rPr>
      </w:pPr>
    </w:p>
    <w:p>
      <w:pPr>
        <w:ind w:left="199" w:right="180" w:hanging="199"/>
        <w:spacing w:after="0" w:line="251" w:lineRule="auto"/>
        <w:tabs>
          <w:tab w:leader="none" w:pos="169" w:val="left"/>
        </w:tabs>
        <w:numPr>
          <w:ilvl w:val="0"/>
          <w:numId w:val="47"/>
        </w:numPr>
        <w:rPr>
          <w:rFonts w:ascii="Arial" w:cs="Arial" w:eastAsia="Arial" w:hAnsi="Arial"/>
          <w:sz w:val="16"/>
          <w:szCs w:val="16"/>
          <w:color w:val="003478"/>
        </w:rPr>
      </w:pPr>
      <w:r>
        <w:rPr>
          <w:rFonts w:ascii="Arial" w:cs="Arial" w:eastAsia="Arial" w:hAnsi="Arial"/>
          <w:sz w:val="16"/>
          <w:szCs w:val="16"/>
          <w:color w:val="auto"/>
        </w:rPr>
        <w:t>LMForward the Workplace (a multi-faceted initiative for long-term work solutions for the future)</w:t>
      </w:r>
    </w:p>
    <w:p>
      <w:pPr>
        <w:spacing w:after="0" w:line="67" w:lineRule="exact"/>
        <w:rPr>
          <w:rFonts w:ascii="Arial" w:cs="Arial" w:eastAsia="Arial" w:hAnsi="Arial"/>
          <w:sz w:val="16"/>
          <w:szCs w:val="16"/>
          <w:color w:val="003478"/>
        </w:rPr>
      </w:pPr>
    </w:p>
    <w:p>
      <w:pPr>
        <w:ind w:left="199" w:right="620" w:hanging="199"/>
        <w:spacing w:after="0" w:line="258" w:lineRule="auto"/>
        <w:tabs>
          <w:tab w:leader="none" w:pos="169" w:val="left"/>
        </w:tabs>
        <w:numPr>
          <w:ilvl w:val="0"/>
          <w:numId w:val="47"/>
        </w:numPr>
        <w:rPr>
          <w:rFonts w:ascii="Arial" w:cs="Arial" w:eastAsia="Arial" w:hAnsi="Arial"/>
          <w:sz w:val="16"/>
          <w:szCs w:val="16"/>
          <w:color w:val="003478"/>
        </w:rPr>
      </w:pPr>
      <w:r>
        <w:rPr>
          <w:rFonts w:ascii="Arial" w:cs="Arial" w:eastAsia="Arial" w:hAnsi="Arial"/>
          <w:sz w:val="16"/>
          <w:szCs w:val="16"/>
          <w:color w:val="auto"/>
        </w:rPr>
        <w:t>Drive Process Cost Efficiency to Meet Business Needs</w:t>
      </w:r>
    </w:p>
    <w:p>
      <w:pPr>
        <w:spacing w:after="0" w:line="47" w:lineRule="exact"/>
        <w:rPr>
          <w:rFonts w:ascii="Arial" w:cs="Arial" w:eastAsia="Arial" w:hAnsi="Arial"/>
          <w:sz w:val="16"/>
          <w:szCs w:val="16"/>
          <w:color w:val="003478"/>
        </w:rPr>
      </w:pPr>
    </w:p>
    <w:p>
      <w:pPr>
        <w:ind w:left="199" w:right="100" w:hanging="199"/>
        <w:spacing w:after="0" w:line="251" w:lineRule="auto"/>
        <w:tabs>
          <w:tab w:leader="none" w:pos="169" w:val="left"/>
        </w:tabs>
        <w:numPr>
          <w:ilvl w:val="0"/>
          <w:numId w:val="47"/>
        </w:numPr>
        <w:rPr>
          <w:rFonts w:ascii="Arial" w:cs="Arial" w:eastAsia="Arial" w:hAnsi="Arial"/>
          <w:sz w:val="16"/>
          <w:szCs w:val="16"/>
          <w:color w:val="003478"/>
        </w:rPr>
      </w:pPr>
      <w:r>
        <w:rPr>
          <w:rFonts w:ascii="Arial" w:cs="Arial" w:eastAsia="Arial" w:hAnsi="Arial"/>
          <w:sz w:val="16"/>
          <w:szCs w:val="16"/>
          <w:color w:val="auto"/>
        </w:rPr>
        <w:t>Utilize multi-media employee communications to reinforce mission, culture and retention</w:t>
      </w:r>
    </w:p>
    <w:p>
      <w:pPr>
        <w:spacing w:after="0" w:line="200" w:lineRule="exact"/>
        <w:rPr>
          <w:sz w:val="20"/>
          <w:szCs w:val="20"/>
          <w:color w:val="auto"/>
        </w:rPr>
      </w:pPr>
    </w:p>
    <w:p>
      <w:pPr>
        <w:sectPr>
          <w:pgSz w:w="11900" w:h="16838" w:orient="portrait"/>
          <w:cols w:equalWidth="0" w:num="3">
            <w:col w:w="3400" w:space="505"/>
            <w:col w:w="3335" w:space="521"/>
            <w:col w:w="3479"/>
          </w:cols>
          <w:pgMar w:left="320" w:top="25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24</w:t>
      </w:r>
    </w:p>
    <w:p>
      <w:pPr>
        <w:sectPr>
          <w:pgSz w:w="11900" w:h="16838" w:orient="portrait"/>
          <w:cols w:equalWidth="0" w:num="1">
            <w:col w:w="11240"/>
          </w:cols>
          <w:pgMar w:left="320" w:top="254" w:right="339" w:bottom="1440" w:gutter="0" w:footer="0" w:header="0"/>
          <w:type w:val="continuous"/>
        </w:sectPr>
      </w:pPr>
    </w:p>
    <w:bookmarkStart w:id="30" w:name="page31"/>
    <w:bookmarkEnd w:id="30"/>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1"/>
          <w:szCs w:val="21"/>
          <w:color w:val="818EB4"/>
        </w:rPr>
        <w:t>Workforce Diversity and Inclusion</w:t>
      </w:r>
    </w:p>
    <w:p>
      <w:pPr>
        <w:spacing w:after="0" w:line="104"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 xml:space="preserve">At Lockheed Martin, diversity and inclusion (D&amp;I) is foundational to our culture and reflects our core values to – </w:t>
      </w:r>
      <w:r>
        <w:rPr>
          <w:rFonts w:ascii="Arial" w:cs="Arial" w:eastAsia="Arial" w:hAnsi="Arial"/>
          <w:sz w:val="17"/>
          <w:szCs w:val="17"/>
          <w:i w:val="1"/>
          <w:iCs w:val="1"/>
          <w:color w:val="auto"/>
        </w:rPr>
        <w:t>Do What’s Right, Respect Others,</w:t>
      </w:r>
      <w:r>
        <w:rPr>
          <w:rFonts w:ascii="Arial" w:cs="Arial" w:eastAsia="Arial" w:hAnsi="Arial"/>
          <w:sz w:val="17"/>
          <w:szCs w:val="17"/>
          <w:color w:val="auto"/>
        </w:rPr>
        <w:t xml:space="preserve"> </w:t>
      </w:r>
      <w:r>
        <w:rPr>
          <w:rFonts w:ascii="Arial" w:cs="Arial" w:eastAsia="Arial" w:hAnsi="Arial"/>
          <w:sz w:val="17"/>
          <w:szCs w:val="17"/>
          <w:i w:val="1"/>
          <w:iCs w:val="1"/>
          <w:color w:val="auto"/>
        </w:rPr>
        <w:t>and Perform with Excellence</w:t>
      </w:r>
      <w:r>
        <w:rPr>
          <w:rFonts w:ascii="Arial" w:cs="Arial" w:eastAsia="Arial" w:hAnsi="Arial"/>
          <w:sz w:val="17"/>
          <w:szCs w:val="17"/>
          <w:color w:val="auto"/>
        </w:rPr>
        <w:t>. To actively attract, develop, and retain a diverse workforce and evolve our inclusive culture, we support a robust D&amp;I</w:t>
      </w:r>
      <w:r>
        <w:rPr>
          <w:rFonts w:ascii="Arial" w:cs="Arial" w:eastAsia="Arial" w:hAnsi="Arial"/>
          <w:sz w:val="17"/>
          <w:szCs w:val="17"/>
          <w:i w:val="1"/>
          <w:iCs w:val="1"/>
          <w:color w:val="auto"/>
        </w:rPr>
        <w:t xml:space="preserve"> </w:t>
      </w:r>
      <w:r>
        <w:rPr>
          <w:rFonts w:ascii="Arial" w:cs="Arial" w:eastAsia="Arial" w:hAnsi="Arial"/>
          <w:sz w:val="17"/>
          <w:szCs w:val="17"/>
          <w:color w:val="auto"/>
        </w:rPr>
        <w:t>enterprise strategy, provide tailored education and engagement programs, and maintain dedicated resources in all our Business Areas, domestically and internationally.</w:t>
      </w:r>
    </w:p>
    <w:p>
      <w:pPr>
        <w:spacing w:after="0" w:line="93"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Our Business Resource Groups (BRG) continue to be a strategic enabler of our D&amp;I strategy. Our BRGs are voluntary, employee-led groups that are open to all employees while focusing on workplace issues specific to racial/ethnic, gender, sexual orientation/gender identity, disability or veteran status. The BRGs foster a diverse and inclusive workplace aligned with our organizational mission, values, goals and business practices and drive awareness and change within our organization. Our commitment to the BRG program is demonstrated through our assignment of executive sponsors, our investments in programming, and the formal policies and management we have established to support their governance.</w:t>
      </w:r>
    </w:p>
    <w:p>
      <w:pPr>
        <w:spacing w:after="0" w:line="99" w:lineRule="exact"/>
        <w:rPr>
          <w:sz w:val="20"/>
          <w:szCs w:val="20"/>
          <w:color w:val="auto"/>
        </w:rPr>
      </w:pPr>
    </w:p>
    <w:p>
      <w:pPr>
        <w:jc w:val="both"/>
        <w:ind w:right="280"/>
        <w:spacing w:after="0" w:line="269" w:lineRule="auto"/>
        <w:rPr>
          <w:sz w:val="20"/>
          <w:szCs w:val="20"/>
          <w:color w:val="auto"/>
        </w:rPr>
      </w:pPr>
      <w:r>
        <w:rPr>
          <w:rFonts w:ascii="Arial" w:cs="Arial" w:eastAsia="Arial" w:hAnsi="Arial"/>
          <w:sz w:val="17"/>
          <w:szCs w:val="17"/>
          <w:color w:val="auto"/>
        </w:rPr>
        <w:t>We also strive to be inclusive in our recruitment process by working to attract and create pathways for diverse talent by partnering with Historically Black Colleges and Universities (HBCUs) and Minority Serving Institutions (MSIs), strengthening STEM pipelines and providing our recruiters with tools to recruit inclusively and equitably.</w:t>
      </w:r>
    </w:p>
    <w:p>
      <w:pPr>
        <w:spacing w:after="0" w:line="95" w:lineRule="exact"/>
        <w:rPr>
          <w:sz w:val="20"/>
          <w:szCs w:val="20"/>
          <w:color w:val="auto"/>
        </w:rPr>
      </w:pPr>
    </w:p>
    <w:p>
      <w:pPr>
        <w:jc w:val="both"/>
        <w:ind w:right="120"/>
        <w:spacing w:after="0" w:line="269" w:lineRule="auto"/>
        <w:rPr>
          <w:sz w:val="20"/>
          <w:szCs w:val="20"/>
          <w:color w:val="auto"/>
        </w:rPr>
      </w:pPr>
      <w:r>
        <w:rPr>
          <w:rFonts w:ascii="Arial" w:cs="Arial" w:eastAsia="Arial" w:hAnsi="Arial"/>
          <w:sz w:val="17"/>
          <w:szCs w:val="17"/>
          <w:color w:val="auto"/>
        </w:rPr>
        <w:t>Through these and other focused efforts, we have improved the diversity of our overall U.S. workforce and within leadership positions, specifically in the representation of women, people of color and people with disabilities. Additionally, our representation of veterans remains outstanding, at almost four times the current annual national percentage of veterans in the civilian workforce.</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Employee Profile (as of December 31,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940" w:type="dxa"/>
            <w:vAlign w:val="bottom"/>
          </w:tcPr>
          <w:p>
            <w:pPr>
              <w:spacing w:after="0"/>
              <w:rPr>
                <w:sz w:val="24"/>
                <w:szCs w:val="24"/>
                <w:color w:val="auto"/>
              </w:rPr>
            </w:pPr>
          </w:p>
        </w:tc>
        <w:tc>
          <w:tcPr>
            <w:tcW w:w="2280" w:type="dxa"/>
            <w:vAlign w:val="bottom"/>
          </w:tcPr>
          <w:p>
            <w:pPr>
              <w:jc w:val="center"/>
              <w:ind w:left="275"/>
              <w:spacing w:after="0"/>
              <w:rPr>
                <w:sz w:val="20"/>
                <w:szCs w:val="20"/>
                <w:color w:val="auto"/>
              </w:rPr>
            </w:pPr>
            <w:r>
              <w:rPr>
                <w:rFonts w:ascii="Arial" w:cs="Arial" w:eastAsia="Arial" w:hAnsi="Arial"/>
                <w:sz w:val="17"/>
                <w:szCs w:val="17"/>
                <w:color w:val="auto"/>
                <w:w w:val="94"/>
              </w:rPr>
              <w:t>Women</w:t>
            </w:r>
            <w:r>
              <w:rPr>
                <w:rFonts w:ascii="Arial" w:cs="Arial" w:eastAsia="Arial" w:hAnsi="Arial"/>
                <w:sz w:val="22"/>
                <w:szCs w:val="22"/>
                <w:color w:val="auto"/>
                <w:w w:val="94"/>
                <w:vertAlign w:val="superscript"/>
              </w:rPr>
              <w:t>(a)</w:t>
            </w:r>
          </w:p>
        </w:tc>
        <w:tc>
          <w:tcPr>
            <w:tcW w:w="2480" w:type="dxa"/>
            <w:vAlign w:val="bottom"/>
          </w:tcPr>
          <w:p>
            <w:pPr>
              <w:jc w:val="center"/>
              <w:spacing w:after="0"/>
              <w:rPr>
                <w:sz w:val="20"/>
                <w:szCs w:val="20"/>
                <w:color w:val="auto"/>
              </w:rPr>
            </w:pPr>
            <w:r>
              <w:rPr>
                <w:rFonts w:ascii="Arial" w:cs="Arial" w:eastAsia="Arial" w:hAnsi="Arial"/>
                <w:sz w:val="17"/>
                <w:szCs w:val="17"/>
                <w:color w:val="auto"/>
                <w:w w:val="96"/>
              </w:rPr>
              <w:t>People of Color</w:t>
            </w:r>
            <w:r>
              <w:rPr>
                <w:rFonts w:ascii="Arial" w:cs="Arial" w:eastAsia="Arial" w:hAnsi="Arial"/>
                <w:sz w:val="22"/>
                <w:szCs w:val="22"/>
                <w:color w:val="auto"/>
                <w:w w:val="96"/>
                <w:vertAlign w:val="superscript"/>
              </w:rPr>
              <w:t>(a)</w:t>
            </w:r>
          </w:p>
        </w:tc>
        <w:tc>
          <w:tcPr>
            <w:tcW w:w="1900" w:type="dxa"/>
            <w:vAlign w:val="bottom"/>
          </w:tcPr>
          <w:p>
            <w:pPr>
              <w:jc w:val="center"/>
              <w:spacing w:after="0"/>
              <w:rPr>
                <w:sz w:val="20"/>
                <w:szCs w:val="20"/>
                <w:color w:val="auto"/>
              </w:rPr>
            </w:pPr>
            <w:r>
              <w:rPr>
                <w:rFonts w:ascii="Arial" w:cs="Arial" w:eastAsia="Arial" w:hAnsi="Arial"/>
                <w:sz w:val="17"/>
                <w:szCs w:val="17"/>
                <w:color w:val="auto"/>
                <w:w w:val="93"/>
              </w:rPr>
              <w:t>Veterans</w:t>
            </w:r>
            <w:r>
              <w:rPr>
                <w:rFonts w:ascii="Arial" w:cs="Arial" w:eastAsia="Arial" w:hAnsi="Arial"/>
                <w:sz w:val="22"/>
                <w:szCs w:val="22"/>
                <w:color w:val="auto"/>
                <w:w w:val="93"/>
                <w:vertAlign w:val="superscript"/>
              </w:rPr>
              <w:t>(a)</w:t>
            </w:r>
          </w:p>
        </w:tc>
        <w:tc>
          <w:tcPr>
            <w:tcW w:w="2640" w:type="dxa"/>
            <w:vAlign w:val="bottom"/>
          </w:tcPr>
          <w:p>
            <w:pPr>
              <w:jc w:val="center"/>
              <w:ind w:left="155"/>
              <w:spacing w:after="0"/>
              <w:rPr>
                <w:sz w:val="20"/>
                <w:szCs w:val="20"/>
                <w:color w:val="auto"/>
              </w:rPr>
            </w:pPr>
            <w:r>
              <w:rPr>
                <w:rFonts w:ascii="Arial" w:cs="Arial" w:eastAsia="Arial" w:hAnsi="Arial"/>
                <w:sz w:val="17"/>
                <w:szCs w:val="17"/>
                <w:color w:val="auto"/>
                <w:w w:val="98"/>
              </w:rPr>
              <w:t>People with Disabilities</w:t>
            </w:r>
            <w:r>
              <w:rPr>
                <w:rFonts w:ascii="Arial" w:cs="Arial" w:eastAsia="Arial" w:hAnsi="Arial"/>
                <w:sz w:val="22"/>
                <w:szCs w:val="22"/>
                <w:color w:val="auto"/>
                <w:w w:val="98"/>
                <w:vertAlign w:val="superscript"/>
              </w:rPr>
              <w:t>(a)</w:t>
            </w:r>
          </w:p>
        </w:tc>
        <w:tc>
          <w:tcPr>
            <w:tcW w:w="0" w:type="dxa"/>
            <w:vAlign w:val="bottom"/>
          </w:tcPr>
          <w:p>
            <w:pPr>
              <w:spacing w:after="0"/>
              <w:rPr>
                <w:sz w:val="1"/>
                <w:szCs w:val="1"/>
                <w:color w:val="auto"/>
              </w:rPr>
            </w:pPr>
          </w:p>
        </w:tc>
      </w:tr>
      <w:tr>
        <w:trPr>
          <w:trHeight w:val="60"/>
        </w:trPr>
        <w:tc>
          <w:tcPr>
            <w:tcW w:w="1940" w:type="dxa"/>
            <w:vAlign w:val="bottom"/>
            <w:tcBorders>
              <w:bottom w:val="single" w:sz="8" w:color="002E60"/>
            </w:tcBorders>
          </w:tcPr>
          <w:p>
            <w:pPr>
              <w:spacing w:after="0"/>
              <w:rPr>
                <w:sz w:val="5"/>
                <w:szCs w:val="5"/>
                <w:color w:val="auto"/>
              </w:rPr>
            </w:pPr>
          </w:p>
        </w:tc>
        <w:tc>
          <w:tcPr>
            <w:tcW w:w="2280" w:type="dxa"/>
            <w:vAlign w:val="bottom"/>
            <w:tcBorders>
              <w:bottom w:val="single" w:sz="8" w:color="002E60"/>
            </w:tcBorders>
          </w:tcPr>
          <w:p>
            <w:pPr>
              <w:spacing w:after="0"/>
              <w:rPr>
                <w:sz w:val="5"/>
                <w:szCs w:val="5"/>
                <w:color w:val="auto"/>
              </w:rPr>
            </w:pPr>
          </w:p>
        </w:tc>
        <w:tc>
          <w:tcPr>
            <w:tcW w:w="2480" w:type="dxa"/>
            <w:vAlign w:val="bottom"/>
            <w:tcBorders>
              <w:bottom w:val="single" w:sz="8" w:color="002E60"/>
            </w:tcBorders>
          </w:tcPr>
          <w:p>
            <w:pPr>
              <w:spacing w:after="0"/>
              <w:rPr>
                <w:sz w:val="5"/>
                <w:szCs w:val="5"/>
                <w:color w:val="auto"/>
              </w:rPr>
            </w:pPr>
          </w:p>
        </w:tc>
        <w:tc>
          <w:tcPr>
            <w:tcW w:w="1900" w:type="dxa"/>
            <w:vAlign w:val="bottom"/>
            <w:tcBorders>
              <w:bottom w:val="single" w:sz="8" w:color="002E60"/>
            </w:tcBorders>
          </w:tcPr>
          <w:p>
            <w:pPr>
              <w:spacing w:after="0"/>
              <w:rPr>
                <w:sz w:val="5"/>
                <w:szCs w:val="5"/>
                <w:color w:val="auto"/>
              </w:rPr>
            </w:pPr>
          </w:p>
        </w:tc>
        <w:tc>
          <w:tcPr>
            <w:tcW w:w="2640" w:type="dxa"/>
            <w:vAlign w:val="bottom"/>
            <w:tcBorders>
              <w:bottom w:val="single" w:sz="8" w:color="002E60"/>
            </w:tcBorders>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1940" w:type="dxa"/>
            <w:vAlign w:val="bottom"/>
            <w:tcBorders>
              <w:bottom w:val="single" w:sz="8" w:color="9D9D9C"/>
            </w:tcBorders>
            <w:shd w:val="clear" w:color="auto" w:fill="E5E7EF"/>
          </w:tcPr>
          <w:p>
            <w:pPr>
              <w:ind w:left="20"/>
              <w:spacing w:after="0"/>
              <w:rPr>
                <w:sz w:val="20"/>
                <w:szCs w:val="20"/>
                <w:color w:val="auto"/>
              </w:rPr>
            </w:pPr>
            <w:r>
              <w:rPr>
                <w:rFonts w:ascii="Arial" w:cs="Arial" w:eastAsia="Arial" w:hAnsi="Arial"/>
                <w:sz w:val="17"/>
                <w:szCs w:val="17"/>
                <w:color w:val="auto"/>
              </w:rPr>
              <w:t>Overall</w:t>
            </w:r>
          </w:p>
        </w:tc>
        <w:tc>
          <w:tcPr>
            <w:tcW w:w="2280" w:type="dxa"/>
            <w:vAlign w:val="bottom"/>
            <w:tcBorders>
              <w:bottom w:val="single" w:sz="8" w:color="9D9D9C"/>
            </w:tcBorders>
            <w:shd w:val="clear" w:color="auto" w:fill="E5E7EF"/>
          </w:tcPr>
          <w:p>
            <w:pPr>
              <w:jc w:val="center"/>
              <w:ind w:left="295"/>
              <w:spacing w:after="0"/>
              <w:rPr>
                <w:sz w:val="20"/>
                <w:szCs w:val="20"/>
                <w:color w:val="auto"/>
              </w:rPr>
            </w:pPr>
            <w:r>
              <w:rPr>
                <w:rFonts w:ascii="Arial" w:cs="Arial" w:eastAsia="Arial" w:hAnsi="Arial"/>
                <w:sz w:val="17"/>
                <w:szCs w:val="17"/>
                <w:color w:val="auto"/>
                <w:w w:val="99"/>
              </w:rPr>
              <w:t>23%</w:t>
            </w:r>
          </w:p>
        </w:tc>
        <w:tc>
          <w:tcPr>
            <w:tcW w:w="2480" w:type="dxa"/>
            <w:vAlign w:val="bottom"/>
            <w:tcBorders>
              <w:bottom w:val="single" w:sz="8" w:color="9D9D9C"/>
            </w:tcBorders>
            <w:shd w:val="clear" w:color="auto" w:fill="E5E7EF"/>
          </w:tcPr>
          <w:p>
            <w:pPr>
              <w:jc w:val="center"/>
              <w:spacing w:after="0"/>
              <w:rPr>
                <w:sz w:val="20"/>
                <w:szCs w:val="20"/>
                <w:color w:val="auto"/>
              </w:rPr>
            </w:pPr>
            <w:r>
              <w:rPr>
                <w:rFonts w:ascii="Arial" w:cs="Arial" w:eastAsia="Arial" w:hAnsi="Arial"/>
                <w:sz w:val="17"/>
                <w:szCs w:val="17"/>
                <w:color w:val="auto"/>
                <w:w w:val="99"/>
              </w:rPr>
              <w:t>29%</w:t>
            </w:r>
          </w:p>
        </w:tc>
        <w:tc>
          <w:tcPr>
            <w:tcW w:w="1900" w:type="dxa"/>
            <w:vAlign w:val="bottom"/>
            <w:tcBorders>
              <w:bottom w:val="single" w:sz="8" w:color="9D9D9C"/>
            </w:tcBorders>
            <w:shd w:val="clear" w:color="auto" w:fill="E5E7EF"/>
          </w:tcPr>
          <w:p>
            <w:pPr>
              <w:jc w:val="center"/>
              <w:spacing w:after="0"/>
              <w:rPr>
                <w:sz w:val="20"/>
                <w:szCs w:val="20"/>
                <w:color w:val="auto"/>
              </w:rPr>
            </w:pPr>
            <w:r>
              <w:rPr>
                <w:rFonts w:ascii="Arial" w:cs="Arial" w:eastAsia="Arial" w:hAnsi="Arial"/>
                <w:sz w:val="17"/>
                <w:szCs w:val="17"/>
                <w:color w:val="auto"/>
                <w:w w:val="99"/>
              </w:rPr>
              <w:t>21%</w:t>
            </w:r>
          </w:p>
        </w:tc>
        <w:tc>
          <w:tcPr>
            <w:tcW w:w="2640" w:type="dxa"/>
            <w:vAlign w:val="bottom"/>
            <w:tcBorders>
              <w:bottom w:val="single" w:sz="8" w:color="9D9D9C"/>
            </w:tcBorders>
            <w:shd w:val="clear" w:color="auto" w:fill="E5E7EF"/>
          </w:tcPr>
          <w:p>
            <w:pPr>
              <w:jc w:val="center"/>
              <w:ind w:left="135"/>
              <w:spacing w:after="0"/>
              <w:rPr>
                <w:sz w:val="20"/>
                <w:szCs w:val="20"/>
                <w:color w:val="auto"/>
              </w:rPr>
            </w:pPr>
            <w:r>
              <w:rPr>
                <w:rFonts w:ascii="Arial" w:cs="Arial" w:eastAsia="Arial" w:hAnsi="Arial"/>
                <w:sz w:val="17"/>
                <w:szCs w:val="17"/>
                <w:color w:val="auto"/>
                <w:w w:val="99"/>
              </w:rPr>
              <w:t>10%</w:t>
            </w:r>
          </w:p>
        </w:tc>
        <w:tc>
          <w:tcPr>
            <w:tcW w:w="0" w:type="dxa"/>
            <w:vAlign w:val="bottom"/>
          </w:tcPr>
          <w:p>
            <w:pPr>
              <w:spacing w:after="0"/>
              <w:rPr>
                <w:sz w:val="1"/>
                <w:szCs w:val="1"/>
                <w:color w:val="auto"/>
              </w:rPr>
            </w:pPr>
          </w:p>
        </w:tc>
      </w:tr>
      <w:tr>
        <w:trPr>
          <w:trHeight w:val="406"/>
        </w:trPr>
        <w:tc>
          <w:tcPr>
            <w:tcW w:w="1940" w:type="dxa"/>
            <w:vAlign w:val="bottom"/>
          </w:tcPr>
          <w:p>
            <w:pPr>
              <w:ind w:left="20"/>
              <w:spacing w:after="0"/>
              <w:rPr>
                <w:sz w:val="20"/>
                <w:szCs w:val="20"/>
                <w:color w:val="auto"/>
              </w:rPr>
            </w:pPr>
            <w:r>
              <w:rPr>
                <w:rFonts w:ascii="Arial" w:cs="Arial" w:eastAsia="Arial" w:hAnsi="Arial"/>
                <w:sz w:val="17"/>
                <w:szCs w:val="17"/>
                <w:color w:val="auto"/>
              </w:rPr>
              <w:t>Executives</w:t>
            </w:r>
            <w:r>
              <w:rPr>
                <w:rFonts w:ascii="Arial" w:cs="Arial" w:eastAsia="Arial" w:hAnsi="Arial"/>
                <w:sz w:val="22"/>
                <w:szCs w:val="22"/>
                <w:color w:val="auto"/>
                <w:vertAlign w:val="superscript"/>
              </w:rPr>
              <w:t>(b)</w:t>
            </w:r>
          </w:p>
        </w:tc>
        <w:tc>
          <w:tcPr>
            <w:tcW w:w="2280" w:type="dxa"/>
            <w:vAlign w:val="bottom"/>
            <w:vMerge w:val="restart"/>
          </w:tcPr>
          <w:p>
            <w:pPr>
              <w:jc w:val="center"/>
              <w:ind w:left="295"/>
              <w:spacing w:after="0"/>
              <w:rPr>
                <w:sz w:val="20"/>
                <w:szCs w:val="20"/>
                <w:color w:val="auto"/>
              </w:rPr>
            </w:pPr>
            <w:r>
              <w:rPr>
                <w:rFonts w:ascii="Arial" w:cs="Arial" w:eastAsia="Arial" w:hAnsi="Arial"/>
                <w:sz w:val="17"/>
                <w:szCs w:val="17"/>
                <w:color w:val="auto"/>
                <w:w w:val="99"/>
              </w:rPr>
              <w:t>23%</w:t>
            </w:r>
          </w:p>
        </w:tc>
        <w:tc>
          <w:tcPr>
            <w:tcW w:w="2480" w:type="dxa"/>
            <w:vAlign w:val="bottom"/>
            <w:vMerge w:val="restart"/>
          </w:tcPr>
          <w:p>
            <w:pPr>
              <w:jc w:val="center"/>
              <w:spacing w:after="0"/>
              <w:rPr>
                <w:sz w:val="20"/>
                <w:szCs w:val="20"/>
                <w:color w:val="auto"/>
              </w:rPr>
            </w:pPr>
            <w:r>
              <w:rPr>
                <w:rFonts w:ascii="Arial" w:cs="Arial" w:eastAsia="Arial" w:hAnsi="Arial"/>
                <w:sz w:val="17"/>
                <w:szCs w:val="17"/>
                <w:color w:val="auto"/>
                <w:w w:val="99"/>
              </w:rPr>
              <w:t>15%</w:t>
            </w:r>
          </w:p>
        </w:tc>
        <w:tc>
          <w:tcPr>
            <w:tcW w:w="1900" w:type="dxa"/>
            <w:vAlign w:val="bottom"/>
            <w:vMerge w:val="restart"/>
          </w:tcPr>
          <w:p>
            <w:pPr>
              <w:jc w:val="center"/>
              <w:spacing w:after="0"/>
              <w:rPr>
                <w:sz w:val="20"/>
                <w:szCs w:val="20"/>
                <w:color w:val="auto"/>
              </w:rPr>
            </w:pPr>
            <w:r>
              <w:rPr>
                <w:rFonts w:ascii="Arial" w:cs="Arial" w:eastAsia="Arial" w:hAnsi="Arial"/>
                <w:sz w:val="17"/>
                <w:szCs w:val="17"/>
                <w:color w:val="auto"/>
                <w:w w:val="99"/>
              </w:rPr>
              <w:t>20%</w:t>
            </w:r>
          </w:p>
        </w:tc>
        <w:tc>
          <w:tcPr>
            <w:tcW w:w="2640" w:type="dxa"/>
            <w:vAlign w:val="bottom"/>
            <w:vMerge w:val="restart"/>
          </w:tcPr>
          <w:p>
            <w:pPr>
              <w:jc w:val="center"/>
              <w:ind w:left="135"/>
              <w:spacing w:after="0"/>
              <w:rPr>
                <w:sz w:val="20"/>
                <w:szCs w:val="20"/>
                <w:color w:val="auto"/>
              </w:rPr>
            </w:pPr>
            <w:r>
              <w:rPr>
                <w:rFonts w:ascii="Arial" w:cs="Arial" w:eastAsia="Arial" w:hAnsi="Arial"/>
                <w:sz w:val="17"/>
                <w:szCs w:val="17"/>
                <w:color w:val="auto"/>
                <w:w w:val="99"/>
              </w:rPr>
              <w:t>11%</w:t>
            </w:r>
          </w:p>
        </w:tc>
        <w:tc>
          <w:tcPr>
            <w:tcW w:w="0" w:type="dxa"/>
            <w:vAlign w:val="bottom"/>
          </w:tcPr>
          <w:p>
            <w:pPr>
              <w:spacing w:after="0"/>
              <w:rPr>
                <w:sz w:val="1"/>
                <w:szCs w:val="1"/>
                <w:color w:val="auto"/>
              </w:rPr>
            </w:pPr>
          </w:p>
        </w:tc>
      </w:tr>
      <w:tr>
        <w:trPr>
          <w:trHeight w:val="56"/>
        </w:trPr>
        <w:tc>
          <w:tcPr>
            <w:tcW w:w="1940" w:type="dxa"/>
            <w:vAlign w:val="bottom"/>
          </w:tcPr>
          <w:p>
            <w:pPr>
              <w:spacing w:after="0"/>
              <w:rPr>
                <w:sz w:val="4"/>
                <w:szCs w:val="4"/>
                <w:color w:val="auto"/>
              </w:rPr>
            </w:pPr>
          </w:p>
        </w:tc>
        <w:tc>
          <w:tcPr>
            <w:tcW w:w="2280" w:type="dxa"/>
            <w:vAlign w:val="bottom"/>
            <w:vMerge w:val="continue"/>
          </w:tcPr>
          <w:p>
            <w:pPr>
              <w:spacing w:after="0"/>
              <w:rPr>
                <w:sz w:val="4"/>
                <w:szCs w:val="4"/>
                <w:color w:val="auto"/>
              </w:rPr>
            </w:pPr>
          </w:p>
        </w:tc>
        <w:tc>
          <w:tcPr>
            <w:tcW w:w="2480" w:type="dxa"/>
            <w:vAlign w:val="bottom"/>
            <w:vMerge w:val="continue"/>
          </w:tcPr>
          <w:p>
            <w:pPr>
              <w:spacing w:after="0"/>
              <w:rPr>
                <w:sz w:val="4"/>
                <w:szCs w:val="4"/>
                <w:color w:val="auto"/>
              </w:rPr>
            </w:pPr>
          </w:p>
        </w:tc>
        <w:tc>
          <w:tcPr>
            <w:tcW w:w="1900" w:type="dxa"/>
            <w:vAlign w:val="bottom"/>
            <w:vMerge w:val="continue"/>
          </w:tcPr>
          <w:p>
            <w:pPr>
              <w:spacing w:after="0"/>
              <w:rPr>
                <w:sz w:val="4"/>
                <w:szCs w:val="4"/>
                <w:color w:val="auto"/>
              </w:rPr>
            </w:pPr>
          </w:p>
        </w:tc>
        <w:tc>
          <w:tcPr>
            <w:tcW w:w="26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7"/>
        </w:trPr>
        <w:tc>
          <w:tcPr>
            <w:tcW w:w="1940" w:type="dxa"/>
            <w:vAlign w:val="bottom"/>
            <w:tcBorders>
              <w:bottom w:val="single" w:sz="8" w:color="9D9D9C"/>
            </w:tcBorders>
          </w:tcPr>
          <w:p>
            <w:pPr>
              <w:spacing w:after="0"/>
              <w:rPr>
                <w:sz w:val="4"/>
                <w:szCs w:val="4"/>
                <w:color w:val="auto"/>
              </w:rPr>
            </w:pPr>
          </w:p>
        </w:tc>
        <w:tc>
          <w:tcPr>
            <w:tcW w:w="2280" w:type="dxa"/>
            <w:vAlign w:val="bottom"/>
            <w:tcBorders>
              <w:bottom w:val="single" w:sz="8" w:color="9D9D9C"/>
            </w:tcBorders>
          </w:tcPr>
          <w:p>
            <w:pPr>
              <w:spacing w:after="0"/>
              <w:rPr>
                <w:sz w:val="4"/>
                <w:szCs w:val="4"/>
                <w:color w:val="auto"/>
              </w:rPr>
            </w:pPr>
          </w:p>
        </w:tc>
        <w:tc>
          <w:tcPr>
            <w:tcW w:w="2480" w:type="dxa"/>
            <w:vAlign w:val="bottom"/>
            <w:tcBorders>
              <w:bottom w:val="single" w:sz="8" w:color="9D9D9C"/>
            </w:tcBorders>
          </w:tcPr>
          <w:p>
            <w:pPr>
              <w:spacing w:after="0"/>
              <w:rPr>
                <w:sz w:val="4"/>
                <w:szCs w:val="4"/>
                <w:color w:val="auto"/>
              </w:rPr>
            </w:pPr>
          </w:p>
        </w:tc>
        <w:tc>
          <w:tcPr>
            <w:tcW w:w="1900" w:type="dxa"/>
            <w:vAlign w:val="bottom"/>
            <w:tcBorders>
              <w:bottom w:val="single" w:sz="8" w:color="9D9D9C"/>
            </w:tcBorders>
          </w:tcPr>
          <w:p>
            <w:pPr>
              <w:spacing w:after="0"/>
              <w:rPr>
                <w:sz w:val="4"/>
                <w:szCs w:val="4"/>
                <w:color w:val="auto"/>
              </w:rPr>
            </w:pPr>
          </w:p>
        </w:tc>
        <w:tc>
          <w:tcPr>
            <w:tcW w:w="2640" w:type="dxa"/>
            <w:vAlign w:val="bottom"/>
            <w:tcBorders>
              <w:bottom w:val="single" w:sz="8" w:color="9D9D9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left="240" w:right="580" w:hanging="233"/>
        <w:spacing w:after="0" w:line="224" w:lineRule="auto"/>
        <w:tabs>
          <w:tab w:leader="none" w:pos="322" w:val="left"/>
        </w:tabs>
        <w:numPr>
          <w:ilvl w:val="0"/>
          <w:numId w:val="48"/>
        </w:numPr>
        <w:rPr>
          <w:rFonts w:ascii="Arial" w:cs="Arial" w:eastAsia="Arial" w:hAnsi="Arial"/>
          <w:sz w:val="22"/>
          <w:szCs w:val="22"/>
          <w:color w:val="auto"/>
          <w:vertAlign w:val="superscript"/>
        </w:rPr>
      </w:pPr>
      <w:r>
        <w:rPr>
          <w:rFonts w:ascii="Arial" w:cs="Arial" w:eastAsia="Arial" w:hAnsi="Arial"/>
          <w:sz w:val="17"/>
          <w:szCs w:val="17"/>
          <w:color w:val="auto"/>
        </w:rPr>
        <w:t>Based on employees who self-identify. Includes only U.S. employees and expatriates except for women, which also includes local country nationals. Excludes casual workers, interns/co-ops and employees of certain subsidiaries and joint ventures.</w:t>
      </w:r>
    </w:p>
    <w:p>
      <w:pPr>
        <w:spacing w:after="0" w:line="69" w:lineRule="exact"/>
        <w:rPr>
          <w:rFonts w:ascii="Arial" w:cs="Arial" w:eastAsia="Arial" w:hAnsi="Arial"/>
          <w:sz w:val="22"/>
          <w:szCs w:val="22"/>
          <w:color w:val="auto"/>
          <w:vertAlign w:val="superscript"/>
        </w:rPr>
      </w:pPr>
    </w:p>
    <w:p>
      <w:pPr>
        <w:ind w:left="340" w:hanging="333"/>
        <w:spacing w:after="0"/>
        <w:tabs>
          <w:tab w:leader="none" w:pos="340" w:val="left"/>
        </w:tabs>
        <w:numPr>
          <w:ilvl w:val="0"/>
          <w:numId w:val="48"/>
        </w:numPr>
        <w:rPr>
          <w:rFonts w:ascii="Arial" w:cs="Arial" w:eastAsia="Arial" w:hAnsi="Arial"/>
          <w:sz w:val="22"/>
          <w:szCs w:val="22"/>
          <w:color w:val="auto"/>
          <w:vertAlign w:val="superscript"/>
        </w:rPr>
      </w:pPr>
      <w:r>
        <w:rPr>
          <w:rFonts w:ascii="Arial" w:cs="Arial" w:eastAsia="Arial" w:hAnsi="Arial"/>
          <w:sz w:val="17"/>
          <w:szCs w:val="17"/>
          <w:color w:val="auto"/>
        </w:rPr>
        <w:t>Executive is defined as director-level (one level below vice president) or higher.</w:t>
      </w:r>
    </w:p>
    <w:p>
      <w:pPr>
        <w:spacing w:after="0" w:line="172" w:lineRule="exact"/>
        <w:rPr>
          <w:sz w:val="20"/>
          <w:szCs w:val="20"/>
          <w:color w:val="auto"/>
        </w:rPr>
      </w:pPr>
    </w:p>
    <w:p>
      <w:pPr>
        <w:ind w:right="360"/>
        <w:spacing w:after="0" w:line="269" w:lineRule="auto"/>
        <w:rPr>
          <w:sz w:val="20"/>
          <w:szCs w:val="20"/>
          <w:color w:val="auto"/>
        </w:rPr>
      </w:pPr>
      <w:r>
        <w:rPr>
          <w:rFonts w:ascii="Arial" w:cs="Arial" w:eastAsia="Arial" w:hAnsi="Arial"/>
          <w:sz w:val="17"/>
          <w:szCs w:val="17"/>
          <w:color w:val="auto"/>
        </w:rPr>
        <w:t>In addition to these diversity metrics, in September 2021, we published our 2020 EEO-1 report data on our website and expect to do so annually. Publication of our EEO-1 data increases transparency and demonstrates our responsiveness to investors. Our 2021 diversity and inclusion achievements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73025</wp:posOffset>
            </wp:positionV>
            <wp:extent cx="7132955" cy="27730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955" cy="27730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800"/>
        <w:spacing w:after="0"/>
        <w:rPr>
          <w:sz w:val="20"/>
          <w:szCs w:val="20"/>
          <w:color w:val="auto"/>
        </w:rPr>
      </w:pPr>
      <w:r>
        <w:rPr>
          <w:rFonts w:ascii="Arial" w:cs="Arial" w:eastAsia="Arial" w:hAnsi="Arial"/>
          <w:sz w:val="17"/>
          <w:szCs w:val="17"/>
          <w:color w:val="003478"/>
        </w:rPr>
        <w:t>RECRUITING TOP TALENT:</w:t>
      </w:r>
    </w:p>
    <w:p>
      <w:pPr>
        <w:spacing w:after="0" w:line="200" w:lineRule="exact"/>
        <w:rPr>
          <w:sz w:val="20"/>
          <w:szCs w:val="20"/>
          <w:color w:val="auto"/>
        </w:rPr>
      </w:pPr>
    </w:p>
    <w:p>
      <w:pPr>
        <w:spacing w:after="0" w:line="209" w:lineRule="exact"/>
        <w:rPr>
          <w:sz w:val="20"/>
          <w:szCs w:val="20"/>
          <w:color w:val="auto"/>
        </w:rPr>
      </w:pPr>
    </w:p>
    <w:p>
      <w:pPr>
        <w:ind w:left="300" w:hanging="154"/>
        <w:spacing w:after="0" w:line="266" w:lineRule="auto"/>
        <w:tabs>
          <w:tab w:leader="none" w:pos="245" w:val="left"/>
        </w:tabs>
        <w:numPr>
          <w:ilvl w:val="0"/>
          <w:numId w:val="49"/>
        </w:numPr>
        <w:rPr>
          <w:rFonts w:ascii="Arial" w:cs="Arial" w:eastAsia="Arial" w:hAnsi="Arial"/>
          <w:sz w:val="17"/>
          <w:szCs w:val="17"/>
          <w:color w:val="002E6D"/>
        </w:rPr>
      </w:pPr>
      <w:r>
        <w:rPr>
          <w:rFonts w:ascii="Arial" w:cs="Arial" w:eastAsia="Arial" w:hAnsi="Arial"/>
          <w:sz w:val="17"/>
          <w:szCs w:val="17"/>
          <w:color w:val="auto"/>
        </w:rPr>
        <w:t>Improved the diversity of the workforce, specifically in the representation of women and People of Color, more actively expanding Minority Serving Institution (MSI) recruiting to areas beyond STEM, such as Finance</w:t>
      </w:r>
    </w:p>
    <w:p>
      <w:pPr>
        <w:spacing w:after="0" w:line="57" w:lineRule="exact"/>
        <w:rPr>
          <w:rFonts w:ascii="Arial" w:cs="Arial" w:eastAsia="Arial" w:hAnsi="Arial"/>
          <w:sz w:val="17"/>
          <w:szCs w:val="17"/>
          <w:color w:val="002E6D"/>
        </w:rPr>
      </w:pPr>
    </w:p>
    <w:p>
      <w:pPr>
        <w:ind w:left="300" w:right="300" w:hanging="154"/>
        <w:spacing w:after="0" w:line="243" w:lineRule="auto"/>
        <w:tabs>
          <w:tab w:leader="none" w:pos="245" w:val="left"/>
        </w:tabs>
        <w:numPr>
          <w:ilvl w:val="0"/>
          <w:numId w:val="49"/>
        </w:numPr>
        <w:rPr>
          <w:rFonts w:ascii="Arial" w:cs="Arial" w:eastAsia="Arial" w:hAnsi="Arial"/>
          <w:sz w:val="17"/>
          <w:szCs w:val="17"/>
          <w:color w:val="002E6D"/>
        </w:rPr>
      </w:pPr>
      <w:r>
        <w:rPr>
          <w:rFonts w:ascii="Arial" w:cs="Arial" w:eastAsia="Arial" w:hAnsi="Arial"/>
          <w:sz w:val="17"/>
          <w:szCs w:val="17"/>
          <w:color w:val="auto"/>
        </w:rPr>
        <w:t>Selected #1 among Top Supporters of Historically Black College &amp; University (HBCU) Engineering Institutions for 7</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consecutive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1076960</wp:posOffset>
            </wp:positionV>
            <wp:extent cx="963930" cy="2216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698" w:right="420"/>
        <w:spacing w:after="0" w:line="257" w:lineRule="auto"/>
        <w:rPr>
          <w:sz w:val="20"/>
          <w:szCs w:val="20"/>
          <w:color w:val="auto"/>
        </w:rPr>
      </w:pPr>
      <w:r>
        <w:rPr>
          <w:rFonts w:ascii="Arial" w:cs="Arial" w:eastAsia="Arial" w:hAnsi="Arial"/>
          <w:sz w:val="17"/>
          <w:szCs w:val="17"/>
          <w:color w:val="003478"/>
        </w:rPr>
        <w:t>FOSTERING AN INCLUSIVE WORKPLACE:</w:t>
      </w:r>
    </w:p>
    <w:p>
      <w:pPr>
        <w:spacing w:after="0" w:line="280" w:lineRule="exact"/>
        <w:rPr>
          <w:sz w:val="20"/>
          <w:szCs w:val="20"/>
          <w:color w:val="auto"/>
        </w:rPr>
      </w:pPr>
    </w:p>
    <w:p>
      <w:pPr>
        <w:ind w:left="158" w:hanging="158"/>
        <w:spacing w:after="0" w:line="266" w:lineRule="auto"/>
        <w:tabs>
          <w:tab w:leader="none" w:pos="103" w:val="left"/>
        </w:tabs>
        <w:numPr>
          <w:ilvl w:val="0"/>
          <w:numId w:val="50"/>
        </w:numPr>
        <w:rPr>
          <w:rFonts w:ascii="Arial" w:cs="Arial" w:eastAsia="Arial" w:hAnsi="Arial"/>
          <w:sz w:val="17"/>
          <w:szCs w:val="17"/>
          <w:color w:val="002E6D"/>
        </w:rPr>
      </w:pPr>
      <w:r>
        <w:rPr>
          <w:rFonts w:ascii="Arial" w:cs="Arial" w:eastAsia="Arial" w:hAnsi="Arial"/>
          <w:sz w:val="17"/>
          <w:szCs w:val="17"/>
          <w:color w:val="auto"/>
        </w:rPr>
        <w:t>Embracing digital platforms for D&amp;I initiatives led to record attendance for BRG Leadership Forums and opened new levels of accessibility for employees with disabilities</w:t>
      </w:r>
    </w:p>
    <w:p>
      <w:pPr>
        <w:spacing w:after="0" w:line="58" w:lineRule="exact"/>
        <w:rPr>
          <w:rFonts w:ascii="Arial" w:cs="Arial" w:eastAsia="Arial" w:hAnsi="Arial"/>
          <w:sz w:val="17"/>
          <w:szCs w:val="17"/>
          <w:color w:val="002E6D"/>
        </w:rPr>
      </w:pPr>
    </w:p>
    <w:p>
      <w:pPr>
        <w:ind w:left="158" w:right="120" w:hanging="158"/>
        <w:spacing w:after="0" w:line="268" w:lineRule="auto"/>
        <w:tabs>
          <w:tab w:leader="none" w:pos="103" w:val="left"/>
        </w:tabs>
        <w:numPr>
          <w:ilvl w:val="0"/>
          <w:numId w:val="50"/>
        </w:numPr>
        <w:rPr>
          <w:rFonts w:ascii="Arial" w:cs="Arial" w:eastAsia="Arial" w:hAnsi="Arial"/>
          <w:sz w:val="17"/>
          <w:szCs w:val="17"/>
          <w:color w:val="002E6D"/>
        </w:rPr>
      </w:pPr>
      <w:r>
        <w:rPr>
          <w:rFonts w:ascii="Arial" w:cs="Arial" w:eastAsia="Arial" w:hAnsi="Arial"/>
          <w:sz w:val="17"/>
          <w:szCs w:val="17"/>
          <w:color w:val="auto"/>
        </w:rPr>
        <w:t>Recognized as a Best Place to Work for LGBT Equality on the Human Rights Campaign’s Corporate Equality Index for 12</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consecutive year</w:t>
      </w:r>
    </w:p>
    <w:p>
      <w:pPr>
        <w:spacing w:after="0" w:line="3" w:lineRule="exact"/>
        <w:rPr>
          <w:rFonts w:ascii="Arial" w:cs="Arial" w:eastAsia="Arial" w:hAnsi="Arial"/>
          <w:sz w:val="17"/>
          <w:szCs w:val="17"/>
          <w:color w:val="002E6D"/>
        </w:rPr>
      </w:pPr>
    </w:p>
    <w:p>
      <w:pPr>
        <w:ind w:left="158" w:right="200" w:hanging="158"/>
        <w:spacing w:after="0" w:line="274" w:lineRule="auto"/>
        <w:tabs>
          <w:tab w:leader="none" w:pos="103" w:val="left"/>
        </w:tabs>
        <w:numPr>
          <w:ilvl w:val="0"/>
          <w:numId w:val="50"/>
        </w:numPr>
        <w:rPr>
          <w:rFonts w:ascii="Arial" w:cs="Arial" w:eastAsia="Arial" w:hAnsi="Arial"/>
          <w:sz w:val="17"/>
          <w:szCs w:val="17"/>
          <w:color w:val="002E6D"/>
        </w:rPr>
      </w:pPr>
      <w:r>
        <w:rPr>
          <w:rFonts w:ascii="Arial" w:cs="Arial" w:eastAsia="Arial" w:hAnsi="Arial"/>
          <w:sz w:val="17"/>
          <w:szCs w:val="17"/>
          <w:color w:val="auto"/>
        </w:rPr>
        <w:t>Ranked #1 Top 50 Employers in Women Engineer Magazine</w:t>
      </w:r>
    </w:p>
    <w:p>
      <w:pPr>
        <w:spacing w:after="0" w:line="50" w:lineRule="exact"/>
        <w:rPr>
          <w:rFonts w:ascii="Arial" w:cs="Arial" w:eastAsia="Arial" w:hAnsi="Arial"/>
          <w:sz w:val="17"/>
          <w:szCs w:val="17"/>
          <w:color w:val="002E6D"/>
        </w:rPr>
      </w:pPr>
    </w:p>
    <w:p>
      <w:pPr>
        <w:ind w:left="98" w:hanging="98"/>
        <w:spacing w:after="0"/>
        <w:tabs>
          <w:tab w:leader="none" w:pos="98" w:val="left"/>
        </w:tabs>
        <w:numPr>
          <w:ilvl w:val="0"/>
          <w:numId w:val="50"/>
        </w:numPr>
        <w:rPr>
          <w:rFonts w:ascii="Arial" w:cs="Arial" w:eastAsia="Arial" w:hAnsi="Arial"/>
          <w:sz w:val="16"/>
          <w:szCs w:val="16"/>
          <w:color w:val="002E6D"/>
        </w:rPr>
      </w:pPr>
      <w:r>
        <w:rPr>
          <w:rFonts w:ascii="Arial" w:cs="Arial" w:eastAsia="Arial" w:hAnsi="Arial"/>
          <w:sz w:val="16"/>
          <w:szCs w:val="16"/>
          <w:color w:val="auto"/>
        </w:rPr>
        <w:t>Selected Top 10 Military Friendly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003478"/>
        </w:rPr>
        <w:t>SUPPORTING STEM EDUCATION:</w:t>
      </w:r>
    </w:p>
    <w:p>
      <w:pPr>
        <w:spacing w:after="0" w:line="200" w:lineRule="exact"/>
        <w:rPr>
          <w:sz w:val="20"/>
          <w:szCs w:val="20"/>
          <w:color w:val="auto"/>
        </w:rPr>
      </w:pPr>
    </w:p>
    <w:p>
      <w:pPr>
        <w:spacing w:after="0" w:line="209" w:lineRule="exact"/>
        <w:rPr>
          <w:sz w:val="20"/>
          <w:szCs w:val="20"/>
          <w:color w:val="auto"/>
        </w:rPr>
      </w:pPr>
    </w:p>
    <w:p>
      <w:pPr>
        <w:ind w:left="162" w:right="500" w:hanging="162"/>
        <w:spacing w:after="0" w:line="266" w:lineRule="auto"/>
        <w:tabs>
          <w:tab w:leader="none" w:pos="107" w:val="left"/>
        </w:tabs>
        <w:numPr>
          <w:ilvl w:val="0"/>
          <w:numId w:val="51"/>
        </w:numPr>
        <w:rPr>
          <w:rFonts w:ascii="Arial" w:cs="Arial" w:eastAsia="Arial" w:hAnsi="Arial"/>
          <w:sz w:val="17"/>
          <w:szCs w:val="17"/>
          <w:color w:val="002E60"/>
        </w:rPr>
      </w:pPr>
      <w:r>
        <w:rPr>
          <w:rFonts w:ascii="Arial" w:cs="Arial" w:eastAsia="Arial" w:hAnsi="Arial"/>
          <w:sz w:val="17"/>
          <w:szCs w:val="17"/>
          <w:color w:val="auto"/>
        </w:rPr>
        <w:t>Invested $17.38 million into nonprofit programs focused on STEM career readiness and access, particularly for those groups historically underrepresented in STEM</w:t>
      </w:r>
    </w:p>
    <w:p>
      <w:pPr>
        <w:spacing w:after="0" w:line="58" w:lineRule="exact"/>
        <w:rPr>
          <w:rFonts w:ascii="Arial" w:cs="Arial" w:eastAsia="Arial" w:hAnsi="Arial"/>
          <w:sz w:val="17"/>
          <w:szCs w:val="17"/>
          <w:color w:val="002E60"/>
        </w:rPr>
      </w:pPr>
    </w:p>
    <w:p>
      <w:pPr>
        <w:ind w:left="162" w:right="120" w:hanging="162"/>
        <w:spacing w:after="0" w:line="266" w:lineRule="auto"/>
        <w:tabs>
          <w:tab w:leader="none" w:pos="107" w:val="left"/>
        </w:tabs>
        <w:numPr>
          <w:ilvl w:val="0"/>
          <w:numId w:val="51"/>
        </w:numPr>
        <w:rPr>
          <w:rFonts w:ascii="Arial" w:cs="Arial" w:eastAsia="Arial" w:hAnsi="Arial"/>
          <w:sz w:val="17"/>
          <w:szCs w:val="17"/>
          <w:color w:val="002E60"/>
        </w:rPr>
      </w:pPr>
      <w:r>
        <w:rPr>
          <w:rFonts w:ascii="Arial" w:cs="Arial" w:eastAsia="Arial" w:hAnsi="Arial"/>
          <w:sz w:val="17"/>
          <w:szCs w:val="17"/>
          <w:color w:val="auto"/>
        </w:rPr>
        <w:t>$1.99 million contributed to MSIs in 2021 to support programs enhancing student retention and success, such as mentoring, curriculum development and summer bridge programs</w:t>
      </w:r>
    </w:p>
    <w:p>
      <w:pPr>
        <w:spacing w:after="0" w:line="738" w:lineRule="exact"/>
        <w:rPr>
          <w:sz w:val="20"/>
          <w:szCs w:val="20"/>
          <w:color w:val="auto"/>
        </w:rPr>
      </w:pPr>
    </w:p>
    <w:p>
      <w:pPr>
        <w:sectPr>
          <w:pgSz w:w="11900" w:h="16838" w:orient="portrait"/>
          <w:cols w:equalWidth="0" w:num="3">
            <w:col w:w="3500" w:space="462"/>
            <w:col w:w="3338" w:space="478"/>
            <w:col w:w="3462"/>
          </w:cols>
          <w:pgMar w:left="320" w:top="25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25</w:t>
      </w:r>
    </w:p>
    <w:p>
      <w:pPr>
        <w:sectPr>
          <w:pgSz w:w="11900" w:h="16838" w:orient="portrait"/>
          <w:cols w:equalWidth="0" w:num="1">
            <w:col w:w="11240"/>
          </w:cols>
          <w:pgMar w:left="320" w:top="254" w:right="339" w:bottom="1440" w:gutter="0" w:footer="0" w:header="0"/>
          <w:type w:val="continuous"/>
        </w:sectPr>
      </w:pPr>
    </w:p>
    <w:bookmarkStart w:id="31" w:name="page32"/>
    <w:bookmarkEnd w:id="31"/>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5"/>
          <w:szCs w:val="25"/>
          <w:color w:val="818EB4"/>
        </w:rPr>
        <w:t>Our Stockholder Engagement Program</w:t>
      </w:r>
    </w:p>
    <w:p>
      <w:pPr>
        <w:spacing w:after="0" w:line="34" w:lineRule="exact"/>
        <w:rPr>
          <w:sz w:val="20"/>
          <w:szCs w:val="20"/>
          <w:color w:val="auto"/>
        </w:rPr>
      </w:pPr>
    </w:p>
    <w:p>
      <w:pPr>
        <w:spacing w:after="0" w:line="238" w:lineRule="auto"/>
        <w:rPr>
          <w:sz w:val="20"/>
          <w:szCs w:val="20"/>
          <w:color w:val="auto"/>
        </w:rPr>
      </w:pPr>
      <w:r>
        <w:rPr>
          <w:rFonts w:ascii="Arial" w:cs="Arial" w:eastAsia="Arial" w:hAnsi="Arial"/>
          <w:sz w:val="17"/>
          <w:szCs w:val="17"/>
          <w:b w:val="1"/>
          <w:bCs w:val="1"/>
          <w:color w:val="auto"/>
        </w:rPr>
        <w:t xml:space="preserve">Board’s Commitment to Engagement. </w:t>
      </w:r>
      <w:r>
        <w:rPr>
          <w:rFonts w:ascii="Arial" w:cs="Arial" w:eastAsia="Arial" w:hAnsi="Arial"/>
          <w:sz w:val="17"/>
          <w:szCs w:val="17"/>
          <w:color w:val="auto"/>
        </w:rPr>
        <w:t>We conduct extensive governance reviews and stockholder outreach throughout the year in addition to our</w:t>
      </w:r>
      <w:r>
        <w:rPr>
          <w:rFonts w:ascii="Arial" w:cs="Arial" w:eastAsia="Arial" w:hAnsi="Arial"/>
          <w:sz w:val="17"/>
          <w:szCs w:val="17"/>
          <w:b w:val="1"/>
          <w:bCs w:val="1"/>
          <w:color w:val="auto"/>
        </w:rPr>
        <w:t xml:space="preserve"> </w:t>
      </w:r>
      <w:r>
        <w:rPr>
          <w:rFonts w:ascii="Arial" w:cs="Arial" w:eastAsia="Arial" w:hAnsi="Arial"/>
          <w:sz w:val="17"/>
          <w:szCs w:val="17"/>
          <w:color w:val="auto"/>
        </w:rPr>
        <w:t>engagements through Investor Relations on financial and business topics. Our integrated engagement team is led by our Corporate Secretary’s office and includes representatives from Ethics and Enterprise Assurance, Sustainability, Executive Compensation and Human Resources. Depending on the circumstance, our independent Lead Director may engage in these conversations with stockholders. The Governance Committee oversees our stockholder engagement efforts on behalf of the Board. We recognize the value of building informed and meaningful relationships with our investors that promote increased transparency and accountability. Our Governance Guidelines outline our stockholder engagement program.</w:t>
      </w:r>
    </w:p>
    <w:p>
      <w:pPr>
        <w:spacing w:after="0" w:line="19"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b w:val="1"/>
          <w:bCs w:val="1"/>
          <w:color w:val="auto"/>
        </w:rPr>
        <w:t xml:space="preserve">Responsiveness to Stockholders. </w:t>
      </w:r>
      <w:r>
        <w:rPr>
          <w:rFonts w:ascii="Arial" w:cs="Arial" w:eastAsia="Arial" w:hAnsi="Arial"/>
          <w:sz w:val="17"/>
          <w:szCs w:val="17"/>
          <w:color w:val="auto"/>
        </w:rPr>
        <w:t>Accountability to our stockholders continues to be an important component of the Company’s success. In 2021,</w:t>
      </w:r>
      <w:r>
        <w:rPr>
          <w:rFonts w:ascii="Arial" w:cs="Arial" w:eastAsia="Arial" w:hAnsi="Arial"/>
          <w:sz w:val="17"/>
          <w:szCs w:val="17"/>
          <w:b w:val="1"/>
          <w:bCs w:val="1"/>
          <w:color w:val="auto"/>
        </w:rPr>
        <w:t xml:space="preserve"> </w:t>
      </w:r>
      <w:r>
        <w:rPr>
          <w:rFonts w:ascii="Arial" w:cs="Arial" w:eastAsia="Arial" w:hAnsi="Arial"/>
          <w:sz w:val="17"/>
          <w:szCs w:val="17"/>
          <w:color w:val="auto"/>
        </w:rPr>
        <w:t>we received an advisory proposal to adopt action by written consent which, although a majority of stockholders supported the Board’s recommendation and preferred that we not implement a change, did receive a high level of stockholder support. We take accountability seriously and have sought out feedback through stockholder engagement to understand investor views and preferences. Ultimately, the majority of our stockholders continued to express support for our current approach on this issue given the existing channels available to stockholders to express their views. We look forward to continued engagement and dialogue, to ensure our stockholder rights continue to meet the needs and expectations of our wide range of investors.</w:t>
      </w:r>
    </w:p>
    <w:p>
      <w:pPr>
        <w:spacing w:after="0" w:line="19" w:lineRule="exact"/>
        <w:rPr>
          <w:sz w:val="20"/>
          <w:szCs w:val="20"/>
          <w:color w:val="auto"/>
        </w:rPr>
      </w:pPr>
    </w:p>
    <w:p>
      <w:pPr>
        <w:ind w:right="280"/>
        <w:spacing w:after="0" w:line="242" w:lineRule="auto"/>
        <w:rPr>
          <w:sz w:val="20"/>
          <w:szCs w:val="20"/>
          <w:color w:val="auto"/>
        </w:rPr>
      </w:pPr>
      <w:r>
        <w:rPr>
          <w:rFonts w:ascii="Arial" w:cs="Arial" w:eastAsia="Arial" w:hAnsi="Arial"/>
          <w:sz w:val="17"/>
          <w:szCs w:val="17"/>
          <w:b w:val="1"/>
          <w:bCs w:val="1"/>
          <w:color w:val="auto"/>
        </w:rPr>
        <w:t xml:space="preserve">Investor Priorities. </w:t>
      </w:r>
      <w:r>
        <w:rPr>
          <w:rFonts w:ascii="Arial" w:cs="Arial" w:eastAsia="Arial" w:hAnsi="Arial"/>
          <w:sz w:val="17"/>
          <w:szCs w:val="17"/>
          <w:color w:val="auto"/>
        </w:rPr>
        <w:t>Stockholders’ views are communicated to the Board throughout the year and are instrumental in the development of our</w:t>
      </w:r>
      <w:r>
        <w:rPr>
          <w:rFonts w:ascii="Arial" w:cs="Arial" w:eastAsia="Arial" w:hAnsi="Arial"/>
          <w:sz w:val="17"/>
          <w:szCs w:val="17"/>
          <w:b w:val="1"/>
          <w:bCs w:val="1"/>
          <w:color w:val="auto"/>
        </w:rPr>
        <w:t xml:space="preserve"> </w:t>
      </w:r>
      <w:r>
        <w:rPr>
          <w:rFonts w:ascii="Arial" w:cs="Arial" w:eastAsia="Arial" w:hAnsi="Arial"/>
          <w:sz w:val="17"/>
          <w:szCs w:val="17"/>
          <w:color w:val="auto"/>
        </w:rPr>
        <w:t>governance, compensation and environmental and social policies and inform our business strategy. The Board recognizes the importance of ESG topics to our stockholders and continues to seek stockholder input on a range of ESG issues and practices in furtherance of enhancing long-term stockholder value. Below are some of the investor priorities discussed during 2021:</w:t>
      </w:r>
    </w:p>
    <w:p>
      <w:pPr>
        <w:spacing w:after="0" w:line="18" w:lineRule="exact"/>
        <w:rPr>
          <w:sz w:val="20"/>
          <w:szCs w:val="20"/>
          <w:color w:val="auto"/>
        </w:rPr>
      </w:pPr>
    </w:p>
    <w:p>
      <w:pPr>
        <w:ind w:left="240" w:right="60" w:hanging="152"/>
        <w:spacing w:after="0" w:line="263" w:lineRule="auto"/>
        <w:tabs>
          <w:tab w:leader="none" w:pos="205" w:val="left"/>
        </w:tabs>
        <w:numPr>
          <w:ilvl w:val="0"/>
          <w:numId w:val="52"/>
        </w:numPr>
        <w:rPr>
          <w:rFonts w:ascii="Arial" w:cs="Arial" w:eastAsia="Arial" w:hAnsi="Arial"/>
          <w:sz w:val="17"/>
          <w:szCs w:val="17"/>
          <w:color w:val="002E6D"/>
        </w:rPr>
      </w:pPr>
      <w:r>
        <w:rPr>
          <w:rFonts w:ascii="Arial" w:cs="Arial" w:eastAsia="Arial" w:hAnsi="Arial"/>
          <w:sz w:val="17"/>
          <w:szCs w:val="17"/>
          <w:b w:val="1"/>
          <w:bCs w:val="1"/>
          <w:color w:val="auto"/>
        </w:rPr>
        <w:t>Board Composition</w:t>
      </w:r>
      <w:r>
        <w:rPr>
          <w:rFonts w:ascii="Arial" w:cs="Arial" w:eastAsia="Arial" w:hAnsi="Arial"/>
          <w:sz w:val="17"/>
          <w:szCs w:val="17"/>
          <w:color w:val="auto"/>
        </w:rPr>
        <w:t>: continued focus on Board refreshment, racial/ethnic and gender diversity, and adding directors with relevant experience and</w:t>
      </w:r>
      <w:r>
        <w:rPr>
          <w:rFonts w:ascii="Arial" w:cs="Arial" w:eastAsia="Arial" w:hAnsi="Arial"/>
          <w:sz w:val="17"/>
          <w:szCs w:val="17"/>
          <w:b w:val="1"/>
          <w:bCs w:val="1"/>
          <w:color w:val="auto"/>
        </w:rPr>
        <w:t xml:space="preserve"> </w:t>
      </w:r>
      <w:r>
        <w:rPr>
          <w:rFonts w:ascii="Arial" w:cs="Arial" w:eastAsia="Arial" w:hAnsi="Arial"/>
          <w:sz w:val="17"/>
          <w:szCs w:val="17"/>
          <w:color w:val="auto"/>
        </w:rPr>
        <w:t>skill sets that align with our long-term strategy;</w:t>
      </w:r>
    </w:p>
    <w:p>
      <w:pPr>
        <w:spacing w:after="0" w:line="1" w:lineRule="exact"/>
        <w:rPr>
          <w:rFonts w:ascii="Arial" w:cs="Arial" w:eastAsia="Arial" w:hAnsi="Arial"/>
          <w:sz w:val="17"/>
          <w:szCs w:val="17"/>
          <w:color w:val="002E6D"/>
        </w:rPr>
      </w:pPr>
    </w:p>
    <w:p>
      <w:pPr>
        <w:jc w:val="both"/>
        <w:ind w:left="240" w:right="100" w:hanging="152"/>
        <w:spacing w:after="0" w:line="248" w:lineRule="auto"/>
        <w:tabs>
          <w:tab w:leader="none" w:pos="205" w:val="left"/>
        </w:tabs>
        <w:numPr>
          <w:ilvl w:val="0"/>
          <w:numId w:val="52"/>
        </w:numPr>
        <w:rPr>
          <w:rFonts w:ascii="Arial" w:cs="Arial" w:eastAsia="Arial" w:hAnsi="Arial"/>
          <w:sz w:val="17"/>
          <w:szCs w:val="17"/>
          <w:color w:val="002E6D"/>
        </w:rPr>
      </w:pPr>
      <w:r>
        <w:rPr>
          <w:rFonts w:ascii="Arial" w:cs="Arial" w:eastAsia="Arial" w:hAnsi="Arial"/>
          <w:sz w:val="17"/>
          <w:szCs w:val="17"/>
          <w:b w:val="1"/>
          <w:bCs w:val="1"/>
          <w:color w:val="auto"/>
        </w:rPr>
        <w:t>Climate and Environmental Stewardship</w:t>
      </w:r>
      <w:r>
        <w:rPr>
          <w:rFonts w:ascii="Arial" w:cs="Arial" w:eastAsia="Arial" w:hAnsi="Arial"/>
          <w:sz w:val="17"/>
          <w:szCs w:val="17"/>
          <w:color w:val="auto"/>
        </w:rPr>
        <w:t>: assessment of our long-term strategy and shift to a low-carbon future, with a focus on environmental</w:t>
      </w:r>
      <w:r>
        <w:rPr>
          <w:rFonts w:ascii="Arial" w:cs="Arial" w:eastAsia="Arial" w:hAnsi="Arial"/>
          <w:sz w:val="17"/>
          <w:szCs w:val="17"/>
          <w:b w:val="1"/>
          <w:bCs w:val="1"/>
          <w:color w:val="auto"/>
        </w:rPr>
        <w:t xml:space="preserve"> </w:t>
      </w:r>
      <w:r>
        <w:rPr>
          <w:rFonts w:ascii="Arial" w:cs="Arial" w:eastAsia="Arial" w:hAnsi="Arial"/>
          <w:sz w:val="17"/>
          <w:szCs w:val="17"/>
          <w:color w:val="auto"/>
        </w:rPr>
        <w:t>impacts of our products and operations; how we determine our sustainability priorities and measure progress within various reporting frameworks (SASB, TCFD and GRI); and how sustainability and diversity goals are linked to our annual incentive program with pre-set metrics and goals;</w:t>
      </w:r>
    </w:p>
    <w:p>
      <w:pPr>
        <w:spacing w:after="0" w:line="25" w:lineRule="exact"/>
        <w:rPr>
          <w:rFonts w:ascii="Arial" w:cs="Arial" w:eastAsia="Arial" w:hAnsi="Arial"/>
          <w:sz w:val="17"/>
          <w:szCs w:val="17"/>
          <w:color w:val="002E6D"/>
        </w:rPr>
      </w:pPr>
    </w:p>
    <w:p>
      <w:pPr>
        <w:ind w:left="240" w:right="340" w:hanging="152"/>
        <w:spacing w:after="0" w:line="296" w:lineRule="auto"/>
        <w:tabs>
          <w:tab w:leader="none" w:pos="205" w:val="left"/>
        </w:tabs>
        <w:numPr>
          <w:ilvl w:val="0"/>
          <w:numId w:val="52"/>
        </w:numPr>
        <w:rPr>
          <w:rFonts w:ascii="Arial" w:cs="Arial" w:eastAsia="Arial" w:hAnsi="Arial"/>
          <w:sz w:val="17"/>
          <w:szCs w:val="17"/>
          <w:color w:val="002E6D"/>
        </w:rPr>
      </w:pPr>
      <w:r>
        <w:rPr>
          <w:rFonts w:ascii="Arial" w:cs="Arial" w:eastAsia="Arial" w:hAnsi="Arial"/>
          <w:sz w:val="17"/>
          <w:szCs w:val="17"/>
          <w:b w:val="1"/>
          <w:bCs w:val="1"/>
          <w:color w:val="auto"/>
        </w:rPr>
        <w:t>Human Rights</w:t>
      </w:r>
      <w:r>
        <w:rPr>
          <w:rFonts w:ascii="Arial" w:cs="Arial" w:eastAsia="Arial" w:hAnsi="Arial"/>
          <w:sz w:val="17"/>
          <w:szCs w:val="17"/>
          <w:color w:val="auto"/>
        </w:rPr>
        <w:t>: human rights policies as detailed in our inaugural Human Rights Report published in October 2021 in response to stockholder</w:t>
      </w:r>
      <w:r>
        <w:rPr>
          <w:rFonts w:ascii="Arial" w:cs="Arial" w:eastAsia="Arial" w:hAnsi="Arial"/>
          <w:sz w:val="17"/>
          <w:szCs w:val="17"/>
          <w:b w:val="1"/>
          <w:bCs w:val="1"/>
          <w:color w:val="auto"/>
        </w:rPr>
        <w:t xml:space="preserve"> </w:t>
      </w:r>
      <w:r>
        <w:rPr>
          <w:rFonts w:ascii="Arial" w:cs="Arial" w:eastAsia="Arial" w:hAnsi="Arial"/>
          <w:sz w:val="17"/>
          <w:szCs w:val="17"/>
          <w:color w:val="auto"/>
        </w:rPr>
        <w:t>engagement; and</w:t>
      </w:r>
    </w:p>
    <w:p>
      <w:pPr>
        <w:spacing w:after="0" w:line="1" w:lineRule="exact"/>
        <w:rPr>
          <w:rFonts w:ascii="Arial" w:cs="Arial" w:eastAsia="Arial" w:hAnsi="Arial"/>
          <w:sz w:val="17"/>
          <w:szCs w:val="17"/>
          <w:color w:val="002E6D"/>
        </w:rPr>
      </w:pPr>
    </w:p>
    <w:p>
      <w:pPr>
        <w:ind w:left="220" w:hanging="132"/>
        <w:spacing w:after="0"/>
        <w:tabs>
          <w:tab w:leader="none" w:pos="220" w:val="left"/>
        </w:tabs>
        <w:numPr>
          <w:ilvl w:val="0"/>
          <w:numId w:val="52"/>
        </w:numPr>
        <w:rPr>
          <w:rFonts w:ascii="Arial" w:cs="Arial" w:eastAsia="Arial" w:hAnsi="Arial"/>
          <w:sz w:val="17"/>
          <w:szCs w:val="17"/>
          <w:color w:val="002E6D"/>
        </w:rPr>
      </w:pPr>
      <w:r>
        <w:rPr>
          <w:rFonts w:ascii="Arial" w:cs="Arial" w:eastAsia="Arial" w:hAnsi="Arial"/>
          <w:sz w:val="17"/>
          <w:szCs w:val="17"/>
          <w:b w:val="1"/>
          <w:bCs w:val="1"/>
          <w:color w:val="auto"/>
        </w:rPr>
        <w:t>Human Capital Management</w:t>
      </w:r>
      <w:r>
        <w:rPr>
          <w:rFonts w:ascii="Arial" w:cs="Arial" w:eastAsia="Arial" w:hAnsi="Arial"/>
          <w:sz w:val="17"/>
          <w:szCs w:val="17"/>
          <w:color w:val="auto"/>
        </w:rPr>
        <w:t>: focus on efforts to recruit, develop and retain a diverse workforce.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These investor discussions and annual meeting results yielded valuable feedback that was incorporated into the Board’s deliberations.</w:t>
      </w:r>
    </w:p>
    <w:p>
      <w:pPr>
        <w:sectPr>
          <w:pgSz w:w="11900" w:h="16838" w:orient="portrait"/>
          <w:cols w:equalWidth="0" w:num="1">
            <w:col w:w="11240"/>
          </w:cols>
          <w:pgMar w:left="320" w:top="254" w:right="339" w:bottom="1440" w:gutter="0" w:footer="0" w:header="0"/>
        </w:sectPr>
      </w:pPr>
    </w:p>
    <w:p>
      <w:pPr>
        <w:spacing w:after="0" w:line="127" w:lineRule="exact"/>
        <w:rPr>
          <w:sz w:val="20"/>
          <w:szCs w:val="20"/>
          <w:color w:val="auto"/>
        </w:rPr>
      </w:pPr>
    </w:p>
    <w:p>
      <w:pPr>
        <w:ind w:left="20"/>
        <w:spacing w:after="0"/>
        <w:rPr>
          <w:sz w:val="20"/>
          <w:szCs w:val="20"/>
          <w:color w:val="auto"/>
        </w:rPr>
      </w:pPr>
      <w:r>
        <w:rPr>
          <w:rFonts w:ascii="Arial" w:cs="Arial" w:eastAsia="Arial" w:hAnsi="Arial"/>
          <w:sz w:val="21"/>
          <w:szCs w:val="21"/>
          <w:color w:val="818EB4"/>
        </w:rPr>
        <w:t>Stockholder Engagement Cycle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3640" w:type="dxa"/>
            <w:vAlign w:val="bottom"/>
            <w:shd w:val="clear" w:color="auto" w:fill="002E6D"/>
          </w:tcPr>
          <w:p>
            <w:pPr>
              <w:spacing w:after="0"/>
              <w:rPr>
                <w:sz w:val="9"/>
                <w:szCs w:val="9"/>
                <w:color w:val="auto"/>
              </w:rPr>
            </w:pPr>
          </w:p>
        </w:tc>
        <w:tc>
          <w:tcPr>
            <w:tcW w:w="240" w:type="dxa"/>
            <w:vAlign w:val="bottom"/>
          </w:tcPr>
          <w:p>
            <w:pPr>
              <w:spacing w:after="0"/>
              <w:rPr>
                <w:sz w:val="9"/>
                <w:szCs w:val="9"/>
                <w:color w:val="auto"/>
              </w:rPr>
            </w:pPr>
          </w:p>
        </w:tc>
        <w:tc>
          <w:tcPr>
            <w:tcW w:w="3660" w:type="dxa"/>
            <w:vAlign w:val="bottom"/>
            <w:shd w:val="clear" w:color="auto" w:fill="002E6D"/>
          </w:tcPr>
          <w:p>
            <w:pPr>
              <w:spacing w:after="0"/>
              <w:rPr>
                <w:sz w:val="9"/>
                <w:szCs w:val="9"/>
                <w:color w:val="auto"/>
              </w:rPr>
            </w:pPr>
          </w:p>
        </w:tc>
      </w:tr>
      <w:tr>
        <w:trPr>
          <w:trHeight w:val="222"/>
        </w:trPr>
        <w:tc>
          <w:tcPr>
            <w:tcW w:w="3640" w:type="dxa"/>
            <w:vAlign w:val="bottom"/>
            <w:shd w:val="clear" w:color="auto" w:fill="E5E7EF"/>
          </w:tcPr>
          <w:p>
            <w:pPr>
              <w:ind w:left="2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Solicit feedback on governance best practices</w:t>
            </w:r>
          </w:p>
        </w:tc>
        <w:tc>
          <w:tcPr>
            <w:tcW w:w="240" w:type="dxa"/>
            <w:vAlign w:val="bottom"/>
          </w:tcPr>
          <w:p>
            <w:pPr>
              <w:spacing w:after="0"/>
              <w:rPr>
                <w:sz w:val="19"/>
                <w:szCs w:val="19"/>
                <w:color w:val="auto"/>
              </w:rPr>
            </w:pPr>
          </w:p>
        </w:tc>
        <w:tc>
          <w:tcPr>
            <w:tcW w:w="3660" w:type="dxa"/>
            <w:vAlign w:val="bottom"/>
            <w:shd w:val="clear" w:color="auto" w:fill="E5E7EF"/>
          </w:tcPr>
          <w:p>
            <w:pPr>
              <w:ind w:left="2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Publish Annual Report, Proxy Statement and</w:t>
            </w:r>
          </w:p>
        </w:tc>
      </w:tr>
      <w:tr>
        <w:trPr>
          <w:trHeight w:val="202"/>
        </w:trPr>
        <w:tc>
          <w:tcPr>
            <w:tcW w:w="3640" w:type="dxa"/>
            <w:vAlign w:val="bottom"/>
            <w:shd w:val="clear" w:color="auto" w:fill="E5E7EF"/>
          </w:tcPr>
          <w:p>
            <w:pPr>
              <w:ind w:left="180"/>
              <w:spacing w:after="0"/>
              <w:rPr>
                <w:sz w:val="20"/>
                <w:szCs w:val="20"/>
                <w:color w:val="auto"/>
              </w:rPr>
            </w:pPr>
            <w:r>
              <w:rPr>
                <w:rFonts w:ascii="Arial" w:cs="Arial" w:eastAsia="Arial" w:hAnsi="Arial"/>
                <w:sz w:val="17"/>
                <w:szCs w:val="17"/>
                <w:color w:val="auto"/>
              </w:rPr>
              <w:t>and trends, executive compensation, human</w:t>
            </w:r>
          </w:p>
        </w:tc>
        <w:tc>
          <w:tcPr>
            <w:tcW w:w="240" w:type="dxa"/>
            <w:vAlign w:val="bottom"/>
          </w:tcPr>
          <w:p>
            <w:pPr>
              <w:spacing w:after="0"/>
              <w:rPr>
                <w:sz w:val="17"/>
                <w:szCs w:val="17"/>
                <w:color w:val="auto"/>
              </w:rPr>
            </w:pPr>
          </w:p>
        </w:tc>
        <w:tc>
          <w:tcPr>
            <w:tcW w:w="3660" w:type="dxa"/>
            <w:vAlign w:val="bottom"/>
            <w:shd w:val="clear" w:color="auto" w:fill="E5E7EF"/>
          </w:tcPr>
          <w:p>
            <w:pPr>
              <w:ind w:left="180"/>
              <w:spacing w:after="0"/>
              <w:rPr>
                <w:sz w:val="20"/>
                <w:szCs w:val="20"/>
                <w:color w:val="auto"/>
              </w:rPr>
            </w:pPr>
            <w:r>
              <w:rPr>
                <w:rFonts w:ascii="Arial" w:cs="Arial" w:eastAsia="Arial" w:hAnsi="Arial"/>
                <w:sz w:val="17"/>
                <w:szCs w:val="17"/>
                <w:color w:val="auto"/>
              </w:rPr>
              <w:t>Sustainability Report</w:t>
            </w:r>
          </w:p>
        </w:tc>
      </w:tr>
      <w:tr>
        <w:trPr>
          <w:trHeight w:val="202"/>
        </w:trPr>
        <w:tc>
          <w:tcPr>
            <w:tcW w:w="3640" w:type="dxa"/>
            <w:vAlign w:val="bottom"/>
            <w:shd w:val="clear" w:color="auto" w:fill="E5E7EF"/>
          </w:tcPr>
          <w:p>
            <w:pPr>
              <w:ind w:left="180"/>
              <w:spacing w:after="0"/>
              <w:rPr>
                <w:sz w:val="20"/>
                <w:szCs w:val="20"/>
                <w:color w:val="auto"/>
              </w:rPr>
            </w:pPr>
            <w:r>
              <w:rPr>
                <w:rFonts w:ascii="Arial" w:cs="Arial" w:eastAsia="Arial" w:hAnsi="Arial"/>
                <w:sz w:val="17"/>
                <w:szCs w:val="17"/>
                <w:color w:val="auto"/>
              </w:rPr>
              <w:t>capital management, ESG matters and other</w:t>
            </w:r>
          </w:p>
        </w:tc>
        <w:tc>
          <w:tcPr>
            <w:tcW w:w="240" w:type="dxa"/>
            <w:vAlign w:val="bottom"/>
          </w:tcPr>
          <w:p>
            <w:pPr>
              <w:spacing w:after="0"/>
              <w:rPr>
                <w:sz w:val="17"/>
                <w:szCs w:val="17"/>
                <w:color w:val="auto"/>
              </w:rPr>
            </w:pPr>
          </w:p>
        </w:tc>
        <w:tc>
          <w:tcPr>
            <w:tcW w:w="3660" w:type="dxa"/>
            <w:vAlign w:val="bottom"/>
            <w:shd w:val="clear" w:color="auto" w:fill="E5E7EF"/>
          </w:tcPr>
          <w:p>
            <w:pPr>
              <w:ind w:left="2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Specific engagements with stockholders</w:t>
            </w:r>
          </w:p>
        </w:tc>
      </w:tr>
      <w:tr>
        <w:trPr>
          <w:trHeight w:val="202"/>
        </w:trPr>
        <w:tc>
          <w:tcPr>
            <w:tcW w:w="3640" w:type="dxa"/>
            <w:vAlign w:val="bottom"/>
            <w:shd w:val="clear" w:color="auto" w:fill="E5E7EF"/>
          </w:tcPr>
          <w:p>
            <w:pPr>
              <w:ind w:left="180"/>
              <w:spacing w:after="0"/>
              <w:rPr>
                <w:sz w:val="20"/>
                <w:szCs w:val="20"/>
                <w:color w:val="auto"/>
              </w:rPr>
            </w:pPr>
            <w:r>
              <w:rPr>
                <w:rFonts w:ascii="Arial" w:cs="Arial" w:eastAsia="Arial" w:hAnsi="Arial"/>
                <w:sz w:val="17"/>
                <w:szCs w:val="17"/>
                <w:color w:val="auto"/>
              </w:rPr>
              <w:t>topics of interest to stockholders</w:t>
            </w:r>
          </w:p>
        </w:tc>
        <w:tc>
          <w:tcPr>
            <w:tcW w:w="240" w:type="dxa"/>
            <w:vAlign w:val="bottom"/>
          </w:tcPr>
          <w:p>
            <w:pPr>
              <w:spacing w:after="0"/>
              <w:rPr>
                <w:sz w:val="17"/>
                <w:szCs w:val="17"/>
                <w:color w:val="auto"/>
              </w:rPr>
            </w:pPr>
          </w:p>
        </w:tc>
        <w:tc>
          <w:tcPr>
            <w:tcW w:w="3660" w:type="dxa"/>
            <w:vAlign w:val="bottom"/>
            <w:shd w:val="clear" w:color="auto" w:fill="E5E7EF"/>
          </w:tcPr>
          <w:p>
            <w:pPr>
              <w:ind w:left="180"/>
              <w:spacing w:after="0"/>
              <w:rPr>
                <w:sz w:val="20"/>
                <w:szCs w:val="20"/>
                <w:color w:val="auto"/>
              </w:rPr>
            </w:pPr>
            <w:r>
              <w:rPr>
                <w:rFonts w:ascii="Arial" w:cs="Arial" w:eastAsia="Arial" w:hAnsi="Arial"/>
                <w:sz w:val="17"/>
                <w:szCs w:val="17"/>
                <w:color w:val="auto"/>
              </w:rPr>
              <w:t>about the voting matters to be addressed at</w:t>
            </w:r>
          </w:p>
        </w:tc>
      </w:tr>
      <w:tr>
        <w:trPr>
          <w:trHeight w:val="202"/>
        </w:trPr>
        <w:tc>
          <w:tcPr>
            <w:tcW w:w="3640" w:type="dxa"/>
            <w:vAlign w:val="bottom"/>
            <w:shd w:val="clear" w:color="auto" w:fill="E5E7EF"/>
          </w:tcPr>
          <w:p>
            <w:pPr>
              <w:ind w:left="2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Discuss stockholder proposals with</w:t>
            </w:r>
          </w:p>
        </w:tc>
        <w:tc>
          <w:tcPr>
            <w:tcW w:w="240" w:type="dxa"/>
            <w:vAlign w:val="bottom"/>
          </w:tcPr>
          <w:p>
            <w:pPr>
              <w:spacing w:after="0"/>
              <w:rPr>
                <w:sz w:val="17"/>
                <w:szCs w:val="17"/>
                <w:color w:val="auto"/>
              </w:rPr>
            </w:pPr>
          </w:p>
        </w:tc>
        <w:tc>
          <w:tcPr>
            <w:tcW w:w="3660" w:type="dxa"/>
            <w:vAlign w:val="bottom"/>
            <w:shd w:val="clear" w:color="auto" w:fill="E5E7EF"/>
          </w:tcPr>
          <w:p>
            <w:pPr>
              <w:ind w:left="180"/>
              <w:spacing w:after="0"/>
              <w:rPr>
                <w:sz w:val="20"/>
                <w:szCs w:val="20"/>
                <w:color w:val="auto"/>
              </w:rPr>
            </w:pPr>
            <w:r>
              <w:rPr>
                <w:rFonts w:ascii="Arial" w:cs="Arial" w:eastAsia="Arial" w:hAnsi="Arial"/>
                <w:sz w:val="17"/>
                <w:szCs w:val="17"/>
                <w:color w:val="auto"/>
              </w:rPr>
              <w:t>the annual meeting in April</w:t>
            </w:r>
          </w:p>
        </w:tc>
      </w:tr>
      <w:tr>
        <w:trPr>
          <w:trHeight w:val="202"/>
        </w:trPr>
        <w:tc>
          <w:tcPr>
            <w:tcW w:w="3640" w:type="dxa"/>
            <w:vAlign w:val="bottom"/>
            <w:shd w:val="clear" w:color="auto" w:fill="E5E7EF"/>
          </w:tcPr>
          <w:p>
            <w:pPr>
              <w:ind w:left="180"/>
              <w:spacing w:after="0"/>
              <w:rPr>
                <w:sz w:val="20"/>
                <w:szCs w:val="20"/>
                <w:color w:val="auto"/>
              </w:rPr>
            </w:pPr>
            <w:r>
              <w:rPr>
                <w:rFonts w:ascii="Arial" w:cs="Arial" w:eastAsia="Arial" w:hAnsi="Arial"/>
                <w:sz w:val="17"/>
                <w:szCs w:val="17"/>
                <w:color w:val="auto"/>
              </w:rPr>
              <w:t>proponents</w:t>
            </w:r>
          </w:p>
        </w:tc>
        <w:tc>
          <w:tcPr>
            <w:tcW w:w="240" w:type="dxa"/>
            <w:vAlign w:val="bottom"/>
          </w:tcPr>
          <w:p>
            <w:pPr>
              <w:spacing w:after="0"/>
              <w:rPr>
                <w:sz w:val="17"/>
                <w:szCs w:val="17"/>
                <w:color w:val="auto"/>
              </w:rPr>
            </w:pPr>
          </w:p>
        </w:tc>
        <w:tc>
          <w:tcPr>
            <w:tcW w:w="3660" w:type="dxa"/>
            <w:vAlign w:val="bottom"/>
            <w:shd w:val="clear" w:color="auto" w:fill="E5E7EF"/>
          </w:tcPr>
          <w:p>
            <w:pPr>
              <w:ind w:left="2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Receive and publish voting results for</w:t>
            </w:r>
          </w:p>
        </w:tc>
      </w:tr>
      <w:tr>
        <w:trPr>
          <w:trHeight w:val="202"/>
        </w:trPr>
        <w:tc>
          <w:tcPr>
            <w:tcW w:w="3640" w:type="dxa"/>
            <w:vAlign w:val="bottom"/>
            <w:shd w:val="clear" w:color="auto" w:fill="E5E7EF"/>
          </w:tcPr>
          <w:p>
            <w:pPr>
              <w:ind w:left="2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Respond to investor inquiries and requests for</w:t>
            </w:r>
          </w:p>
        </w:tc>
        <w:tc>
          <w:tcPr>
            <w:tcW w:w="240" w:type="dxa"/>
            <w:vAlign w:val="bottom"/>
          </w:tcPr>
          <w:p>
            <w:pPr>
              <w:spacing w:after="0"/>
              <w:rPr>
                <w:sz w:val="17"/>
                <w:szCs w:val="17"/>
                <w:color w:val="auto"/>
              </w:rPr>
            </w:pPr>
          </w:p>
        </w:tc>
        <w:tc>
          <w:tcPr>
            <w:tcW w:w="3660" w:type="dxa"/>
            <w:vAlign w:val="bottom"/>
            <w:shd w:val="clear" w:color="auto" w:fill="E5E7EF"/>
          </w:tcPr>
          <w:p>
            <w:pPr>
              <w:ind w:left="180"/>
              <w:spacing w:after="0"/>
              <w:rPr>
                <w:sz w:val="20"/>
                <w:szCs w:val="20"/>
                <w:color w:val="auto"/>
              </w:rPr>
            </w:pPr>
            <w:r>
              <w:rPr>
                <w:rFonts w:ascii="Arial" w:cs="Arial" w:eastAsia="Arial" w:hAnsi="Arial"/>
                <w:sz w:val="17"/>
                <w:szCs w:val="17"/>
                <w:color w:val="auto"/>
              </w:rPr>
              <w:t>management and stockholder proposals</w:t>
            </w:r>
          </w:p>
        </w:tc>
      </w:tr>
      <w:tr>
        <w:trPr>
          <w:trHeight w:val="204"/>
        </w:trPr>
        <w:tc>
          <w:tcPr>
            <w:tcW w:w="3640" w:type="dxa"/>
            <w:vAlign w:val="bottom"/>
            <w:shd w:val="clear" w:color="auto" w:fill="E5E7EF"/>
          </w:tcPr>
          <w:p>
            <w:pPr>
              <w:ind w:left="180"/>
              <w:spacing w:after="0"/>
              <w:rPr>
                <w:sz w:val="20"/>
                <w:szCs w:val="20"/>
                <w:color w:val="auto"/>
              </w:rPr>
            </w:pPr>
            <w:r>
              <w:rPr>
                <w:rFonts w:ascii="Arial" w:cs="Arial" w:eastAsia="Arial" w:hAnsi="Arial"/>
                <w:sz w:val="17"/>
                <w:szCs w:val="17"/>
                <w:color w:val="auto"/>
              </w:rPr>
              <w:t>information or engagement</w:t>
            </w:r>
          </w:p>
        </w:tc>
        <w:tc>
          <w:tcPr>
            <w:tcW w:w="240" w:type="dxa"/>
            <w:vAlign w:val="bottom"/>
          </w:tcPr>
          <w:p>
            <w:pPr>
              <w:spacing w:after="0"/>
              <w:rPr>
                <w:sz w:val="17"/>
                <w:szCs w:val="17"/>
                <w:color w:val="auto"/>
              </w:rPr>
            </w:pPr>
          </w:p>
        </w:tc>
        <w:tc>
          <w:tcPr>
            <w:tcW w:w="3660" w:type="dxa"/>
            <w:vAlign w:val="bottom"/>
            <w:shd w:val="clear" w:color="auto" w:fill="E5E7EF"/>
          </w:tcPr>
          <w:p>
            <w:pPr>
              <w:spacing w:after="0"/>
              <w:rPr>
                <w:sz w:val="17"/>
                <w:szCs w:val="17"/>
                <w:color w:val="auto"/>
              </w:rPr>
            </w:pPr>
          </w:p>
        </w:tc>
      </w:tr>
      <w:tr>
        <w:trPr>
          <w:trHeight w:val="407"/>
        </w:trPr>
        <w:tc>
          <w:tcPr>
            <w:tcW w:w="3640" w:type="dxa"/>
            <w:vAlign w:val="bottom"/>
            <w:shd w:val="clear" w:color="auto" w:fill="E5E7EF"/>
          </w:tcPr>
          <w:p>
            <w:pPr>
              <w:spacing w:after="0"/>
              <w:rPr>
                <w:sz w:val="24"/>
                <w:szCs w:val="24"/>
                <w:color w:val="auto"/>
              </w:rPr>
            </w:pPr>
          </w:p>
        </w:tc>
        <w:tc>
          <w:tcPr>
            <w:tcW w:w="240" w:type="dxa"/>
            <w:vAlign w:val="bottom"/>
          </w:tcPr>
          <w:p>
            <w:pPr>
              <w:spacing w:after="0"/>
              <w:rPr>
                <w:sz w:val="24"/>
                <w:szCs w:val="24"/>
                <w:color w:val="auto"/>
              </w:rPr>
            </w:pPr>
          </w:p>
        </w:tc>
        <w:tc>
          <w:tcPr>
            <w:tcW w:w="3660" w:type="dxa"/>
            <w:vAlign w:val="bottom"/>
            <w:shd w:val="clear" w:color="auto" w:fill="E5E7E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0</wp:posOffset>
            </wp:positionV>
            <wp:extent cx="3736975" cy="6140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736975" cy="614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shd w:val="clear" w:color="auto" w:fill="E5E7EF"/>
          </w:tcPr>
          <w:p>
            <w:pPr>
              <w:ind w:left="2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Board responds, as appropriate, with</w:t>
            </w:r>
          </w:p>
        </w:tc>
        <w:tc>
          <w:tcPr>
            <w:tcW w:w="240" w:type="dxa"/>
            <w:vAlign w:val="bottom"/>
          </w:tcPr>
          <w:p>
            <w:pPr>
              <w:spacing w:after="0"/>
              <w:rPr>
                <w:sz w:val="19"/>
                <w:szCs w:val="19"/>
                <w:color w:val="auto"/>
              </w:rPr>
            </w:pPr>
          </w:p>
        </w:tc>
        <w:tc>
          <w:tcPr>
            <w:tcW w:w="3660" w:type="dxa"/>
            <w:vAlign w:val="bottom"/>
            <w:shd w:val="clear" w:color="auto" w:fill="E5E7EF"/>
          </w:tcPr>
          <w:p>
            <w:pPr>
              <w:ind w:left="2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Discuss and evaluate voting results from</w:t>
            </w:r>
          </w:p>
        </w:tc>
      </w:tr>
      <w:tr>
        <w:trPr>
          <w:trHeight w:val="202"/>
        </w:trPr>
        <w:tc>
          <w:tcPr>
            <w:tcW w:w="3640" w:type="dxa"/>
            <w:vAlign w:val="bottom"/>
            <w:shd w:val="clear" w:color="auto" w:fill="E5E7EF"/>
          </w:tcPr>
          <w:p>
            <w:pPr>
              <w:ind w:left="180"/>
              <w:spacing w:after="0"/>
              <w:rPr>
                <w:sz w:val="20"/>
                <w:szCs w:val="20"/>
                <w:color w:val="auto"/>
              </w:rPr>
            </w:pPr>
            <w:r>
              <w:rPr>
                <w:rFonts w:ascii="Arial" w:cs="Arial" w:eastAsia="Arial" w:hAnsi="Arial"/>
                <w:sz w:val="17"/>
                <w:szCs w:val="17"/>
                <w:color w:val="auto"/>
              </w:rPr>
              <w:t>continued discussions with stockholders and</w:t>
            </w:r>
          </w:p>
        </w:tc>
        <w:tc>
          <w:tcPr>
            <w:tcW w:w="240" w:type="dxa"/>
            <w:vAlign w:val="bottom"/>
          </w:tcPr>
          <w:p>
            <w:pPr>
              <w:spacing w:after="0"/>
              <w:rPr>
                <w:sz w:val="17"/>
                <w:szCs w:val="17"/>
                <w:color w:val="auto"/>
              </w:rPr>
            </w:pPr>
          </w:p>
        </w:tc>
        <w:tc>
          <w:tcPr>
            <w:tcW w:w="3660" w:type="dxa"/>
            <w:vAlign w:val="bottom"/>
            <w:shd w:val="clear" w:color="auto" w:fill="E5E7EF"/>
          </w:tcPr>
          <w:p>
            <w:pPr>
              <w:ind w:left="180"/>
              <w:spacing w:after="0"/>
              <w:rPr>
                <w:sz w:val="20"/>
                <w:szCs w:val="20"/>
                <w:color w:val="auto"/>
              </w:rPr>
            </w:pPr>
            <w:r>
              <w:rPr>
                <w:rFonts w:ascii="Arial" w:cs="Arial" w:eastAsia="Arial" w:hAnsi="Arial"/>
                <w:sz w:val="17"/>
                <w:szCs w:val="17"/>
                <w:color w:val="auto"/>
              </w:rPr>
              <w:t>annual meeting of stockholders</w:t>
            </w:r>
          </w:p>
        </w:tc>
      </w:tr>
      <w:tr>
        <w:trPr>
          <w:trHeight w:val="202"/>
        </w:trPr>
        <w:tc>
          <w:tcPr>
            <w:tcW w:w="3640" w:type="dxa"/>
            <w:vAlign w:val="bottom"/>
            <w:shd w:val="clear" w:color="auto" w:fill="E5E7EF"/>
          </w:tcPr>
          <w:p>
            <w:pPr>
              <w:ind w:left="180"/>
              <w:spacing w:after="0"/>
              <w:rPr>
                <w:sz w:val="20"/>
                <w:szCs w:val="20"/>
                <w:color w:val="auto"/>
              </w:rPr>
            </w:pPr>
            <w:r>
              <w:rPr>
                <w:rFonts w:ascii="Arial" w:cs="Arial" w:eastAsia="Arial" w:hAnsi="Arial"/>
                <w:sz w:val="17"/>
                <w:szCs w:val="17"/>
                <w:color w:val="auto"/>
              </w:rPr>
              <w:t>enhancements to policies, practices and</w:t>
            </w:r>
          </w:p>
        </w:tc>
        <w:tc>
          <w:tcPr>
            <w:tcW w:w="240" w:type="dxa"/>
            <w:vAlign w:val="bottom"/>
          </w:tcPr>
          <w:p>
            <w:pPr>
              <w:spacing w:after="0"/>
              <w:rPr>
                <w:sz w:val="17"/>
                <w:szCs w:val="17"/>
                <w:color w:val="auto"/>
              </w:rPr>
            </w:pPr>
          </w:p>
        </w:tc>
        <w:tc>
          <w:tcPr>
            <w:tcW w:w="3660" w:type="dxa"/>
            <w:vAlign w:val="bottom"/>
            <w:shd w:val="clear" w:color="auto" w:fill="E5E7EF"/>
          </w:tcPr>
          <w:p>
            <w:pPr>
              <w:ind w:left="2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Stockholder input informs our Board’s</w:t>
            </w:r>
          </w:p>
        </w:tc>
      </w:tr>
      <w:tr>
        <w:trPr>
          <w:trHeight w:val="202"/>
        </w:trPr>
        <w:tc>
          <w:tcPr>
            <w:tcW w:w="3640" w:type="dxa"/>
            <w:vAlign w:val="bottom"/>
            <w:shd w:val="clear" w:color="auto" w:fill="E5E7EF"/>
          </w:tcPr>
          <w:p>
            <w:pPr>
              <w:ind w:left="180"/>
              <w:spacing w:after="0"/>
              <w:rPr>
                <w:sz w:val="20"/>
                <w:szCs w:val="20"/>
                <w:color w:val="auto"/>
              </w:rPr>
            </w:pPr>
            <w:r>
              <w:rPr>
                <w:rFonts w:ascii="Arial" w:cs="Arial" w:eastAsia="Arial" w:hAnsi="Arial"/>
                <w:sz w:val="17"/>
                <w:szCs w:val="17"/>
                <w:color w:val="auto"/>
              </w:rPr>
              <w:t>disclosures</w:t>
            </w:r>
          </w:p>
        </w:tc>
        <w:tc>
          <w:tcPr>
            <w:tcW w:w="240" w:type="dxa"/>
            <w:vAlign w:val="bottom"/>
          </w:tcPr>
          <w:p>
            <w:pPr>
              <w:spacing w:after="0"/>
              <w:rPr>
                <w:sz w:val="17"/>
                <w:szCs w:val="17"/>
                <w:color w:val="auto"/>
              </w:rPr>
            </w:pPr>
          </w:p>
        </w:tc>
        <w:tc>
          <w:tcPr>
            <w:tcW w:w="3660" w:type="dxa"/>
            <w:vAlign w:val="bottom"/>
            <w:shd w:val="clear" w:color="auto" w:fill="E5E7EF"/>
          </w:tcPr>
          <w:p>
            <w:pPr>
              <w:ind w:left="180"/>
              <w:spacing w:after="0"/>
              <w:rPr>
                <w:sz w:val="20"/>
                <w:szCs w:val="20"/>
                <w:color w:val="auto"/>
              </w:rPr>
            </w:pPr>
            <w:r>
              <w:rPr>
                <w:rFonts w:ascii="Arial" w:cs="Arial" w:eastAsia="Arial" w:hAnsi="Arial"/>
                <w:sz w:val="17"/>
                <w:szCs w:val="17"/>
                <w:color w:val="auto"/>
              </w:rPr>
              <w:t>ongoing process of continually enhancing</w:t>
            </w:r>
          </w:p>
        </w:tc>
      </w:tr>
      <w:tr>
        <w:trPr>
          <w:trHeight w:val="202"/>
        </w:trPr>
        <w:tc>
          <w:tcPr>
            <w:tcW w:w="3640" w:type="dxa"/>
            <w:vAlign w:val="bottom"/>
            <w:shd w:val="clear" w:color="auto" w:fill="E5E7EF"/>
          </w:tcPr>
          <w:p>
            <w:pPr>
              <w:ind w:left="2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Board uses stockholder feedback to enhance</w:t>
            </w:r>
          </w:p>
        </w:tc>
        <w:tc>
          <w:tcPr>
            <w:tcW w:w="240" w:type="dxa"/>
            <w:vAlign w:val="bottom"/>
          </w:tcPr>
          <w:p>
            <w:pPr>
              <w:spacing w:after="0"/>
              <w:rPr>
                <w:sz w:val="17"/>
                <w:szCs w:val="17"/>
                <w:color w:val="auto"/>
              </w:rPr>
            </w:pPr>
          </w:p>
        </w:tc>
        <w:tc>
          <w:tcPr>
            <w:tcW w:w="3660" w:type="dxa"/>
            <w:vAlign w:val="bottom"/>
            <w:shd w:val="clear" w:color="auto" w:fill="E5E7EF"/>
          </w:tcPr>
          <w:p>
            <w:pPr>
              <w:ind w:left="180"/>
              <w:spacing w:after="0"/>
              <w:rPr>
                <w:sz w:val="20"/>
                <w:szCs w:val="20"/>
                <w:color w:val="auto"/>
              </w:rPr>
            </w:pPr>
            <w:r>
              <w:rPr>
                <w:rFonts w:ascii="Arial" w:cs="Arial" w:eastAsia="Arial" w:hAnsi="Arial"/>
                <w:sz w:val="17"/>
                <w:szCs w:val="17"/>
                <w:color w:val="auto"/>
              </w:rPr>
              <w:t>governance and other practices</w:t>
            </w:r>
          </w:p>
        </w:tc>
      </w:tr>
      <w:tr>
        <w:trPr>
          <w:trHeight w:val="202"/>
        </w:trPr>
        <w:tc>
          <w:tcPr>
            <w:tcW w:w="3640" w:type="dxa"/>
            <w:vAlign w:val="bottom"/>
            <w:shd w:val="clear" w:color="auto" w:fill="E5E7EF"/>
          </w:tcPr>
          <w:p>
            <w:pPr>
              <w:ind w:left="180"/>
              <w:spacing w:after="0"/>
              <w:rPr>
                <w:sz w:val="20"/>
                <w:szCs w:val="20"/>
                <w:color w:val="auto"/>
              </w:rPr>
            </w:pPr>
            <w:r>
              <w:rPr>
                <w:rFonts w:ascii="Arial" w:cs="Arial" w:eastAsia="Arial" w:hAnsi="Arial"/>
                <w:sz w:val="17"/>
                <w:szCs w:val="17"/>
                <w:color w:val="auto"/>
              </w:rPr>
              <w:t>our disclosures, governance practices,</w:t>
            </w:r>
          </w:p>
        </w:tc>
        <w:tc>
          <w:tcPr>
            <w:tcW w:w="240" w:type="dxa"/>
            <w:vAlign w:val="bottom"/>
          </w:tcPr>
          <w:p>
            <w:pPr>
              <w:spacing w:after="0"/>
              <w:rPr>
                <w:sz w:val="17"/>
                <w:szCs w:val="17"/>
                <w:color w:val="auto"/>
              </w:rPr>
            </w:pPr>
          </w:p>
        </w:tc>
        <w:tc>
          <w:tcPr>
            <w:tcW w:w="3660" w:type="dxa"/>
            <w:vAlign w:val="bottom"/>
            <w:shd w:val="clear" w:color="auto" w:fill="E5E7EF"/>
          </w:tcPr>
          <w:p>
            <w:pPr>
              <w:spacing w:after="0"/>
              <w:rPr>
                <w:sz w:val="17"/>
                <w:szCs w:val="17"/>
                <w:color w:val="auto"/>
              </w:rPr>
            </w:pPr>
          </w:p>
        </w:tc>
      </w:tr>
      <w:tr>
        <w:trPr>
          <w:trHeight w:val="202"/>
        </w:trPr>
        <w:tc>
          <w:tcPr>
            <w:tcW w:w="3640" w:type="dxa"/>
            <w:vAlign w:val="bottom"/>
            <w:shd w:val="clear" w:color="auto" w:fill="E5E7EF"/>
          </w:tcPr>
          <w:p>
            <w:pPr>
              <w:ind w:left="180"/>
              <w:spacing w:after="0"/>
              <w:rPr>
                <w:sz w:val="20"/>
                <w:szCs w:val="20"/>
                <w:color w:val="auto"/>
              </w:rPr>
            </w:pPr>
            <w:r>
              <w:rPr>
                <w:rFonts w:ascii="Arial" w:cs="Arial" w:eastAsia="Arial" w:hAnsi="Arial"/>
                <w:sz w:val="17"/>
                <w:szCs w:val="17"/>
                <w:color w:val="auto"/>
              </w:rPr>
              <w:t>environmental and social policies and</w:t>
            </w:r>
          </w:p>
        </w:tc>
        <w:tc>
          <w:tcPr>
            <w:tcW w:w="240" w:type="dxa"/>
            <w:vAlign w:val="bottom"/>
          </w:tcPr>
          <w:p>
            <w:pPr>
              <w:spacing w:after="0"/>
              <w:rPr>
                <w:sz w:val="17"/>
                <w:szCs w:val="17"/>
                <w:color w:val="auto"/>
              </w:rPr>
            </w:pPr>
          </w:p>
        </w:tc>
        <w:tc>
          <w:tcPr>
            <w:tcW w:w="3660" w:type="dxa"/>
            <w:vAlign w:val="bottom"/>
            <w:shd w:val="clear" w:color="auto" w:fill="E5E7EF"/>
          </w:tcPr>
          <w:p>
            <w:pPr>
              <w:spacing w:after="0"/>
              <w:rPr>
                <w:sz w:val="17"/>
                <w:szCs w:val="17"/>
                <w:color w:val="auto"/>
              </w:rPr>
            </w:pPr>
          </w:p>
        </w:tc>
      </w:tr>
      <w:tr>
        <w:trPr>
          <w:trHeight w:val="204"/>
        </w:trPr>
        <w:tc>
          <w:tcPr>
            <w:tcW w:w="3640" w:type="dxa"/>
            <w:vAlign w:val="bottom"/>
            <w:shd w:val="clear" w:color="auto" w:fill="E5E7EF"/>
          </w:tcPr>
          <w:p>
            <w:pPr>
              <w:ind w:left="180"/>
              <w:spacing w:after="0"/>
              <w:rPr>
                <w:sz w:val="20"/>
                <w:szCs w:val="20"/>
                <w:color w:val="auto"/>
              </w:rPr>
            </w:pPr>
            <w:r>
              <w:rPr>
                <w:rFonts w:ascii="Arial" w:cs="Arial" w:eastAsia="Arial" w:hAnsi="Arial"/>
                <w:sz w:val="17"/>
                <w:szCs w:val="17"/>
                <w:color w:val="auto"/>
              </w:rPr>
              <w:t>compensation programs</w:t>
            </w:r>
          </w:p>
        </w:tc>
        <w:tc>
          <w:tcPr>
            <w:tcW w:w="240" w:type="dxa"/>
            <w:vAlign w:val="bottom"/>
          </w:tcPr>
          <w:p>
            <w:pPr>
              <w:spacing w:after="0"/>
              <w:rPr>
                <w:sz w:val="17"/>
                <w:szCs w:val="17"/>
                <w:color w:val="auto"/>
              </w:rPr>
            </w:pPr>
          </w:p>
        </w:tc>
        <w:tc>
          <w:tcPr>
            <w:tcW w:w="3660" w:type="dxa"/>
            <w:vAlign w:val="bottom"/>
            <w:shd w:val="clear" w:color="auto" w:fill="E5E7EF"/>
          </w:tcPr>
          <w:p>
            <w:pPr>
              <w:spacing w:after="0"/>
              <w:rPr>
                <w:sz w:val="17"/>
                <w:szCs w:val="17"/>
                <w:color w:val="auto"/>
              </w:rPr>
            </w:pPr>
          </w:p>
        </w:tc>
      </w:tr>
      <w:tr>
        <w:trPr>
          <w:trHeight w:val="125"/>
        </w:trPr>
        <w:tc>
          <w:tcPr>
            <w:tcW w:w="3640" w:type="dxa"/>
            <w:vAlign w:val="bottom"/>
            <w:shd w:val="clear" w:color="auto" w:fill="E5E7EF"/>
          </w:tcPr>
          <w:p>
            <w:pPr>
              <w:spacing w:after="0"/>
              <w:rPr>
                <w:sz w:val="10"/>
                <w:szCs w:val="10"/>
                <w:color w:val="auto"/>
              </w:rPr>
            </w:pPr>
          </w:p>
        </w:tc>
        <w:tc>
          <w:tcPr>
            <w:tcW w:w="240" w:type="dxa"/>
            <w:vAlign w:val="bottom"/>
          </w:tcPr>
          <w:p>
            <w:pPr>
              <w:spacing w:after="0"/>
              <w:rPr>
                <w:sz w:val="10"/>
                <w:szCs w:val="10"/>
                <w:color w:val="auto"/>
              </w:rPr>
            </w:pPr>
          </w:p>
        </w:tc>
        <w:tc>
          <w:tcPr>
            <w:tcW w:w="3660" w:type="dxa"/>
            <w:vAlign w:val="bottom"/>
            <w:shd w:val="clear" w:color="auto" w:fill="E5E7EF"/>
          </w:tcPr>
          <w:p>
            <w:pPr>
              <w:spacing w:after="0"/>
              <w:rPr>
                <w:sz w:val="10"/>
                <w:szCs w:val="10"/>
                <w:color w:val="auto"/>
              </w:rPr>
            </w:pPr>
          </w:p>
        </w:tc>
      </w:tr>
      <w:tr>
        <w:trPr>
          <w:trHeight w:val="107"/>
        </w:trPr>
        <w:tc>
          <w:tcPr>
            <w:tcW w:w="3640" w:type="dxa"/>
            <w:vAlign w:val="bottom"/>
            <w:shd w:val="clear" w:color="auto" w:fill="003478"/>
          </w:tcPr>
          <w:p>
            <w:pPr>
              <w:spacing w:after="0"/>
              <w:rPr>
                <w:sz w:val="9"/>
                <w:szCs w:val="9"/>
                <w:color w:val="auto"/>
              </w:rPr>
            </w:pPr>
          </w:p>
        </w:tc>
        <w:tc>
          <w:tcPr>
            <w:tcW w:w="240" w:type="dxa"/>
            <w:vAlign w:val="bottom"/>
          </w:tcPr>
          <w:p>
            <w:pPr>
              <w:spacing w:after="0"/>
              <w:rPr>
                <w:sz w:val="9"/>
                <w:szCs w:val="9"/>
                <w:color w:val="auto"/>
              </w:rPr>
            </w:pPr>
          </w:p>
        </w:tc>
        <w:tc>
          <w:tcPr>
            <w:tcW w:w="3660" w:type="dxa"/>
            <w:vAlign w:val="bottom"/>
            <w:shd w:val="clear" w:color="auto" w:fill="003478"/>
          </w:tcPr>
          <w:p>
            <w:pPr>
              <w:spacing w:after="0"/>
              <w:rPr>
                <w:sz w:val="9"/>
                <w:szCs w:val="9"/>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003478"/>
        </w:rPr>
        <w:t>Topic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-245110</wp:posOffset>
            </wp:positionV>
            <wp:extent cx="2201545" cy="32423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201545" cy="3242310"/>
                    </a:xfrm>
                    <a:prstGeom prst="rect">
                      <a:avLst/>
                    </a:prstGeom>
                    <a:noFill/>
                  </pic:spPr>
                </pic:pic>
              </a:graphicData>
            </a:graphic>
          </wp:anchor>
        </w:drawing>
      </w:r>
    </w:p>
    <w:p>
      <w:pPr>
        <w:spacing w:after="0" w:line="70" w:lineRule="exact"/>
        <w:rPr>
          <w:sz w:val="20"/>
          <w:szCs w:val="20"/>
          <w:color w:val="auto"/>
        </w:rPr>
      </w:pPr>
    </w:p>
    <w:p>
      <w:pPr>
        <w:ind w:left="140" w:hanging="135"/>
        <w:spacing w:after="0"/>
        <w:tabs>
          <w:tab w:leader="none" w:pos="140" w:val="left"/>
        </w:tabs>
        <w:numPr>
          <w:ilvl w:val="0"/>
          <w:numId w:val="53"/>
        </w:numPr>
        <w:rPr>
          <w:rFonts w:ascii="Arial" w:cs="Arial" w:eastAsia="Arial" w:hAnsi="Arial"/>
          <w:sz w:val="17"/>
          <w:szCs w:val="17"/>
          <w:color w:val="002E6D"/>
        </w:rPr>
      </w:pPr>
      <w:r>
        <w:rPr>
          <w:rFonts w:ascii="Arial" w:cs="Arial" w:eastAsia="Arial" w:hAnsi="Arial"/>
          <w:sz w:val="17"/>
          <w:szCs w:val="17"/>
          <w:color w:val="auto"/>
        </w:rPr>
        <w:t>Climate/Environmental Stewardship</w:t>
      </w:r>
    </w:p>
    <w:p>
      <w:pPr>
        <w:spacing w:after="0" w:line="6" w:lineRule="exact"/>
        <w:rPr>
          <w:rFonts w:ascii="Arial" w:cs="Arial" w:eastAsia="Arial" w:hAnsi="Arial"/>
          <w:sz w:val="17"/>
          <w:szCs w:val="17"/>
          <w:color w:val="002E6D"/>
        </w:rPr>
      </w:pPr>
    </w:p>
    <w:p>
      <w:pPr>
        <w:ind w:left="140" w:hanging="135"/>
        <w:spacing w:after="0"/>
        <w:tabs>
          <w:tab w:leader="none" w:pos="140" w:val="left"/>
        </w:tabs>
        <w:numPr>
          <w:ilvl w:val="0"/>
          <w:numId w:val="53"/>
        </w:numPr>
        <w:rPr>
          <w:rFonts w:ascii="Arial" w:cs="Arial" w:eastAsia="Arial" w:hAnsi="Arial"/>
          <w:sz w:val="17"/>
          <w:szCs w:val="17"/>
          <w:color w:val="002E6D"/>
        </w:rPr>
      </w:pPr>
      <w:r>
        <w:rPr>
          <w:rFonts w:ascii="Arial" w:cs="Arial" w:eastAsia="Arial" w:hAnsi="Arial"/>
          <w:sz w:val="17"/>
          <w:szCs w:val="17"/>
          <w:color w:val="auto"/>
        </w:rPr>
        <w:t>Board diversity and refreshment</w:t>
      </w:r>
    </w:p>
    <w:p>
      <w:pPr>
        <w:spacing w:after="0" w:line="6" w:lineRule="exact"/>
        <w:rPr>
          <w:rFonts w:ascii="Arial" w:cs="Arial" w:eastAsia="Arial" w:hAnsi="Arial"/>
          <w:sz w:val="17"/>
          <w:szCs w:val="17"/>
          <w:color w:val="002E6D"/>
        </w:rPr>
      </w:pPr>
    </w:p>
    <w:p>
      <w:pPr>
        <w:ind w:left="140" w:hanging="135"/>
        <w:spacing w:after="0"/>
        <w:tabs>
          <w:tab w:leader="none" w:pos="140" w:val="left"/>
        </w:tabs>
        <w:numPr>
          <w:ilvl w:val="0"/>
          <w:numId w:val="53"/>
        </w:numPr>
        <w:rPr>
          <w:rFonts w:ascii="Arial" w:cs="Arial" w:eastAsia="Arial" w:hAnsi="Arial"/>
          <w:sz w:val="17"/>
          <w:szCs w:val="17"/>
          <w:color w:val="002E6D"/>
        </w:rPr>
      </w:pPr>
      <w:r>
        <w:rPr>
          <w:rFonts w:ascii="Arial" w:cs="Arial" w:eastAsia="Arial" w:hAnsi="Arial"/>
          <w:sz w:val="17"/>
          <w:szCs w:val="17"/>
          <w:color w:val="auto"/>
        </w:rPr>
        <w:t>Workforce diversity and inclusion</w:t>
      </w:r>
    </w:p>
    <w:p>
      <w:pPr>
        <w:spacing w:after="0" w:line="6" w:lineRule="exact"/>
        <w:rPr>
          <w:rFonts w:ascii="Arial" w:cs="Arial" w:eastAsia="Arial" w:hAnsi="Arial"/>
          <w:sz w:val="17"/>
          <w:szCs w:val="17"/>
          <w:color w:val="002E6D"/>
        </w:rPr>
      </w:pPr>
    </w:p>
    <w:p>
      <w:pPr>
        <w:ind w:left="140" w:hanging="135"/>
        <w:spacing w:after="0"/>
        <w:tabs>
          <w:tab w:leader="none" w:pos="140" w:val="left"/>
        </w:tabs>
        <w:numPr>
          <w:ilvl w:val="0"/>
          <w:numId w:val="53"/>
        </w:numPr>
        <w:rPr>
          <w:rFonts w:ascii="Arial" w:cs="Arial" w:eastAsia="Arial" w:hAnsi="Arial"/>
          <w:sz w:val="17"/>
          <w:szCs w:val="17"/>
          <w:color w:val="003478"/>
        </w:rPr>
      </w:pPr>
      <w:r>
        <w:rPr>
          <w:rFonts w:ascii="Arial" w:cs="Arial" w:eastAsia="Arial" w:hAnsi="Arial"/>
          <w:sz w:val="17"/>
          <w:szCs w:val="17"/>
          <w:color w:val="auto"/>
        </w:rPr>
        <w:t>Human rights risks</w:t>
      </w:r>
    </w:p>
    <w:p>
      <w:pPr>
        <w:spacing w:after="0" w:line="6" w:lineRule="exact"/>
        <w:rPr>
          <w:rFonts w:ascii="Arial" w:cs="Arial" w:eastAsia="Arial" w:hAnsi="Arial"/>
          <w:sz w:val="17"/>
          <w:szCs w:val="17"/>
          <w:color w:val="003478"/>
        </w:rPr>
      </w:pPr>
    </w:p>
    <w:p>
      <w:pPr>
        <w:ind w:left="140" w:hanging="135"/>
        <w:spacing w:after="0"/>
        <w:tabs>
          <w:tab w:leader="none" w:pos="140" w:val="left"/>
        </w:tabs>
        <w:numPr>
          <w:ilvl w:val="0"/>
          <w:numId w:val="53"/>
        </w:numPr>
        <w:rPr>
          <w:rFonts w:ascii="Arial" w:cs="Arial" w:eastAsia="Arial" w:hAnsi="Arial"/>
          <w:sz w:val="17"/>
          <w:szCs w:val="17"/>
          <w:color w:val="002E6D"/>
        </w:rPr>
      </w:pPr>
      <w:r>
        <w:rPr>
          <w:rFonts w:ascii="Arial" w:cs="Arial" w:eastAsia="Arial" w:hAnsi="Arial"/>
          <w:sz w:val="17"/>
          <w:szCs w:val="17"/>
          <w:color w:val="auto"/>
        </w:rPr>
        <w:t>Executive compensation</w:t>
      </w:r>
    </w:p>
    <w:p>
      <w:pPr>
        <w:spacing w:after="0" w:line="6" w:lineRule="exact"/>
        <w:rPr>
          <w:rFonts w:ascii="Arial" w:cs="Arial" w:eastAsia="Arial" w:hAnsi="Arial"/>
          <w:sz w:val="17"/>
          <w:szCs w:val="17"/>
          <w:color w:val="002E6D"/>
        </w:rPr>
      </w:pPr>
    </w:p>
    <w:p>
      <w:pPr>
        <w:ind w:left="140" w:hanging="135"/>
        <w:spacing w:after="0"/>
        <w:tabs>
          <w:tab w:leader="none" w:pos="140" w:val="left"/>
        </w:tabs>
        <w:numPr>
          <w:ilvl w:val="0"/>
          <w:numId w:val="53"/>
        </w:numPr>
        <w:rPr>
          <w:rFonts w:ascii="Arial" w:cs="Arial" w:eastAsia="Arial" w:hAnsi="Arial"/>
          <w:sz w:val="17"/>
          <w:szCs w:val="17"/>
          <w:color w:val="002E6D"/>
        </w:rPr>
      </w:pPr>
      <w:r>
        <w:rPr>
          <w:rFonts w:ascii="Arial" w:cs="Arial" w:eastAsia="Arial" w:hAnsi="Arial"/>
          <w:sz w:val="17"/>
          <w:szCs w:val="17"/>
          <w:color w:val="auto"/>
        </w:rPr>
        <w:t>Lobbying and political spending</w:t>
      </w:r>
    </w:p>
    <w:p>
      <w:pPr>
        <w:spacing w:after="0" w:line="6" w:lineRule="exact"/>
        <w:rPr>
          <w:rFonts w:ascii="Arial" w:cs="Arial" w:eastAsia="Arial" w:hAnsi="Arial"/>
          <w:sz w:val="17"/>
          <w:szCs w:val="17"/>
          <w:color w:val="002E6D"/>
        </w:rPr>
      </w:pPr>
    </w:p>
    <w:p>
      <w:pPr>
        <w:ind w:left="140" w:hanging="135"/>
        <w:spacing w:after="0"/>
        <w:tabs>
          <w:tab w:leader="none" w:pos="140" w:val="left"/>
        </w:tabs>
        <w:numPr>
          <w:ilvl w:val="0"/>
          <w:numId w:val="53"/>
        </w:numPr>
        <w:rPr>
          <w:rFonts w:ascii="Arial" w:cs="Arial" w:eastAsia="Arial" w:hAnsi="Arial"/>
          <w:sz w:val="17"/>
          <w:szCs w:val="17"/>
          <w:color w:val="002E6D"/>
        </w:rPr>
      </w:pPr>
      <w:r>
        <w:rPr>
          <w:rFonts w:ascii="Arial" w:cs="Arial" w:eastAsia="Arial" w:hAnsi="Arial"/>
          <w:sz w:val="17"/>
          <w:szCs w:val="17"/>
          <w:color w:val="auto"/>
        </w:rPr>
        <w:t>Stockholder Proposals</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003478"/>
        </w:rPr>
        <w:t>Key Participants</w:t>
      </w:r>
    </w:p>
    <w:p>
      <w:pPr>
        <w:spacing w:after="0" w:line="104" w:lineRule="exact"/>
        <w:rPr>
          <w:sz w:val="20"/>
          <w:szCs w:val="20"/>
          <w:color w:val="auto"/>
        </w:rPr>
      </w:pPr>
    </w:p>
    <w:p>
      <w:pPr>
        <w:ind w:left="140" w:hanging="135"/>
        <w:spacing w:after="0"/>
        <w:tabs>
          <w:tab w:leader="none" w:pos="140" w:val="left"/>
        </w:tabs>
        <w:numPr>
          <w:ilvl w:val="0"/>
          <w:numId w:val="54"/>
        </w:numPr>
        <w:rPr>
          <w:rFonts w:ascii="Arial" w:cs="Arial" w:eastAsia="Arial" w:hAnsi="Arial"/>
          <w:sz w:val="17"/>
          <w:szCs w:val="17"/>
          <w:color w:val="002E6D"/>
        </w:rPr>
      </w:pPr>
      <w:r>
        <w:rPr>
          <w:rFonts w:ascii="Arial" w:cs="Arial" w:eastAsia="Arial" w:hAnsi="Arial"/>
          <w:sz w:val="17"/>
          <w:szCs w:val="17"/>
          <w:color w:val="auto"/>
        </w:rPr>
        <w:t>Independent Lead Director</w:t>
      </w:r>
    </w:p>
    <w:p>
      <w:pPr>
        <w:spacing w:after="0" w:line="6" w:lineRule="exact"/>
        <w:rPr>
          <w:rFonts w:ascii="Arial" w:cs="Arial" w:eastAsia="Arial" w:hAnsi="Arial"/>
          <w:sz w:val="17"/>
          <w:szCs w:val="17"/>
          <w:color w:val="002E6D"/>
        </w:rPr>
      </w:pPr>
    </w:p>
    <w:p>
      <w:pPr>
        <w:ind w:left="140" w:hanging="135"/>
        <w:spacing w:after="0"/>
        <w:tabs>
          <w:tab w:leader="none" w:pos="140" w:val="left"/>
        </w:tabs>
        <w:numPr>
          <w:ilvl w:val="0"/>
          <w:numId w:val="54"/>
        </w:numPr>
        <w:rPr>
          <w:rFonts w:ascii="Arial" w:cs="Arial" w:eastAsia="Arial" w:hAnsi="Arial"/>
          <w:sz w:val="17"/>
          <w:szCs w:val="17"/>
          <w:color w:val="0A1A5C"/>
        </w:rPr>
      </w:pPr>
      <w:r>
        <w:rPr>
          <w:rFonts w:ascii="Arial" w:cs="Arial" w:eastAsia="Arial" w:hAnsi="Arial"/>
          <w:sz w:val="17"/>
          <w:szCs w:val="17"/>
          <w:color w:val="auto"/>
        </w:rPr>
        <w:t>Executive Leadership</w:t>
      </w:r>
    </w:p>
    <w:p>
      <w:pPr>
        <w:spacing w:after="0" w:line="6" w:lineRule="exact"/>
        <w:rPr>
          <w:rFonts w:ascii="Arial" w:cs="Arial" w:eastAsia="Arial" w:hAnsi="Arial"/>
          <w:sz w:val="17"/>
          <w:szCs w:val="17"/>
          <w:color w:val="0A1A5C"/>
        </w:rPr>
      </w:pPr>
    </w:p>
    <w:p>
      <w:pPr>
        <w:ind w:left="140" w:hanging="135"/>
        <w:spacing w:after="0"/>
        <w:tabs>
          <w:tab w:leader="none" w:pos="140" w:val="left"/>
        </w:tabs>
        <w:numPr>
          <w:ilvl w:val="0"/>
          <w:numId w:val="54"/>
        </w:numPr>
        <w:rPr>
          <w:rFonts w:ascii="Arial" w:cs="Arial" w:eastAsia="Arial" w:hAnsi="Arial"/>
          <w:sz w:val="17"/>
          <w:szCs w:val="17"/>
          <w:color w:val="0A1A5C"/>
        </w:rPr>
      </w:pPr>
      <w:r>
        <w:rPr>
          <w:rFonts w:ascii="Arial" w:cs="Arial" w:eastAsia="Arial" w:hAnsi="Arial"/>
          <w:sz w:val="17"/>
          <w:szCs w:val="17"/>
          <w:color w:val="auto"/>
        </w:rPr>
        <w:t>Senior Management</w:t>
      </w:r>
    </w:p>
    <w:p>
      <w:pPr>
        <w:spacing w:after="0" w:line="6" w:lineRule="exact"/>
        <w:rPr>
          <w:rFonts w:ascii="Arial" w:cs="Arial" w:eastAsia="Arial" w:hAnsi="Arial"/>
          <w:sz w:val="17"/>
          <w:szCs w:val="17"/>
          <w:color w:val="0A1A5C"/>
        </w:rPr>
      </w:pPr>
    </w:p>
    <w:p>
      <w:pPr>
        <w:ind w:left="160" w:right="520" w:hanging="155"/>
        <w:spacing w:after="0" w:line="252" w:lineRule="auto"/>
        <w:tabs>
          <w:tab w:leader="none" w:pos="125" w:val="left"/>
        </w:tabs>
        <w:numPr>
          <w:ilvl w:val="0"/>
          <w:numId w:val="54"/>
        </w:numPr>
        <w:rPr>
          <w:rFonts w:ascii="Arial" w:cs="Arial" w:eastAsia="Arial" w:hAnsi="Arial"/>
          <w:sz w:val="17"/>
          <w:szCs w:val="17"/>
          <w:color w:val="002E6D"/>
        </w:rPr>
      </w:pPr>
      <w:r>
        <w:rPr>
          <w:rFonts w:ascii="Arial" w:cs="Arial" w:eastAsia="Arial" w:hAnsi="Arial"/>
          <w:sz w:val="17"/>
          <w:szCs w:val="17"/>
          <w:color w:val="auto"/>
        </w:rPr>
        <w:t>Subject Matter Experts (sustainability, executive compensation, diversity &amp; inclusion)</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003478"/>
        </w:rPr>
        <w:t>Methods of Engagement</w:t>
      </w:r>
    </w:p>
    <w:p>
      <w:pPr>
        <w:spacing w:after="0" w:line="77" w:lineRule="exact"/>
        <w:rPr>
          <w:sz w:val="20"/>
          <w:szCs w:val="20"/>
          <w:color w:val="auto"/>
        </w:rPr>
      </w:pPr>
    </w:p>
    <w:p>
      <w:pPr>
        <w:ind w:left="140" w:hanging="135"/>
        <w:spacing w:after="0"/>
        <w:tabs>
          <w:tab w:leader="none" w:pos="140" w:val="left"/>
        </w:tabs>
        <w:numPr>
          <w:ilvl w:val="0"/>
          <w:numId w:val="55"/>
        </w:numPr>
        <w:rPr>
          <w:rFonts w:ascii="Arial" w:cs="Arial" w:eastAsia="Arial" w:hAnsi="Arial"/>
          <w:sz w:val="17"/>
          <w:szCs w:val="17"/>
          <w:color w:val="002E6D"/>
        </w:rPr>
      </w:pPr>
      <w:r>
        <w:rPr>
          <w:rFonts w:ascii="Arial" w:cs="Arial" w:eastAsia="Arial" w:hAnsi="Arial"/>
          <w:sz w:val="17"/>
          <w:szCs w:val="17"/>
          <w:color w:val="auto"/>
        </w:rPr>
        <w:t>Telephone/video conferences</w:t>
      </w:r>
    </w:p>
    <w:p>
      <w:pPr>
        <w:spacing w:after="0" w:line="6" w:lineRule="exact"/>
        <w:rPr>
          <w:rFonts w:ascii="Arial" w:cs="Arial" w:eastAsia="Arial" w:hAnsi="Arial"/>
          <w:sz w:val="17"/>
          <w:szCs w:val="17"/>
          <w:color w:val="002E6D"/>
        </w:rPr>
      </w:pPr>
    </w:p>
    <w:p>
      <w:pPr>
        <w:ind w:left="140" w:hanging="135"/>
        <w:spacing w:after="0"/>
        <w:tabs>
          <w:tab w:leader="none" w:pos="140" w:val="left"/>
        </w:tabs>
        <w:numPr>
          <w:ilvl w:val="0"/>
          <w:numId w:val="55"/>
        </w:numPr>
        <w:rPr>
          <w:rFonts w:ascii="Arial" w:cs="Arial" w:eastAsia="Arial" w:hAnsi="Arial"/>
          <w:sz w:val="17"/>
          <w:szCs w:val="17"/>
          <w:color w:val="003478"/>
        </w:rPr>
      </w:pPr>
      <w:r>
        <w:rPr>
          <w:rFonts w:ascii="Arial" w:cs="Arial" w:eastAsia="Arial" w:hAnsi="Arial"/>
          <w:sz w:val="17"/>
          <w:szCs w:val="17"/>
          <w:color w:val="auto"/>
        </w:rPr>
        <w:t>Written correspondence &amp; surveys</w:t>
      </w:r>
    </w:p>
    <w:p>
      <w:pPr>
        <w:spacing w:after="0" w:line="14" w:lineRule="exact"/>
        <w:rPr>
          <w:rFonts w:ascii="Arial" w:cs="Arial" w:eastAsia="Arial" w:hAnsi="Arial"/>
          <w:sz w:val="17"/>
          <w:szCs w:val="17"/>
          <w:color w:val="003478"/>
        </w:rPr>
      </w:pPr>
    </w:p>
    <w:p>
      <w:pPr>
        <w:ind w:left="140" w:hanging="135"/>
        <w:spacing w:after="0"/>
        <w:tabs>
          <w:tab w:leader="none" w:pos="140" w:val="left"/>
        </w:tabs>
        <w:numPr>
          <w:ilvl w:val="0"/>
          <w:numId w:val="55"/>
        </w:numPr>
        <w:rPr>
          <w:rFonts w:ascii="Arial" w:cs="Arial" w:eastAsia="Arial" w:hAnsi="Arial"/>
          <w:sz w:val="16"/>
          <w:szCs w:val="16"/>
          <w:color w:val="003478"/>
        </w:rPr>
      </w:pPr>
      <w:r>
        <w:rPr>
          <w:rFonts w:ascii="Arial" w:cs="Arial" w:eastAsia="Arial" w:hAnsi="Arial"/>
          <w:sz w:val="16"/>
          <w:szCs w:val="16"/>
          <w:color w:val="auto"/>
        </w:rPr>
        <w:t>Annual meeting of stockholders</w:t>
      </w:r>
    </w:p>
    <w:p>
      <w:pPr>
        <w:spacing w:after="0" w:line="4" w:lineRule="exact"/>
        <w:rPr>
          <w:rFonts w:ascii="Arial" w:cs="Arial" w:eastAsia="Arial" w:hAnsi="Arial"/>
          <w:sz w:val="16"/>
          <w:szCs w:val="16"/>
          <w:color w:val="003478"/>
        </w:rPr>
      </w:pPr>
    </w:p>
    <w:p>
      <w:pPr>
        <w:ind w:left="140" w:hanging="135"/>
        <w:spacing w:after="0" w:line="227" w:lineRule="auto"/>
        <w:tabs>
          <w:tab w:leader="none" w:pos="140" w:val="left"/>
        </w:tabs>
        <w:numPr>
          <w:ilvl w:val="0"/>
          <w:numId w:val="55"/>
        </w:numPr>
        <w:rPr>
          <w:rFonts w:ascii="Arial" w:cs="Arial" w:eastAsia="Arial" w:hAnsi="Arial"/>
          <w:sz w:val="16"/>
          <w:szCs w:val="16"/>
          <w:color w:val="003478"/>
        </w:rPr>
      </w:pPr>
      <w:r>
        <w:rPr>
          <w:rFonts w:ascii="Arial" w:cs="Arial" w:eastAsia="Arial" w:hAnsi="Arial"/>
          <w:sz w:val="16"/>
          <w:szCs w:val="16"/>
          <w:color w:val="auto"/>
        </w:rPr>
        <w:t>Investor meetings and conferences</w:t>
      </w:r>
    </w:p>
    <w:p>
      <w:pPr>
        <w:ind w:left="140" w:hanging="135"/>
        <w:spacing w:after="0" w:line="210" w:lineRule="auto"/>
        <w:tabs>
          <w:tab w:leader="none" w:pos="140" w:val="left"/>
        </w:tabs>
        <w:numPr>
          <w:ilvl w:val="0"/>
          <w:numId w:val="55"/>
        </w:numPr>
        <w:rPr>
          <w:rFonts w:ascii="Arial" w:cs="Arial" w:eastAsia="Arial" w:hAnsi="Arial"/>
          <w:sz w:val="16"/>
          <w:szCs w:val="16"/>
          <w:color w:val="1F3B90"/>
        </w:rPr>
      </w:pPr>
      <w:r>
        <w:rPr>
          <w:rFonts w:ascii="Arial" w:cs="Arial" w:eastAsia="Arial" w:hAnsi="Arial"/>
          <w:sz w:val="16"/>
          <w:szCs w:val="16"/>
          <w:color w:val="auto"/>
        </w:rPr>
        <w:t>2021 Virtual “Investor Day”</w:t>
      </w:r>
    </w:p>
    <w:p>
      <w:pPr>
        <w:ind w:left="140" w:hanging="135"/>
        <w:spacing w:after="0"/>
        <w:tabs>
          <w:tab w:leader="none" w:pos="140" w:val="left"/>
        </w:tabs>
        <w:numPr>
          <w:ilvl w:val="0"/>
          <w:numId w:val="55"/>
        </w:numPr>
        <w:rPr>
          <w:rFonts w:ascii="Arial" w:cs="Arial" w:eastAsia="Arial" w:hAnsi="Arial"/>
          <w:sz w:val="16"/>
          <w:szCs w:val="16"/>
          <w:color w:val="1F3B90"/>
        </w:rPr>
      </w:pPr>
      <w:r>
        <w:rPr>
          <w:rFonts w:ascii="Arial" w:cs="Arial" w:eastAsia="Arial" w:hAnsi="Arial"/>
          <w:sz w:val="16"/>
          <w:szCs w:val="16"/>
          <w:color w:val="auto"/>
        </w:rPr>
        <w:t>Quarterly earnings calls</w:t>
      </w:r>
    </w:p>
    <w:p>
      <w:pPr>
        <w:spacing w:after="0" w:line="296" w:lineRule="exact"/>
        <w:rPr>
          <w:sz w:val="20"/>
          <w:szCs w:val="20"/>
          <w:color w:val="auto"/>
        </w:rPr>
      </w:pPr>
    </w:p>
    <w:p>
      <w:pPr>
        <w:sectPr>
          <w:pgSz w:w="11900" w:h="16838" w:orient="portrait"/>
          <w:cols w:equalWidth="0" w:num="2">
            <w:col w:w="7540" w:space="220"/>
            <w:col w:w="3480"/>
          </w:cols>
          <w:pgMar w:left="320" w:top="254" w:right="339"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26</w:t>
      </w:r>
    </w:p>
    <w:p>
      <w:pPr>
        <w:sectPr>
          <w:pgSz w:w="11900" w:h="16838" w:orient="portrait"/>
          <w:cols w:equalWidth="0" w:num="1">
            <w:col w:w="11240"/>
          </w:cols>
          <w:pgMar w:left="320" w:top="254" w:right="339" w:bottom="1440" w:gutter="0" w:footer="0" w:header="0"/>
          <w:type w:val="continuous"/>
        </w:sectPr>
      </w:pPr>
    </w:p>
    <w:bookmarkStart w:id="32" w:name="page33"/>
    <w:bookmarkEnd w:id="32"/>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9"/>
          <w:szCs w:val="29"/>
          <w:color w:val="003478"/>
        </w:rPr>
        <w:t>Board Policies and Processes</w:t>
      </w:r>
    </w:p>
    <w:p>
      <w:pPr>
        <w:spacing w:after="0" w:line="116" w:lineRule="exact"/>
        <w:rPr>
          <w:sz w:val="20"/>
          <w:szCs w:val="20"/>
          <w:color w:val="auto"/>
        </w:rPr>
      </w:pPr>
    </w:p>
    <w:p>
      <w:pPr>
        <w:spacing w:after="0"/>
        <w:rPr>
          <w:sz w:val="20"/>
          <w:szCs w:val="20"/>
          <w:color w:val="auto"/>
        </w:rPr>
      </w:pPr>
      <w:r>
        <w:rPr>
          <w:rFonts w:ascii="Arial" w:cs="Arial" w:eastAsia="Arial" w:hAnsi="Arial"/>
          <w:sz w:val="25"/>
          <w:szCs w:val="25"/>
          <w:color w:val="818EB4"/>
        </w:rPr>
        <w:t>Corporate Governance Guidelines</w:t>
      </w:r>
    </w:p>
    <w:p>
      <w:pPr>
        <w:spacing w:after="0" w:line="121"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 xml:space="preserve">The Board has adopted Governance Guidelines that describe the framework within which the Board and its committees oversee the governance of the Company. The current Governance Guidelines are available on the Company’s website at </w:t>
      </w:r>
      <w:r>
        <w:rPr>
          <w:rFonts w:ascii="Arial" w:cs="Arial" w:eastAsia="Arial" w:hAnsi="Arial"/>
          <w:sz w:val="17"/>
          <w:szCs w:val="17"/>
          <w:i w:val="1"/>
          <w:iCs w:val="1"/>
          <w:color w:val="auto"/>
        </w:rPr>
        <w:t>www.lockheedmartin.com/corporate-governance</w:t>
      </w:r>
      <w:r>
        <w:rPr>
          <w:rFonts w:ascii="Arial" w:cs="Arial" w:eastAsia="Arial" w:hAnsi="Arial"/>
          <w:sz w:val="17"/>
          <w:szCs w:val="17"/>
          <w:color w:val="auto"/>
        </w:rPr>
        <w:t>.</w:t>
      </w:r>
    </w:p>
    <w:p>
      <w:pPr>
        <w:spacing w:after="0" w:line="91" w:lineRule="exact"/>
        <w:rPr>
          <w:sz w:val="20"/>
          <w:szCs w:val="20"/>
          <w:color w:val="auto"/>
        </w:rPr>
      </w:pPr>
    </w:p>
    <w:p>
      <w:pPr>
        <w:ind w:right="800"/>
        <w:spacing w:after="0" w:line="274" w:lineRule="auto"/>
        <w:rPr>
          <w:sz w:val="20"/>
          <w:szCs w:val="20"/>
          <w:color w:val="auto"/>
        </w:rPr>
      </w:pPr>
      <w:r>
        <w:rPr>
          <w:rFonts w:ascii="Arial" w:cs="Arial" w:eastAsia="Arial" w:hAnsi="Arial"/>
          <w:sz w:val="17"/>
          <w:szCs w:val="17"/>
          <w:color w:val="auto"/>
        </w:rPr>
        <w:t>The Governance Committee regularly assesses our governance practices considering emerging trends and practices and implements best governance practices that it believes enhance the operation and effectiveness of the Board.</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Our Governance Guidelines cover a wide range of subjects,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7132955" cy="23552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955" cy="2355215"/>
                    </a:xfrm>
                    <a:prstGeom prst="rect">
                      <a:avLst/>
                    </a:prstGeom>
                    <a:noFill/>
                  </pic:spPr>
                </pic:pic>
              </a:graphicData>
            </a:graphic>
          </wp:anchor>
        </w:drawing>
      </w:r>
    </w:p>
    <w:p>
      <w:pPr>
        <w:sectPr>
          <w:pgSz w:w="11900" w:h="16838" w:orient="portrait"/>
          <w:cols w:equalWidth="0" w:num="1">
            <w:col w:w="11220"/>
          </w:cols>
          <w:pgMar w:left="320" w:top="254" w:right="359" w:bottom="1440" w:gutter="0" w:footer="0" w:header="0"/>
        </w:sectPr>
      </w:pPr>
    </w:p>
    <w:p>
      <w:pPr>
        <w:spacing w:after="0" w:line="288" w:lineRule="exact"/>
        <w:rPr>
          <w:sz w:val="20"/>
          <w:szCs w:val="20"/>
          <w:color w:val="auto"/>
        </w:rPr>
      </w:pPr>
    </w:p>
    <w:p>
      <w:pPr>
        <w:ind w:left="360" w:hanging="254"/>
        <w:spacing w:after="0"/>
        <w:tabs>
          <w:tab w:leader="none" w:pos="360" w:val="left"/>
        </w:tabs>
        <w:numPr>
          <w:ilvl w:val="0"/>
          <w:numId w:val="56"/>
        </w:numPr>
        <w:rPr>
          <w:rFonts w:ascii="Arial" w:cs="Arial" w:eastAsia="Arial" w:hAnsi="Arial"/>
          <w:sz w:val="17"/>
          <w:szCs w:val="17"/>
          <w:color w:val="002F6C"/>
        </w:rPr>
      </w:pPr>
      <w:r>
        <w:rPr>
          <w:rFonts w:ascii="Arial" w:cs="Arial" w:eastAsia="Arial" w:hAnsi="Arial"/>
          <w:sz w:val="17"/>
          <w:szCs w:val="17"/>
          <w:color w:val="auto"/>
        </w:rPr>
        <w:t>The role of the Board and director responsibilities;</w:t>
      </w:r>
    </w:p>
    <w:p>
      <w:pPr>
        <w:spacing w:after="0" w:line="73" w:lineRule="exact"/>
        <w:rPr>
          <w:rFonts w:ascii="Arial" w:cs="Arial" w:eastAsia="Arial" w:hAnsi="Arial"/>
          <w:sz w:val="17"/>
          <w:szCs w:val="17"/>
          <w:color w:val="002F6C"/>
        </w:rPr>
      </w:pPr>
    </w:p>
    <w:p>
      <w:pPr>
        <w:ind w:left="360" w:hanging="254"/>
        <w:spacing w:after="0"/>
        <w:tabs>
          <w:tab w:leader="none" w:pos="360" w:val="left"/>
        </w:tabs>
        <w:numPr>
          <w:ilvl w:val="0"/>
          <w:numId w:val="56"/>
        </w:numPr>
        <w:rPr>
          <w:rFonts w:ascii="Arial" w:cs="Arial" w:eastAsia="Arial" w:hAnsi="Arial"/>
          <w:sz w:val="17"/>
          <w:szCs w:val="17"/>
          <w:color w:val="002F6C"/>
        </w:rPr>
      </w:pPr>
      <w:r>
        <w:rPr>
          <w:rFonts w:ascii="Arial" w:cs="Arial" w:eastAsia="Arial" w:hAnsi="Arial"/>
          <w:sz w:val="17"/>
          <w:szCs w:val="17"/>
          <w:color w:val="auto"/>
        </w:rPr>
        <w:t>The role and responsibilities of the independent Lead Director;</w:t>
      </w:r>
    </w:p>
    <w:p>
      <w:pPr>
        <w:spacing w:after="0" w:line="73" w:lineRule="exact"/>
        <w:rPr>
          <w:rFonts w:ascii="Arial" w:cs="Arial" w:eastAsia="Arial" w:hAnsi="Arial"/>
          <w:sz w:val="17"/>
          <w:szCs w:val="17"/>
          <w:color w:val="002F6C"/>
        </w:rPr>
      </w:pPr>
    </w:p>
    <w:p>
      <w:pPr>
        <w:ind w:left="260" w:hanging="154"/>
        <w:spacing w:after="0" w:line="274" w:lineRule="auto"/>
        <w:tabs>
          <w:tab w:leader="none" w:pos="347" w:val="left"/>
        </w:tabs>
        <w:numPr>
          <w:ilvl w:val="0"/>
          <w:numId w:val="56"/>
        </w:numPr>
        <w:rPr>
          <w:rFonts w:ascii="Arial" w:cs="Arial" w:eastAsia="Arial" w:hAnsi="Arial"/>
          <w:sz w:val="17"/>
          <w:szCs w:val="17"/>
          <w:color w:val="002F6C"/>
        </w:rPr>
      </w:pPr>
      <w:r>
        <w:rPr>
          <w:rFonts w:ascii="Arial" w:cs="Arial" w:eastAsia="Arial" w:hAnsi="Arial"/>
          <w:sz w:val="17"/>
          <w:szCs w:val="17"/>
          <w:color w:val="auto"/>
        </w:rPr>
        <w:t>Application of our Code of Ethics and Business Conduct (the Code of Conduct) to the Board;</w:t>
      </w:r>
    </w:p>
    <w:p>
      <w:pPr>
        <w:spacing w:after="0" w:line="37" w:lineRule="exact"/>
        <w:rPr>
          <w:rFonts w:ascii="Arial" w:cs="Arial" w:eastAsia="Arial" w:hAnsi="Arial"/>
          <w:sz w:val="17"/>
          <w:szCs w:val="17"/>
          <w:color w:val="002F6C"/>
        </w:rPr>
      </w:pPr>
    </w:p>
    <w:p>
      <w:pPr>
        <w:ind w:left="360" w:hanging="254"/>
        <w:spacing w:after="0"/>
        <w:tabs>
          <w:tab w:leader="none" w:pos="360" w:val="left"/>
        </w:tabs>
        <w:numPr>
          <w:ilvl w:val="0"/>
          <w:numId w:val="56"/>
        </w:numPr>
        <w:rPr>
          <w:rFonts w:ascii="Arial" w:cs="Arial" w:eastAsia="Arial" w:hAnsi="Arial"/>
          <w:sz w:val="17"/>
          <w:szCs w:val="17"/>
          <w:color w:val="002F6C"/>
        </w:rPr>
      </w:pPr>
      <w:r>
        <w:rPr>
          <w:rFonts w:ascii="Arial" w:cs="Arial" w:eastAsia="Arial" w:hAnsi="Arial"/>
          <w:sz w:val="17"/>
          <w:szCs w:val="17"/>
          <w:color w:val="auto"/>
        </w:rPr>
        <w:t>Director nomination procedures and qualifications;</w:t>
      </w:r>
    </w:p>
    <w:p>
      <w:pPr>
        <w:spacing w:after="0" w:line="73" w:lineRule="exact"/>
        <w:rPr>
          <w:rFonts w:ascii="Arial" w:cs="Arial" w:eastAsia="Arial" w:hAnsi="Arial"/>
          <w:sz w:val="17"/>
          <w:szCs w:val="17"/>
          <w:color w:val="002F6C"/>
        </w:rPr>
      </w:pPr>
    </w:p>
    <w:p>
      <w:pPr>
        <w:ind w:left="360" w:hanging="254"/>
        <w:spacing w:after="0"/>
        <w:tabs>
          <w:tab w:leader="none" w:pos="360" w:val="left"/>
        </w:tabs>
        <w:numPr>
          <w:ilvl w:val="0"/>
          <w:numId w:val="56"/>
        </w:numPr>
        <w:rPr>
          <w:rFonts w:ascii="Arial" w:cs="Arial" w:eastAsia="Arial" w:hAnsi="Arial"/>
          <w:sz w:val="17"/>
          <w:szCs w:val="17"/>
          <w:color w:val="002F6C"/>
        </w:rPr>
      </w:pPr>
      <w:r>
        <w:rPr>
          <w:rFonts w:ascii="Arial" w:cs="Arial" w:eastAsia="Arial" w:hAnsi="Arial"/>
          <w:sz w:val="17"/>
          <w:szCs w:val="17"/>
          <w:color w:val="auto"/>
        </w:rPr>
        <w:t>Director independence standards;</w:t>
      </w:r>
    </w:p>
    <w:p>
      <w:pPr>
        <w:spacing w:after="0" w:line="73" w:lineRule="exact"/>
        <w:rPr>
          <w:rFonts w:ascii="Arial" w:cs="Arial" w:eastAsia="Arial" w:hAnsi="Arial"/>
          <w:sz w:val="17"/>
          <w:szCs w:val="17"/>
          <w:color w:val="002F6C"/>
        </w:rPr>
      </w:pPr>
    </w:p>
    <w:p>
      <w:pPr>
        <w:ind w:left="360" w:hanging="254"/>
        <w:spacing w:after="0"/>
        <w:tabs>
          <w:tab w:leader="none" w:pos="360" w:val="left"/>
        </w:tabs>
        <w:numPr>
          <w:ilvl w:val="0"/>
          <w:numId w:val="56"/>
        </w:numPr>
        <w:rPr>
          <w:rFonts w:ascii="Arial" w:cs="Arial" w:eastAsia="Arial" w:hAnsi="Arial"/>
          <w:sz w:val="17"/>
          <w:szCs w:val="17"/>
          <w:color w:val="002F6C"/>
        </w:rPr>
      </w:pPr>
      <w:r>
        <w:rPr>
          <w:rFonts w:ascii="Arial" w:cs="Arial" w:eastAsia="Arial" w:hAnsi="Arial"/>
          <w:sz w:val="17"/>
          <w:szCs w:val="17"/>
          <w:color w:val="auto"/>
        </w:rPr>
        <w:t>Director overboarding limits;</w:t>
      </w:r>
    </w:p>
    <w:p>
      <w:pPr>
        <w:spacing w:after="0" w:line="73" w:lineRule="exact"/>
        <w:rPr>
          <w:rFonts w:ascii="Arial" w:cs="Arial" w:eastAsia="Arial" w:hAnsi="Arial"/>
          <w:sz w:val="17"/>
          <w:szCs w:val="17"/>
          <w:color w:val="002F6C"/>
        </w:rPr>
      </w:pPr>
    </w:p>
    <w:p>
      <w:pPr>
        <w:ind w:left="260" w:right="140" w:hanging="154"/>
        <w:spacing w:after="0" w:line="274" w:lineRule="auto"/>
        <w:tabs>
          <w:tab w:leader="none" w:pos="347" w:val="left"/>
        </w:tabs>
        <w:numPr>
          <w:ilvl w:val="0"/>
          <w:numId w:val="56"/>
        </w:numPr>
        <w:rPr>
          <w:rFonts w:ascii="Arial" w:cs="Arial" w:eastAsia="Arial" w:hAnsi="Arial"/>
          <w:sz w:val="17"/>
          <w:szCs w:val="17"/>
          <w:color w:val="002F6C"/>
        </w:rPr>
      </w:pPr>
      <w:r>
        <w:rPr>
          <w:rFonts w:ascii="Arial" w:cs="Arial" w:eastAsia="Arial" w:hAnsi="Arial"/>
          <w:sz w:val="17"/>
          <w:szCs w:val="17"/>
          <w:color w:val="auto"/>
        </w:rPr>
        <w:t>Policies for the review, approval and ratification of related person transactions;</w:t>
      </w:r>
    </w:p>
    <w:p>
      <w:pPr>
        <w:spacing w:after="0" w:line="37" w:lineRule="exact"/>
        <w:rPr>
          <w:rFonts w:ascii="Arial" w:cs="Arial" w:eastAsia="Arial" w:hAnsi="Arial"/>
          <w:sz w:val="17"/>
          <w:szCs w:val="17"/>
          <w:color w:val="002F6C"/>
        </w:rPr>
      </w:pPr>
    </w:p>
    <w:p>
      <w:pPr>
        <w:ind w:left="360" w:hanging="254"/>
        <w:spacing w:after="0"/>
        <w:tabs>
          <w:tab w:leader="none" w:pos="360" w:val="left"/>
        </w:tabs>
        <w:numPr>
          <w:ilvl w:val="0"/>
          <w:numId w:val="56"/>
        </w:numPr>
        <w:rPr>
          <w:rFonts w:ascii="Arial" w:cs="Arial" w:eastAsia="Arial" w:hAnsi="Arial"/>
          <w:sz w:val="17"/>
          <w:szCs w:val="17"/>
          <w:color w:val="002F6C"/>
        </w:rPr>
      </w:pPr>
      <w:r>
        <w:rPr>
          <w:rFonts w:ascii="Arial" w:cs="Arial" w:eastAsia="Arial" w:hAnsi="Arial"/>
          <w:sz w:val="17"/>
          <w:szCs w:val="17"/>
          <w:color w:val="auto"/>
        </w:rPr>
        <w:t>Director orientation and continuing education;</w:t>
      </w:r>
    </w:p>
    <w:p>
      <w:pPr>
        <w:spacing w:after="0" w:line="73" w:lineRule="exact"/>
        <w:rPr>
          <w:rFonts w:ascii="Arial" w:cs="Arial" w:eastAsia="Arial" w:hAnsi="Arial"/>
          <w:sz w:val="17"/>
          <w:szCs w:val="17"/>
          <w:color w:val="002F6C"/>
        </w:rPr>
      </w:pPr>
    </w:p>
    <w:p>
      <w:pPr>
        <w:ind w:left="260" w:right="520" w:hanging="154"/>
        <w:spacing w:after="0" w:line="274" w:lineRule="auto"/>
        <w:tabs>
          <w:tab w:leader="none" w:pos="347" w:val="left"/>
        </w:tabs>
        <w:numPr>
          <w:ilvl w:val="0"/>
          <w:numId w:val="56"/>
        </w:numPr>
        <w:rPr>
          <w:rFonts w:ascii="Arial" w:cs="Arial" w:eastAsia="Arial" w:hAnsi="Arial"/>
          <w:sz w:val="17"/>
          <w:szCs w:val="17"/>
          <w:color w:val="002F6C"/>
        </w:rPr>
      </w:pPr>
      <w:r>
        <w:rPr>
          <w:rFonts w:ascii="Arial" w:cs="Arial" w:eastAsia="Arial" w:hAnsi="Arial"/>
          <w:sz w:val="17"/>
          <w:szCs w:val="17"/>
          <w:color w:val="auto"/>
        </w:rPr>
        <w:t>Review by the Governance Committee of any change in job responsibilities of directors;</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ind w:left="158" w:right="220" w:hanging="158"/>
        <w:spacing w:after="0" w:line="274" w:lineRule="auto"/>
        <w:tabs>
          <w:tab w:leader="none" w:pos="245" w:val="left"/>
        </w:tabs>
        <w:numPr>
          <w:ilvl w:val="0"/>
          <w:numId w:val="57"/>
        </w:numPr>
        <w:rPr>
          <w:rFonts w:ascii="Arial" w:cs="Arial" w:eastAsia="Arial" w:hAnsi="Arial"/>
          <w:sz w:val="17"/>
          <w:szCs w:val="17"/>
          <w:color w:val="002F6C"/>
        </w:rPr>
      </w:pPr>
      <w:r>
        <w:rPr>
          <w:rFonts w:ascii="Arial" w:cs="Arial" w:eastAsia="Arial" w:hAnsi="Arial"/>
          <w:sz w:val="17"/>
          <w:szCs w:val="17"/>
          <w:color w:val="auto"/>
        </w:rPr>
        <w:t>Procedures for annual performance evaluations of the Board and its committees;</w:t>
      </w:r>
    </w:p>
    <w:p>
      <w:pPr>
        <w:spacing w:after="0" w:line="91" w:lineRule="exact"/>
        <w:rPr>
          <w:rFonts w:ascii="Arial" w:cs="Arial" w:eastAsia="Arial" w:hAnsi="Arial"/>
          <w:sz w:val="17"/>
          <w:szCs w:val="17"/>
          <w:color w:val="002F6C"/>
        </w:rPr>
      </w:pPr>
    </w:p>
    <w:p>
      <w:pPr>
        <w:ind w:left="258" w:hanging="258"/>
        <w:spacing w:after="0"/>
        <w:tabs>
          <w:tab w:leader="none" w:pos="258" w:val="left"/>
        </w:tabs>
        <w:numPr>
          <w:ilvl w:val="0"/>
          <w:numId w:val="57"/>
        </w:numPr>
        <w:rPr>
          <w:rFonts w:ascii="Arial" w:cs="Arial" w:eastAsia="Arial" w:hAnsi="Arial"/>
          <w:sz w:val="17"/>
          <w:szCs w:val="17"/>
          <w:color w:val="002F6C"/>
        </w:rPr>
      </w:pPr>
      <w:r>
        <w:rPr>
          <w:rFonts w:ascii="Arial" w:cs="Arial" w:eastAsia="Arial" w:hAnsi="Arial"/>
          <w:sz w:val="17"/>
          <w:szCs w:val="17"/>
          <w:color w:val="auto"/>
        </w:rPr>
        <w:t>Director stock ownership guidelines;</w:t>
      </w:r>
    </w:p>
    <w:p>
      <w:pPr>
        <w:spacing w:after="0" w:line="73" w:lineRule="exact"/>
        <w:rPr>
          <w:rFonts w:ascii="Arial" w:cs="Arial" w:eastAsia="Arial" w:hAnsi="Arial"/>
          <w:sz w:val="17"/>
          <w:szCs w:val="17"/>
          <w:color w:val="002F6C"/>
        </w:rPr>
      </w:pPr>
    </w:p>
    <w:p>
      <w:pPr>
        <w:ind w:left="258" w:hanging="258"/>
        <w:spacing w:after="0"/>
        <w:tabs>
          <w:tab w:leader="none" w:pos="258" w:val="left"/>
        </w:tabs>
        <w:numPr>
          <w:ilvl w:val="0"/>
          <w:numId w:val="57"/>
        </w:numPr>
        <w:rPr>
          <w:rFonts w:ascii="Arial" w:cs="Arial" w:eastAsia="Arial" w:hAnsi="Arial"/>
          <w:sz w:val="17"/>
          <w:szCs w:val="17"/>
          <w:color w:val="002F6C"/>
        </w:rPr>
      </w:pPr>
      <w:r>
        <w:rPr>
          <w:rFonts w:ascii="Arial" w:cs="Arial" w:eastAsia="Arial" w:hAnsi="Arial"/>
          <w:sz w:val="17"/>
          <w:szCs w:val="17"/>
          <w:color w:val="auto"/>
        </w:rPr>
        <w:t>Clawback policy for executive incentive compensation;</w:t>
      </w:r>
    </w:p>
    <w:p>
      <w:pPr>
        <w:spacing w:after="0" w:line="73" w:lineRule="exact"/>
        <w:rPr>
          <w:rFonts w:ascii="Arial" w:cs="Arial" w:eastAsia="Arial" w:hAnsi="Arial"/>
          <w:sz w:val="17"/>
          <w:szCs w:val="17"/>
          <w:color w:val="002F6C"/>
        </w:rPr>
      </w:pPr>
    </w:p>
    <w:p>
      <w:pPr>
        <w:ind w:left="258" w:hanging="258"/>
        <w:spacing w:after="0"/>
        <w:tabs>
          <w:tab w:leader="none" w:pos="258" w:val="left"/>
        </w:tabs>
        <w:numPr>
          <w:ilvl w:val="0"/>
          <w:numId w:val="57"/>
        </w:numPr>
        <w:rPr>
          <w:rFonts w:ascii="Arial" w:cs="Arial" w:eastAsia="Arial" w:hAnsi="Arial"/>
          <w:sz w:val="17"/>
          <w:szCs w:val="17"/>
          <w:color w:val="002F6C"/>
        </w:rPr>
      </w:pPr>
      <w:r>
        <w:rPr>
          <w:rFonts w:ascii="Arial" w:cs="Arial" w:eastAsia="Arial" w:hAnsi="Arial"/>
          <w:sz w:val="17"/>
          <w:szCs w:val="17"/>
          <w:color w:val="auto"/>
        </w:rPr>
        <w:t>Policy prohibiting hedging and pledging of Company stock;</w:t>
      </w:r>
    </w:p>
    <w:p>
      <w:pPr>
        <w:spacing w:after="0" w:line="73" w:lineRule="exact"/>
        <w:rPr>
          <w:rFonts w:ascii="Arial" w:cs="Arial" w:eastAsia="Arial" w:hAnsi="Arial"/>
          <w:sz w:val="17"/>
          <w:szCs w:val="17"/>
          <w:color w:val="002F6C"/>
        </w:rPr>
      </w:pPr>
    </w:p>
    <w:p>
      <w:pPr>
        <w:jc w:val="both"/>
        <w:ind w:left="158" w:right="980" w:hanging="158"/>
        <w:spacing w:after="0" w:line="306" w:lineRule="auto"/>
        <w:tabs>
          <w:tab w:leader="none" w:pos="245" w:val="left"/>
        </w:tabs>
        <w:numPr>
          <w:ilvl w:val="0"/>
          <w:numId w:val="57"/>
        </w:numPr>
        <w:rPr>
          <w:rFonts w:ascii="Arial" w:cs="Arial" w:eastAsia="Arial" w:hAnsi="Arial"/>
          <w:sz w:val="16"/>
          <w:szCs w:val="16"/>
          <w:color w:val="002F6C"/>
        </w:rPr>
      </w:pPr>
      <w:r>
        <w:rPr>
          <w:rFonts w:ascii="Arial" w:cs="Arial" w:eastAsia="Arial" w:hAnsi="Arial"/>
          <w:sz w:val="16"/>
          <w:szCs w:val="16"/>
          <w:color w:val="auto"/>
        </w:rPr>
        <w:t>Majority voting for the election of directors and resignation procedures for directors who fail to receive a majority vote;</w:t>
      </w:r>
    </w:p>
    <w:p>
      <w:pPr>
        <w:spacing w:after="0" w:line="14" w:lineRule="exact"/>
        <w:rPr>
          <w:rFonts w:ascii="Arial" w:cs="Arial" w:eastAsia="Arial" w:hAnsi="Arial"/>
          <w:sz w:val="16"/>
          <w:szCs w:val="16"/>
          <w:color w:val="002F6C"/>
        </w:rPr>
      </w:pPr>
    </w:p>
    <w:p>
      <w:pPr>
        <w:ind w:left="158" w:right="80" w:hanging="158"/>
        <w:spacing w:after="0" w:line="269" w:lineRule="auto"/>
        <w:tabs>
          <w:tab w:leader="none" w:pos="245" w:val="left"/>
        </w:tabs>
        <w:numPr>
          <w:ilvl w:val="0"/>
          <w:numId w:val="57"/>
        </w:numPr>
        <w:rPr>
          <w:rFonts w:ascii="Arial" w:cs="Arial" w:eastAsia="Arial" w:hAnsi="Arial"/>
          <w:sz w:val="17"/>
          <w:szCs w:val="17"/>
          <w:color w:val="002F6C"/>
        </w:rPr>
      </w:pPr>
      <w:r>
        <w:rPr>
          <w:rFonts w:ascii="Arial" w:cs="Arial" w:eastAsia="Arial" w:hAnsi="Arial"/>
          <w:sz w:val="17"/>
          <w:szCs w:val="17"/>
          <w:color w:val="auto"/>
        </w:rPr>
        <w:t>Process for director compensation review, specifically use of competitive data and input from independent compensation consultant; and</w:t>
      </w:r>
    </w:p>
    <w:p>
      <w:pPr>
        <w:spacing w:after="0" w:line="41" w:lineRule="exact"/>
        <w:rPr>
          <w:rFonts w:ascii="Arial" w:cs="Arial" w:eastAsia="Arial" w:hAnsi="Arial"/>
          <w:sz w:val="17"/>
          <w:szCs w:val="17"/>
          <w:color w:val="002F6C"/>
        </w:rPr>
      </w:pPr>
    </w:p>
    <w:p>
      <w:pPr>
        <w:ind w:left="158" w:right="80" w:hanging="158"/>
        <w:spacing w:after="0" w:line="267" w:lineRule="auto"/>
        <w:tabs>
          <w:tab w:leader="none" w:pos="245" w:val="left"/>
        </w:tabs>
        <w:numPr>
          <w:ilvl w:val="0"/>
          <w:numId w:val="57"/>
        </w:numPr>
        <w:rPr>
          <w:rFonts w:ascii="Arial" w:cs="Arial" w:eastAsia="Arial" w:hAnsi="Arial"/>
          <w:sz w:val="17"/>
          <w:szCs w:val="17"/>
          <w:color w:val="002F6C"/>
        </w:rPr>
      </w:pPr>
      <w:r>
        <w:rPr>
          <w:rFonts w:ascii="Arial" w:cs="Arial" w:eastAsia="Arial" w:hAnsi="Arial"/>
          <w:sz w:val="17"/>
          <w:szCs w:val="17"/>
          <w:color w:val="auto"/>
        </w:rPr>
        <w:t>Stockholder engagement program; our independent Lead Director will consider requests to speak to investors and will designate (in consultation with the Corporate Secretary) a director to engage with the requesting investors, if appropriate.</w:t>
      </w:r>
    </w:p>
    <w:p>
      <w:pPr>
        <w:spacing w:after="0" w:line="200" w:lineRule="exact"/>
        <w:rPr>
          <w:sz w:val="20"/>
          <w:szCs w:val="20"/>
          <w:color w:val="auto"/>
        </w:rPr>
      </w:pPr>
    </w:p>
    <w:p>
      <w:pPr>
        <w:sectPr>
          <w:pgSz w:w="11900" w:h="16838" w:orient="portrait"/>
          <w:cols w:equalWidth="0" w:num="2">
            <w:col w:w="5360" w:space="282"/>
            <w:col w:w="5578"/>
          </w:cols>
          <w:pgMar w:left="320" w:top="254" w:right="359" w:bottom="1440" w:gutter="0" w:footer="0" w:header="0"/>
          <w:type w:val="continuous"/>
        </w:sectPr>
      </w:pPr>
    </w:p>
    <w:p>
      <w:pPr>
        <w:spacing w:after="0" w:line="228" w:lineRule="exact"/>
        <w:rPr>
          <w:sz w:val="20"/>
          <w:szCs w:val="20"/>
          <w:color w:val="auto"/>
        </w:rPr>
      </w:pPr>
    </w:p>
    <w:p>
      <w:pPr>
        <w:spacing w:after="0"/>
        <w:rPr>
          <w:sz w:val="20"/>
          <w:szCs w:val="20"/>
          <w:color w:val="auto"/>
        </w:rPr>
      </w:pPr>
      <w:r>
        <w:rPr>
          <w:rFonts w:ascii="Arial" w:cs="Arial" w:eastAsia="Arial" w:hAnsi="Arial"/>
          <w:sz w:val="25"/>
          <w:szCs w:val="25"/>
          <w:color w:val="818EB4"/>
        </w:rPr>
        <w:t>Director Overboarding Policy and Oversight</w:t>
      </w:r>
    </w:p>
    <w:p>
      <w:pPr>
        <w:spacing w:after="0" w:line="121"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The Board recognizes that its members benefit from service on the boards of other companies and it encourages such service. The Board also believes, however, that it is critical that directors are able to dedicate sufficient time to their service on the Company’s Board. In 2021, the Board reviewed its overboarding policy, considering major investors’ overboarding policies, and amended its Governance Guidelines to reduce the number of boards a director could serve on (including Lockheed Martin) from five to four and from three to two if the director is currently serving as a CEO or equivalent position of another public company. All incumbent directors are in compliance with the amended policy. Directors must notify the CEO, independent Lead Director and Senior Vice President, General Counsel and Corporate Secretary before accepting an invitation to serve on the board of any other public company. The Governance Committee reviews and determines whether the position would affect the director’s ability to serve on the Company’s Board. The Governance Guidelines provide that, without obtaining the approval of the Governance Committee: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3580" w:type="dxa"/>
            <w:vAlign w:val="bottom"/>
            <w:shd w:val="clear" w:color="auto" w:fill="003478"/>
          </w:tcPr>
          <w:p>
            <w:pPr>
              <w:spacing w:after="0"/>
              <w:rPr>
                <w:sz w:val="9"/>
                <w:szCs w:val="9"/>
                <w:color w:val="auto"/>
              </w:rPr>
            </w:pPr>
          </w:p>
        </w:tc>
        <w:tc>
          <w:tcPr>
            <w:tcW w:w="240" w:type="dxa"/>
            <w:vAlign w:val="bottom"/>
          </w:tcPr>
          <w:p>
            <w:pPr>
              <w:spacing w:after="0"/>
              <w:rPr>
                <w:sz w:val="9"/>
                <w:szCs w:val="9"/>
                <w:color w:val="auto"/>
              </w:rPr>
            </w:pPr>
          </w:p>
        </w:tc>
        <w:tc>
          <w:tcPr>
            <w:tcW w:w="3580" w:type="dxa"/>
            <w:vAlign w:val="bottom"/>
            <w:shd w:val="clear" w:color="auto" w:fill="003478"/>
          </w:tcPr>
          <w:p>
            <w:pPr>
              <w:spacing w:after="0"/>
              <w:rPr>
                <w:sz w:val="9"/>
                <w:szCs w:val="9"/>
                <w:color w:val="auto"/>
              </w:rPr>
            </w:pPr>
          </w:p>
        </w:tc>
        <w:tc>
          <w:tcPr>
            <w:tcW w:w="220" w:type="dxa"/>
            <w:vAlign w:val="bottom"/>
          </w:tcPr>
          <w:p>
            <w:pPr>
              <w:spacing w:after="0"/>
              <w:rPr>
                <w:sz w:val="9"/>
                <w:szCs w:val="9"/>
                <w:color w:val="auto"/>
              </w:rPr>
            </w:pPr>
          </w:p>
        </w:tc>
        <w:tc>
          <w:tcPr>
            <w:tcW w:w="3600" w:type="dxa"/>
            <w:vAlign w:val="bottom"/>
            <w:shd w:val="clear" w:color="auto" w:fill="003478"/>
          </w:tcPr>
          <w:p>
            <w:pPr>
              <w:spacing w:after="0"/>
              <w:rPr>
                <w:sz w:val="9"/>
                <w:szCs w:val="9"/>
                <w:color w:val="auto"/>
              </w:rPr>
            </w:pPr>
          </w:p>
        </w:tc>
      </w:tr>
      <w:tr>
        <w:trPr>
          <w:trHeight w:val="278"/>
        </w:trPr>
        <w:tc>
          <w:tcPr>
            <w:tcW w:w="3580" w:type="dxa"/>
            <w:vAlign w:val="bottom"/>
            <w:shd w:val="clear" w:color="auto" w:fill="E4E6EF"/>
          </w:tcPr>
          <w:p>
            <w:pPr>
              <w:ind w:left="100"/>
              <w:spacing w:after="0"/>
              <w:rPr>
                <w:sz w:val="20"/>
                <w:szCs w:val="20"/>
                <w:color w:val="auto"/>
              </w:rPr>
            </w:pPr>
            <w:r>
              <w:rPr>
                <w:rFonts w:ascii="Arial" w:cs="Arial" w:eastAsia="Arial" w:hAnsi="Arial"/>
                <w:sz w:val="17"/>
                <w:szCs w:val="17"/>
                <w:color w:val="003478"/>
              </w:rPr>
              <w:t>DIRECTORS</w:t>
            </w:r>
          </w:p>
        </w:tc>
        <w:tc>
          <w:tcPr>
            <w:tcW w:w="240" w:type="dxa"/>
            <w:vAlign w:val="bottom"/>
          </w:tcPr>
          <w:p>
            <w:pPr>
              <w:spacing w:after="0"/>
              <w:rPr>
                <w:sz w:val="24"/>
                <w:szCs w:val="24"/>
                <w:color w:val="auto"/>
              </w:rPr>
            </w:pPr>
          </w:p>
        </w:tc>
        <w:tc>
          <w:tcPr>
            <w:tcW w:w="3580" w:type="dxa"/>
            <w:vAlign w:val="bottom"/>
            <w:shd w:val="clear" w:color="auto" w:fill="E4E6EF"/>
          </w:tcPr>
          <w:p>
            <w:pPr>
              <w:ind w:left="80"/>
              <w:spacing w:after="0"/>
              <w:rPr>
                <w:sz w:val="20"/>
                <w:szCs w:val="20"/>
                <w:color w:val="auto"/>
              </w:rPr>
            </w:pPr>
            <w:r>
              <w:rPr>
                <w:rFonts w:ascii="Arial" w:cs="Arial" w:eastAsia="Arial" w:hAnsi="Arial"/>
                <w:sz w:val="17"/>
                <w:szCs w:val="17"/>
                <w:color w:val="003478"/>
              </w:rPr>
              <w:t>PUBLIC COMPANY CEO</w:t>
            </w:r>
          </w:p>
        </w:tc>
        <w:tc>
          <w:tcPr>
            <w:tcW w:w="220" w:type="dxa"/>
            <w:vAlign w:val="bottom"/>
          </w:tcPr>
          <w:p>
            <w:pPr>
              <w:spacing w:after="0"/>
              <w:rPr>
                <w:sz w:val="24"/>
                <w:szCs w:val="24"/>
                <w:color w:val="auto"/>
              </w:rPr>
            </w:pPr>
          </w:p>
        </w:tc>
        <w:tc>
          <w:tcPr>
            <w:tcW w:w="3600" w:type="dxa"/>
            <w:vAlign w:val="bottom"/>
            <w:shd w:val="clear" w:color="auto" w:fill="E4E6EF"/>
          </w:tcPr>
          <w:p>
            <w:pPr>
              <w:ind w:left="100"/>
              <w:spacing w:after="0"/>
              <w:rPr>
                <w:sz w:val="20"/>
                <w:szCs w:val="20"/>
                <w:color w:val="auto"/>
              </w:rPr>
            </w:pPr>
            <w:r>
              <w:rPr>
                <w:rFonts w:ascii="Arial" w:cs="Arial" w:eastAsia="Arial" w:hAnsi="Arial"/>
                <w:sz w:val="17"/>
                <w:szCs w:val="17"/>
                <w:color w:val="003478"/>
              </w:rPr>
              <w:t>AUDIT COMMITTEE</w:t>
            </w:r>
          </w:p>
        </w:tc>
      </w:tr>
      <w:tr>
        <w:trPr>
          <w:trHeight w:val="246"/>
        </w:trPr>
        <w:tc>
          <w:tcPr>
            <w:tcW w:w="3580" w:type="dxa"/>
            <w:vAlign w:val="bottom"/>
            <w:shd w:val="clear" w:color="auto" w:fill="E4E6EF"/>
          </w:tcPr>
          <w:p>
            <w:pPr>
              <w:ind w:left="100"/>
              <w:spacing w:after="0"/>
              <w:rPr>
                <w:sz w:val="20"/>
                <w:szCs w:val="20"/>
                <w:color w:val="auto"/>
              </w:rPr>
            </w:pPr>
            <w:r>
              <w:rPr>
                <w:rFonts w:ascii="Arial" w:cs="Arial" w:eastAsia="Arial" w:hAnsi="Arial"/>
                <w:sz w:val="17"/>
                <w:szCs w:val="17"/>
                <w:color w:val="auto"/>
              </w:rPr>
              <w:t>A director may not serve on the boards of</w:t>
            </w:r>
          </w:p>
        </w:tc>
        <w:tc>
          <w:tcPr>
            <w:tcW w:w="240" w:type="dxa"/>
            <w:vAlign w:val="bottom"/>
          </w:tcPr>
          <w:p>
            <w:pPr>
              <w:spacing w:after="0"/>
              <w:rPr>
                <w:sz w:val="21"/>
                <w:szCs w:val="21"/>
                <w:color w:val="auto"/>
              </w:rPr>
            </w:pPr>
          </w:p>
        </w:tc>
        <w:tc>
          <w:tcPr>
            <w:tcW w:w="3580" w:type="dxa"/>
            <w:vAlign w:val="bottom"/>
            <w:shd w:val="clear" w:color="auto" w:fill="E4E6EF"/>
          </w:tcPr>
          <w:p>
            <w:pPr>
              <w:ind w:left="80"/>
              <w:spacing w:after="0"/>
              <w:rPr>
                <w:sz w:val="20"/>
                <w:szCs w:val="20"/>
                <w:color w:val="auto"/>
              </w:rPr>
            </w:pPr>
            <w:r>
              <w:rPr>
                <w:rFonts w:ascii="Arial" w:cs="Arial" w:eastAsia="Arial" w:hAnsi="Arial"/>
                <w:sz w:val="17"/>
                <w:szCs w:val="17"/>
                <w:color w:val="auto"/>
              </w:rPr>
              <w:t>Active CEOs or equivalent may not serve on</w:t>
            </w:r>
          </w:p>
        </w:tc>
        <w:tc>
          <w:tcPr>
            <w:tcW w:w="220" w:type="dxa"/>
            <w:vAlign w:val="bottom"/>
          </w:tcPr>
          <w:p>
            <w:pPr>
              <w:spacing w:after="0"/>
              <w:rPr>
                <w:sz w:val="21"/>
                <w:szCs w:val="21"/>
                <w:color w:val="auto"/>
              </w:rPr>
            </w:pPr>
          </w:p>
        </w:tc>
        <w:tc>
          <w:tcPr>
            <w:tcW w:w="3600" w:type="dxa"/>
            <w:vAlign w:val="bottom"/>
            <w:shd w:val="clear" w:color="auto" w:fill="E4E6EF"/>
          </w:tcPr>
          <w:p>
            <w:pPr>
              <w:ind w:left="100"/>
              <w:spacing w:after="0"/>
              <w:rPr>
                <w:sz w:val="20"/>
                <w:szCs w:val="20"/>
                <w:color w:val="auto"/>
              </w:rPr>
            </w:pPr>
            <w:r>
              <w:rPr>
                <w:rFonts w:ascii="Arial" w:cs="Arial" w:eastAsia="Arial" w:hAnsi="Arial"/>
                <w:sz w:val="17"/>
                <w:szCs w:val="17"/>
                <w:color w:val="auto"/>
              </w:rPr>
              <w:t>Audit Committee members may not serve on</w:t>
            </w:r>
          </w:p>
        </w:tc>
      </w:tr>
      <w:tr>
        <w:trPr>
          <w:trHeight w:val="381"/>
        </w:trPr>
        <w:tc>
          <w:tcPr>
            <w:tcW w:w="3580" w:type="dxa"/>
            <w:vAlign w:val="bottom"/>
            <w:shd w:val="clear" w:color="auto" w:fill="E4E6EF"/>
          </w:tcPr>
          <w:p>
            <w:pPr>
              <w:ind w:left="100"/>
              <w:spacing w:after="0"/>
              <w:rPr>
                <w:sz w:val="20"/>
                <w:szCs w:val="20"/>
                <w:color w:val="auto"/>
              </w:rPr>
            </w:pPr>
            <w:r>
              <w:rPr>
                <w:rFonts w:ascii="Arial" w:cs="Arial" w:eastAsia="Arial" w:hAnsi="Arial"/>
                <w:sz w:val="17"/>
                <w:szCs w:val="17"/>
                <w:color w:val="auto"/>
              </w:rPr>
              <w:t xml:space="preserve">more than </w:t>
            </w:r>
            <w:r>
              <w:rPr>
                <w:rFonts w:ascii="Arial" w:cs="Arial" w:eastAsia="Arial" w:hAnsi="Arial"/>
                <w:sz w:val="28"/>
                <w:szCs w:val="28"/>
                <w:b w:val="1"/>
                <w:bCs w:val="1"/>
                <w:color w:val="003478"/>
              </w:rPr>
              <w:t>4</w:t>
            </w:r>
            <w:r>
              <w:rPr>
                <w:rFonts w:ascii="Arial" w:cs="Arial" w:eastAsia="Arial" w:hAnsi="Arial"/>
                <w:sz w:val="17"/>
                <w:szCs w:val="17"/>
                <w:color w:val="auto"/>
              </w:rPr>
              <w:t xml:space="preserve"> public companies</w:t>
            </w:r>
          </w:p>
        </w:tc>
        <w:tc>
          <w:tcPr>
            <w:tcW w:w="240" w:type="dxa"/>
            <w:vAlign w:val="bottom"/>
          </w:tcPr>
          <w:p>
            <w:pPr>
              <w:spacing w:after="0"/>
              <w:rPr>
                <w:sz w:val="24"/>
                <w:szCs w:val="24"/>
                <w:color w:val="auto"/>
              </w:rPr>
            </w:pPr>
          </w:p>
        </w:tc>
        <w:tc>
          <w:tcPr>
            <w:tcW w:w="3580" w:type="dxa"/>
            <w:vAlign w:val="bottom"/>
            <w:shd w:val="clear" w:color="auto" w:fill="E4E6EF"/>
          </w:tcPr>
          <w:p>
            <w:pPr>
              <w:ind w:left="80"/>
              <w:spacing w:after="0"/>
              <w:rPr>
                <w:sz w:val="20"/>
                <w:szCs w:val="20"/>
                <w:color w:val="auto"/>
              </w:rPr>
            </w:pPr>
            <w:r>
              <w:rPr>
                <w:rFonts w:ascii="Arial" w:cs="Arial" w:eastAsia="Arial" w:hAnsi="Arial"/>
                <w:sz w:val="17"/>
                <w:szCs w:val="17"/>
                <w:color w:val="auto"/>
              </w:rPr>
              <w:t xml:space="preserve">the boards of more than </w:t>
            </w:r>
            <w:r>
              <w:rPr>
                <w:rFonts w:ascii="Arial" w:cs="Arial" w:eastAsia="Arial" w:hAnsi="Arial"/>
                <w:sz w:val="28"/>
                <w:szCs w:val="28"/>
                <w:b w:val="1"/>
                <w:bCs w:val="1"/>
                <w:color w:val="003478"/>
              </w:rPr>
              <w:t>2</w:t>
            </w:r>
          </w:p>
        </w:tc>
        <w:tc>
          <w:tcPr>
            <w:tcW w:w="220" w:type="dxa"/>
            <w:vAlign w:val="bottom"/>
          </w:tcPr>
          <w:p>
            <w:pPr>
              <w:spacing w:after="0"/>
              <w:rPr>
                <w:sz w:val="24"/>
                <w:szCs w:val="24"/>
                <w:color w:val="auto"/>
              </w:rPr>
            </w:pPr>
          </w:p>
        </w:tc>
        <w:tc>
          <w:tcPr>
            <w:tcW w:w="3600" w:type="dxa"/>
            <w:vAlign w:val="bottom"/>
            <w:shd w:val="clear" w:color="auto" w:fill="E4E6EF"/>
          </w:tcPr>
          <w:p>
            <w:pPr>
              <w:ind w:left="100"/>
              <w:spacing w:after="0"/>
              <w:rPr>
                <w:sz w:val="20"/>
                <w:szCs w:val="20"/>
                <w:color w:val="auto"/>
              </w:rPr>
            </w:pPr>
            <w:r>
              <w:rPr>
                <w:rFonts w:ascii="Arial" w:cs="Arial" w:eastAsia="Arial" w:hAnsi="Arial"/>
                <w:sz w:val="17"/>
                <w:szCs w:val="17"/>
                <w:color w:val="auto"/>
              </w:rPr>
              <w:t xml:space="preserve">more than </w:t>
            </w:r>
            <w:r>
              <w:rPr>
                <w:rFonts w:ascii="Arial" w:cs="Arial" w:eastAsia="Arial" w:hAnsi="Arial"/>
                <w:sz w:val="28"/>
                <w:szCs w:val="28"/>
                <w:b w:val="1"/>
                <w:bCs w:val="1"/>
                <w:color w:val="003478"/>
              </w:rPr>
              <w:t>3</w:t>
            </w:r>
            <w:r>
              <w:rPr>
                <w:rFonts w:ascii="Arial" w:cs="Arial" w:eastAsia="Arial" w:hAnsi="Arial"/>
                <w:sz w:val="17"/>
                <w:szCs w:val="17"/>
                <w:color w:val="auto"/>
              </w:rPr>
              <w:t xml:space="preserve"> public</w:t>
            </w:r>
          </w:p>
        </w:tc>
      </w:tr>
      <w:tr>
        <w:trPr>
          <w:trHeight w:val="206"/>
        </w:trPr>
        <w:tc>
          <w:tcPr>
            <w:tcW w:w="3580" w:type="dxa"/>
            <w:vAlign w:val="bottom"/>
            <w:shd w:val="clear" w:color="auto" w:fill="E4E6EF"/>
          </w:tcPr>
          <w:p>
            <w:pPr>
              <w:ind w:left="100"/>
              <w:spacing w:after="0"/>
              <w:rPr>
                <w:sz w:val="20"/>
                <w:szCs w:val="20"/>
                <w:color w:val="auto"/>
              </w:rPr>
            </w:pPr>
            <w:r>
              <w:rPr>
                <w:rFonts w:ascii="Arial" w:cs="Arial" w:eastAsia="Arial" w:hAnsi="Arial"/>
                <w:sz w:val="17"/>
                <w:szCs w:val="17"/>
                <w:color w:val="auto"/>
              </w:rPr>
              <w:t>(including Lockheed Martin)</w:t>
            </w:r>
          </w:p>
        </w:tc>
        <w:tc>
          <w:tcPr>
            <w:tcW w:w="240" w:type="dxa"/>
            <w:vAlign w:val="bottom"/>
          </w:tcPr>
          <w:p>
            <w:pPr>
              <w:spacing w:after="0"/>
              <w:rPr>
                <w:sz w:val="17"/>
                <w:szCs w:val="17"/>
                <w:color w:val="auto"/>
              </w:rPr>
            </w:pPr>
          </w:p>
        </w:tc>
        <w:tc>
          <w:tcPr>
            <w:tcW w:w="3580" w:type="dxa"/>
            <w:vAlign w:val="bottom"/>
            <w:shd w:val="clear" w:color="auto" w:fill="E4E6EF"/>
          </w:tcPr>
          <w:p>
            <w:pPr>
              <w:ind w:left="80"/>
              <w:spacing w:after="0"/>
              <w:rPr>
                <w:sz w:val="20"/>
                <w:szCs w:val="20"/>
                <w:color w:val="auto"/>
              </w:rPr>
            </w:pPr>
            <w:r>
              <w:rPr>
                <w:rFonts w:ascii="Arial" w:cs="Arial" w:eastAsia="Arial" w:hAnsi="Arial"/>
                <w:sz w:val="17"/>
                <w:szCs w:val="17"/>
                <w:color w:val="auto"/>
              </w:rPr>
              <w:t>public companies (including Lockheed</w:t>
            </w:r>
          </w:p>
        </w:tc>
        <w:tc>
          <w:tcPr>
            <w:tcW w:w="220" w:type="dxa"/>
            <w:vAlign w:val="bottom"/>
          </w:tcPr>
          <w:p>
            <w:pPr>
              <w:spacing w:after="0"/>
              <w:rPr>
                <w:sz w:val="17"/>
                <w:szCs w:val="17"/>
                <w:color w:val="auto"/>
              </w:rPr>
            </w:pPr>
          </w:p>
        </w:tc>
        <w:tc>
          <w:tcPr>
            <w:tcW w:w="3600" w:type="dxa"/>
            <w:vAlign w:val="bottom"/>
            <w:shd w:val="clear" w:color="auto" w:fill="E4E6EF"/>
          </w:tcPr>
          <w:p>
            <w:pPr>
              <w:ind w:left="100"/>
              <w:spacing w:after="0"/>
              <w:rPr>
                <w:sz w:val="20"/>
                <w:szCs w:val="20"/>
                <w:color w:val="auto"/>
              </w:rPr>
            </w:pPr>
            <w:r>
              <w:rPr>
                <w:rFonts w:ascii="Arial" w:cs="Arial" w:eastAsia="Arial" w:hAnsi="Arial"/>
                <w:sz w:val="17"/>
                <w:szCs w:val="17"/>
                <w:color w:val="auto"/>
              </w:rPr>
              <w:t>company audit committees (including</w:t>
            </w:r>
          </w:p>
        </w:tc>
      </w:tr>
      <w:tr>
        <w:trPr>
          <w:trHeight w:val="269"/>
        </w:trPr>
        <w:tc>
          <w:tcPr>
            <w:tcW w:w="3580" w:type="dxa"/>
            <w:vAlign w:val="bottom"/>
            <w:shd w:val="clear" w:color="auto" w:fill="E4E6EF"/>
          </w:tcPr>
          <w:p>
            <w:pPr>
              <w:spacing w:after="0"/>
              <w:rPr>
                <w:sz w:val="23"/>
                <w:szCs w:val="23"/>
                <w:color w:val="auto"/>
              </w:rPr>
            </w:pPr>
          </w:p>
        </w:tc>
        <w:tc>
          <w:tcPr>
            <w:tcW w:w="240" w:type="dxa"/>
            <w:vAlign w:val="bottom"/>
          </w:tcPr>
          <w:p>
            <w:pPr>
              <w:spacing w:after="0"/>
              <w:rPr>
                <w:sz w:val="23"/>
                <w:szCs w:val="23"/>
                <w:color w:val="auto"/>
              </w:rPr>
            </w:pPr>
          </w:p>
        </w:tc>
        <w:tc>
          <w:tcPr>
            <w:tcW w:w="3580" w:type="dxa"/>
            <w:vAlign w:val="bottom"/>
            <w:shd w:val="clear" w:color="auto" w:fill="E4E6EF"/>
          </w:tcPr>
          <w:p>
            <w:pPr>
              <w:ind w:left="80"/>
              <w:spacing w:after="0"/>
              <w:rPr>
                <w:sz w:val="20"/>
                <w:szCs w:val="20"/>
                <w:color w:val="auto"/>
              </w:rPr>
            </w:pPr>
            <w:r>
              <w:rPr>
                <w:rFonts w:ascii="Arial" w:cs="Arial" w:eastAsia="Arial" w:hAnsi="Arial"/>
                <w:sz w:val="17"/>
                <w:szCs w:val="17"/>
                <w:color w:val="auto"/>
              </w:rPr>
              <w:t>Martin)</w:t>
            </w:r>
          </w:p>
        </w:tc>
        <w:tc>
          <w:tcPr>
            <w:tcW w:w="220" w:type="dxa"/>
            <w:vAlign w:val="bottom"/>
          </w:tcPr>
          <w:p>
            <w:pPr>
              <w:spacing w:after="0"/>
              <w:rPr>
                <w:sz w:val="23"/>
                <w:szCs w:val="23"/>
                <w:color w:val="auto"/>
              </w:rPr>
            </w:pPr>
          </w:p>
        </w:tc>
        <w:tc>
          <w:tcPr>
            <w:tcW w:w="3600" w:type="dxa"/>
            <w:vAlign w:val="bottom"/>
            <w:shd w:val="clear" w:color="auto" w:fill="E4E6EF"/>
          </w:tcPr>
          <w:p>
            <w:pPr>
              <w:ind w:left="100"/>
              <w:spacing w:after="0"/>
              <w:rPr>
                <w:sz w:val="20"/>
                <w:szCs w:val="20"/>
                <w:color w:val="auto"/>
              </w:rPr>
            </w:pPr>
            <w:r>
              <w:rPr>
                <w:rFonts w:ascii="Arial" w:cs="Arial" w:eastAsia="Arial" w:hAnsi="Arial"/>
                <w:sz w:val="17"/>
                <w:szCs w:val="17"/>
                <w:color w:val="auto"/>
              </w:rPr>
              <w:t>Lockheed Martin)</w:t>
            </w:r>
          </w:p>
        </w:tc>
      </w:tr>
      <w:tr>
        <w:trPr>
          <w:trHeight w:val="165"/>
        </w:trPr>
        <w:tc>
          <w:tcPr>
            <w:tcW w:w="3580" w:type="dxa"/>
            <w:vAlign w:val="bottom"/>
            <w:shd w:val="clear" w:color="auto" w:fill="E4E6EF"/>
          </w:tcPr>
          <w:p>
            <w:pPr>
              <w:spacing w:after="0"/>
              <w:rPr>
                <w:sz w:val="14"/>
                <w:szCs w:val="14"/>
                <w:color w:val="auto"/>
              </w:rPr>
            </w:pPr>
          </w:p>
        </w:tc>
        <w:tc>
          <w:tcPr>
            <w:tcW w:w="240" w:type="dxa"/>
            <w:vAlign w:val="bottom"/>
          </w:tcPr>
          <w:p>
            <w:pPr>
              <w:spacing w:after="0"/>
              <w:rPr>
                <w:sz w:val="14"/>
                <w:szCs w:val="14"/>
                <w:color w:val="auto"/>
              </w:rPr>
            </w:pPr>
          </w:p>
        </w:tc>
        <w:tc>
          <w:tcPr>
            <w:tcW w:w="3580" w:type="dxa"/>
            <w:vAlign w:val="bottom"/>
            <w:shd w:val="clear" w:color="auto" w:fill="E4E6EF"/>
          </w:tcPr>
          <w:p>
            <w:pPr>
              <w:spacing w:after="0"/>
              <w:rPr>
                <w:sz w:val="14"/>
                <w:szCs w:val="14"/>
                <w:color w:val="auto"/>
              </w:rPr>
            </w:pPr>
          </w:p>
        </w:tc>
        <w:tc>
          <w:tcPr>
            <w:tcW w:w="220" w:type="dxa"/>
            <w:vAlign w:val="bottom"/>
          </w:tcPr>
          <w:p>
            <w:pPr>
              <w:spacing w:after="0"/>
              <w:rPr>
                <w:sz w:val="14"/>
                <w:szCs w:val="14"/>
                <w:color w:val="auto"/>
              </w:rPr>
            </w:pPr>
          </w:p>
        </w:tc>
        <w:tc>
          <w:tcPr>
            <w:tcW w:w="3600" w:type="dxa"/>
            <w:vAlign w:val="bottom"/>
            <w:shd w:val="clear" w:color="auto" w:fill="E4E6EF"/>
          </w:tcPr>
          <w:p>
            <w:pPr>
              <w:spacing w:after="0"/>
              <w:rPr>
                <w:sz w:val="14"/>
                <w:szCs w:val="14"/>
                <w:color w:val="auto"/>
              </w:rPr>
            </w:pPr>
          </w:p>
        </w:tc>
      </w:tr>
    </w:tbl>
    <w:p>
      <w:pPr>
        <w:spacing w:after="0" w:line="195" w:lineRule="exact"/>
        <w:rPr>
          <w:sz w:val="20"/>
          <w:szCs w:val="20"/>
          <w:color w:val="auto"/>
        </w:rPr>
      </w:pPr>
    </w:p>
    <w:p>
      <w:pPr>
        <w:ind w:right="320"/>
        <w:spacing w:after="0" w:line="269" w:lineRule="auto"/>
        <w:rPr>
          <w:sz w:val="20"/>
          <w:szCs w:val="20"/>
          <w:color w:val="auto"/>
        </w:rPr>
      </w:pPr>
      <w:r>
        <w:rPr>
          <w:rFonts w:ascii="Arial" w:cs="Arial" w:eastAsia="Arial" w:hAnsi="Arial"/>
          <w:sz w:val="17"/>
          <w:szCs w:val="17"/>
          <w:color w:val="auto"/>
        </w:rPr>
        <w:t>The Governance Committee also has oversight for reviewing new commitments or changes in responsibility that could interfere with a director’s ability to perform its duties and responsibilities as a member of the Board (including potential conflicts of interest, independence or related person transactions, regulatory issues, and time 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269240</wp:posOffset>
            </wp:positionV>
            <wp:extent cx="963930" cy="2216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27</w:t>
      </w:r>
    </w:p>
    <w:p>
      <w:pPr>
        <w:sectPr>
          <w:pgSz w:w="11900" w:h="16838" w:orient="portrait"/>
          <w:cols w:equalWidth="0" w:num="1">
            <w:col w:w="11220"/>
          </w:cols>
          <w:pgMar w:left="320" w:top="254" w:right="359" w:bottom="1440" w:gutter="0" w:footer="0" w:header="0"/>
          <w:type w:val="continuous"/>
        </w:sectPr>
      </w:pPr>
    </w:p>
    <w:bookmarkStart w:id="33" w:name="page34"/>
    <w:bookmarkEnd w:id="33"/>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Corporate Governance</w:t>
      </w:r>
    </w:p>
    <w:p>
      <w:pPr>
        <w:sectPr>
          <w:pgSz w:w="11900" w:h="16838" w:orient="portrait"/>
          <w:cols w:equalWidth="0" w:num="1">
            <w:col w:w="11240"/>
          </w:cols>
          <w:pgMar w:left="320" w:top="254"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9"/>
          <w:szCs w:val="29"/>
          <w:color w:val="003478"/>
        </w:rPr>
        <w:t>Director Independence</w:t>
      </w:r>
    </w:p>
    <w:p>
      <w:pPr>
        <w:spacing w:after="0" w:line="283" w:lineRule="exact"/>
        <w:rPr>
          <w:sz w:val="20"/>
          <w:szCs w:val="20"/>
          <w:color w:val="auto"/>
        </w:rPr>
      </w:pPr>
    </w:p>
    <w:p>
      <w:pPr>
        <w:ind w:left="20" w:right="120"/>
        <w:spacing w:after="0" w:line="267" w:lineRule="auto"/>
        <w:rPr>
          <w:sz w:val="20"/>
          <w:szCs w:val="20"/>
          <w:color w:val="auto"/>
        </w:rPr>
      </w:pPr>
      <w:r>
        <w:rPr>
          <w:rFonts w:ascii="Arial" w:cs="Arial" w:eastAsia="Arial" w:hAnsi="Arial"/>
          <w:sz w:val="17"/>
          <w:szCs w:val="17"/>
          <w:color w:val="auto"/>
        </w:rPr>
        <w:t>The Board has determined that all of our directors are independent under applicable NYSE listing standards, except Mr. Taiclet. Under the NYSE listing standards and our Governance Guidelines, a director is not independent if the director has a direct or indirect material relationship with the Company. The Governance Committee annually reviews the independence of all directors and reports its findings to the full Board.</w:t>
      </w:r>
    </w:p>
    <w:p>
      <w:pPr>
        <w:spacing w:after="0" w:line="98" w:lineRule="exact"/>
        <w:rPr>
          <w:sz w:val="20"/>
          <w:szCs w:val="20"/>
          <w:color w:val="auto"/>
        </w:rPr>
      </w:pPr>
    </w:p>
    <w:p>
      <w:pPr>
        <w:ind w:left="20" w:right="60"/>
        <w:spacing w:after="0" w:line="265" w:lineRule="auto"/>
        <w:rPr>
          <w:sz w:val="20"/>
          <w:szCs w:val="20"/>
          <w:color w:val="auto"/>
        </w:rPr>
      </w:pPr>
      <w:r>
        <w:rPr>
          <w:rFonts w:ascii="Arial" w:cs="Arial" w:eastAsia="Arial" w:hAnsi="Arial"/>
          <w:sz w:val="17"/>
          <w:szCs w:val="17"/>
          <w:color w:val="auto"/>
        </w:rPr>
        <w:t xml:space="preserve">The Board has adopted director independence guidelines that are included in our Governance Guidelines, which are available on the Company’s website at </w:t>
      </w:r>
      <w:r>
        <w:rPr>
          <w:rFonts w:ascii="Arial" w:cs="Arial" w:eastAsia="Arial" w:hAnsi="Arial"/>
          <w:sz w:val="17"/>
          <w:szCs w:val="17"/>
          <w:i w:val="1"/>
          <w:iCs w:val="1"/>
          <w:color w:val="auto"/>
        </w:rPr>
        <w:t>www.lockheedmartin.com/corporate-governance</w:t>
      </w:r>
      <w:r>
        <w:rPr>
          <w:rFonts w:ascii="Arial" w:cs="Arial" w:eastAsia="Arial" w:hAnsi="Arial"/>
          <w:sz w:val="17"/>
          <w:szCs w:val="17"/>
          <w:color w:val="auto"/>
        </w:rPr>
        <w:t>. These guidelines set forth certain relationships between the Company and directors and their immediate family members or affiliated entities, which the Board, in its judgment, has deemed to be material or immaterial for purposes of assessing a director’s independence. If a director has a relationship with the Company that is not addressed in the independence guidelines, the independent members of the Board determine whether the relationship is material.</w:t>
      </w:r>
    </w:p>
    <w:p>
      <w:pPr>
        <w:spacing w:after="0" w:line="102" w:lineRule="exact"/>
        <w:rPr>
          <w:sz w:val="20"/>
          <w:szCs w:val="20"/>
          <w:color w:val="auto"/>
        </w:rPr>
      </w:pPr>
    </w:p>
    <w:p>
      <w:pPr>
        <w:ind w:left="20" w:right="60"/>
        <w:spacing w:after="0" w:line="265" w:lineRule="auto"/>
        <w:rPr>
          <w:sz w:val="20"/>
          <w:szCs w:val="20"/>
          <w:color w:val="auto"/>
        </w:rPr>
      </w:pPr>
      <w:r>
        <w:rPr>
          <w:rFonts w:ascii="Arial" w:cs="Arial" w:eastAsia="Arial" w:hAnsi="Arial"/>
          <w:sz w:val="17"/>
          <w:szCs w:val="17"/>
          <w:color w:val="auto"/>
        </w:rPr>
        <w:t>The Board has determined that the following directors are independent: Daniel F. Akerson, David B. Burritt, Bruce A. Carlson, John M. Donovan, Joseph F. Dunford, Jr., James O. Ellis, Jr., Thomas J. Falk, Ilene S. Gordon, Vicki A. Hollub, Jeh C. Johnson, Debra L. Reed-Klages, and Patricia E. Yarrington. James D. Taiclet as an employee of the Company is not independent under the NYSE listing standards or our Governance Guidelines. Marillyn A. Hewson was also determined by the Board not to be independent while she served as Executive Chairman of the Board in 2021. In determining that each of the non-management directors is independent, the Board considered the relationships described under “Certain Relationships and Related Person Transactions of Directors, Executive Officers and 5 Percent Stockholders,” on page 29, each of which were determined to be immaterial to each individual’s independence.</w:t>
      </w:r>
    </w:p>
    <w:p>
      <w:pPr>
        <w:spacing w:after="0" w:line="100" w:lineRule="exact"/>
        <w:rPr>
          <w:sz w:val="20"/>
          <w:szCs w:val="20"/>
          <w:color w:val="auto"/>
        </w:rPr>
      </w:pPr>
    </w:p>
    <w:p>
      <w:pPr>
        <w:ind w:left="20"/>
        <w:spacing w:after="0" w:line="264" w:lineRule="auto"/>
        <w:rPr>
          <w:sz w:val="20"/>
          <w:szCs w:val="20"/>
          <w:color w:val="auto"/>
        </w:rPr>
      </w:pPr>
      <w:r>
        <w:rPr>
          <w:rFonts w:ascii="Arial" w:cs="Arial" w:eastAsia="Arial" w:hAnsi="Arial"/>
          <w:sz w:val="17"/>
          <w:szCs w:val="17"/>
          <w:color w:val="auto"/>
        </w:rPr>
        <w:t>The Governance Committee and Board considered that the Company, in the ordinary course of business, purchases products and services from, or sells products and services to, companies or subsidiaries or parents of companies at which some of our directors (or their immediate family members) are or have been directors or officers and to other institutions with which some of these individuals have or have had relationships. These relationships included: Mr. Akerson (Northrop Grumman Corporation (family member’s employer)); Mr. Burritt (National Safety Council); Mr. Carlson (Benchmark Electronics Inc. and the Charles Stark Draper Laboratory); Mr. Donovan (AT&amp;T Inc. (family member's employer)); Mr. Dunford (K&amp;L Gates LLP (family member’s employer)); Mr. Ellis (Blue Origin, LLC (family member’s employer), Dominion Energy Inc. and the Economist Group (family member’s employer)); Ms. Gordon (The Conference Board and International Paper Company); Mr. Johnson (Center for a New American Security) and Ms. Reed-Klages (The Boeing Company (family member’s employer), Caterpillar Inc. and the University of Southern California). In determining that these relationships did not affect the independence of those directors, the Board considered that none of the directors had any direct or indirect material interest in, or received any special compensation in connection with, the Company’s business relationships with those entities. In addition to their consideration of these ordinary course of business transactions, the Governance Committee and the Board relied upon the director independence guidelines included in our Governance Guidelines to conclude that contributions to a tax-exempt organization by the Company did not create any direct or indirect material interest for the purpose of assessing director independence.</w:t>
      </w:r>
    </w:p>
    <w:p>
      <w:pPr>
        <w:spacing w:after="0" w:line="107" w:lineRule="exact"/>
        <w:rPr>
          <w:sz w:val="20"/>
          <w:szCs w:val="20"/>
          <w:color w:val="auto"/>
        </w:rPr>
      </w:pPr>
    </w:p>
    <w:p>
      <w:pPr>
        <w:ind w:left="20" w:right="20"/>
        <w:spacing w:after="0" w:line="267" w:lineRule="auto"/>
        <w:rPr>
          <w:sz w:val="20"/>
          <w:szCs w:val="20"/>
          <w:color w:val="auto"/>
        </w:rPr>
      </w:pPr>
      <w:r>
        <w:rPr>
          <w:rFonts w:ascii="Arial" w:cs="Arial" w:eastAsia="Arial" w:hAnsi="Arial"/>
          <w:sz w:val="17"/>
          <w:szCs w:val="17"/>
          <w:color w:val="auto"/>
        </w:rPr>
        <w:t>The Governance Committee also concluded that all members of each of the Audit, Compensation and Governance Committees are independent within the meaning of our Governance Guidelines and NYSE listing standards, including the additional independence requirements applicable to members of the Audit Committee and Compensation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003478"/>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-228600</wp:posOffset>
            </wp:positionV>
            <wp:extent cx="1646555" cy="19792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646555" cy="1979295"/>
                    </a:xfrm>
                    <a:prstGeom prst="rect">
                      <a:avLst/>
                    </a:prstGeom>
                    <a:noFill/>
                  </pic:spPr>
                </pic:pic>
              </a:graphicData>
            </a:graphic>
          </wp:anchor>
        </w:drawing>
      </w:r>
    </w:p>
    <w:p>
      <w:pPr>
        <w:spacing w:after="0" w:line="35" w:lineRule="exact"/>
        <w:rPr>
          <w:sz w:val="20"/>
          <w:szCs w:val="20"/>
          <w:color w:val="auto"/>
        </w:rPr>
      </w:pPr>
    </w:p>
    <w:p>
      <w:pPr>
        <w:spacing w:after="0"/>
        <w:rPr>
          <w:sz w:val="20"/>
          <w:szCs w:val="20"/>
          <w:color w:val="auto"/>
        </w:rPr>
      </w:pPr>
      <w:r>
        <w:rPr>
          <w:rFonts w:ascii="Arial" w:cs="Arial" w:eastAsia="Arial" w:hAnsi="Arial"/>
          <w:sz w:val="72"/>
          <w:szCs w:val="72"/>
          <w:color w:val="003478"/>
        </w:rPr>
        <w:t>92%</w:t>
      </w:r>
    </w:p>
    <w:p>
      <w:pPr>
        <w:spacing w:after="0"/>
        <w:rPr>
          <w:sz w:val="20"/>
          <w:szCs w:val="20"/>
          <w:color w:val="auto"/>
        </w:rPr>
      </w:pPr>
      <w:r>
        <w:rPr>
          <w:rFonts w:ascii="Arial" w:cs="Arial" w:eastAsia="Arial" w:hAnsi="Arial"/>
          <w:sz w:val="17"/>
          <w:szCs w:val="17"/>
          <w:color w:val="003478"/>
        </w:rPr>
        <w:t>Independent</w:t>
      </w:r>
    </w:p>
    <w:p>
      <w:pPr>
        <w:spacing w:after="0" w:line="8372" w:lineRule="exact"/>
        <w:rPr>
          <w:sz w:val="20"/>
          <w:szCs w:val="20"/>
          <w:color w:val="auto"/>
        </w:rPr>
      </w:pPr>
    </w:p>
    <w:p>
      <w:pPr>
        <w:sectPr>
          <w:pgSz w:w="11900" w:h="16838" w:orient="portrait"/>
          <w:cols w:equalWidth="0" w:num="2">
            <w:col w:w="8300" w:space="280"/>
            <w:col w:w="2660"/>
          </w:cols>
          <w:pgMar w:left="320" w:top="25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28</w:t>
      </w:r>
    </w:p>
    <w:p>
      <w:pPr>
        <w:sectPr>
          <w:pgSz w:w="11900" w:h="16838" w:orient="portrait"/>
          <w:cols w:equalWidth="0" w:num="1">
            <w:col w:w="11240"/>
          </w:cols>
          <w:pgMar w:left="320" w:top="254" w:right="339" w:bottom="1440" w:gutter="0" w:footer="0" w:header="0"/>
          <w:type w:val="continuous"/>
        </w:sectPr>
      </w:pPr>
    </w:p>
    <w:bookmarkStart w:id="34" w:name="page35"/>
    <w:bookmarkEnd w:id="34"/>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5"/>
          <w:szCs w:val="25"/>
          <w:color w:val="818EB4"/>
        </w:rPr>
        <w:t>Related Person Transaction Policy</w:t>
      </w:r>
    </w:p>
    <w:p>
      <w:pPr>
        <w:spacing w:after="0" w:line="108"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 xml:space="preserve">The Board has approved a written policy and procedures for the review, approval and ratification, if necessary, of transactions among the Company and its directors, executive officers and their related interests. A copy of the policy is available on the Company’s website at </w:t>
      </w:r>
      <w:r>
        <w:rPr>
          <w:rFonts w:ascii="Arial" w:cs="Arial" w:eastAsia="Arial" w:hAnsi="Arial"/>
          <w:sz w:val="17"/>
          <w:szCs w:val="17"/>
          <w:i w:val="1"/>
          <w:iCs w:val="1"/>
          <w:color w:val="auto"/>
        </w:rPr>
        <w:t>www.lockheedmartin.com/corporate-governance</w:t>
      </w:r>
      <w:r>
        <w:rPr>
          <w:rFonts w:ascii="Arial" w:cs="Arial" w:eastAsia="Arial" w:hAnsi="Arial"/>
          <w:sz w:val="17"/>
          <w:szCs w:val="17"/>
          <w:color w:val="auto"/>
        </w:rPr>
        <w:t>. Under the policy, the Governance Committee shall conduct a reasonable prior review and oversight</w:t>
      </w:r>
      <w:r>
        <w:rPr>
          <w:rFonts w:ascii="Arial" w:cs="Arial" w:eastAsia="Arial" w:hAnsi="Arial"/>
          <w:sz w:val="17"/>
          <w:szCs w:val="17"/>
          <w:i w:val="1"/>
          <w:iCs w:val="1"/>
          <w:color w:val="auto"/>
        </w:rPr>
        <w:t xml:space="preserve"> </w:t>
      </w:r>
      <w:r>
        <w:rPr>
          <w:rFonts w:ascii="Arial" w:cs="Arial" w:eastAsia="Arial" w:hAnsi="Arial"/>
          <w:sz w:val="17"/>
          <w:szCs w:val="17"/>
          <w:color w:val="auto"/>
        </w:rPr>
        <w:t>of all related person transactions (as defined in the policy). The Governance Committee may approve related person transactions at its discretion if deemed fair and reasonable to the Company and not inconsistent with the interest of the Company and its stockholders. This may include situations where the Company provides products or services to related persons on an arm’s length basis on terms comparable to those provided to unrelated third parties. Any director who participates in or is the subject of an existing or potential related person transaction may not participate in the decision-making process of the Governance Committee with respect to that transaction, except if approved by unanimous written consent. The Governance Committee will prohibit any related person transaction that it determines to be inconsistent with the interests of the Company and its stockholders.</w:t>
      </w:r>
    </w:p>
    <w:p>
      <w:pPr>
        <w:spacing w:after="0" w:line="100"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Under the policy, and consistent with applicable SEC regulations and NYSE listing standards, a related person transaction is any transaction in which the Company was, is or will be a participant, where the amount involved exceeds $120,000, and in which a related person had, has, or will have a direct or indirect material interest. A related person includes any director or director-nominee, any executive officer of the Company, any person who is known to be the beneficial owner of more than five percent of any class of the Company’s voting securities, or an immediate family member of any person described above.</w:t>
      </w:r>
    </w:p>
    <w:p>
      <w:pPr>
        <w:spacing w:after="0" w:line="99"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Our policy requires each director and executive officer to complete an annual questionnaire to identify his or her related interests and persons, and to notify the Company of changes in that information. Based on that information, the Company maintains a master list of related persons for purposes of tracking and reporting related person transactions.</w:t>
      </w:r>
    </w:p>
    <w:p>
      <w:pPr>
        <w:spacing w:after="0" w:line="82"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Although it is the policy that all related person transactions be pre-approved, the Governance Committee has the authority to ratify a transaction if identified after it has occurred or commenced using the same standards of review. The Governance Committee has also pre-approved certain categories of transactions or relationships as set forth in the policy. If the Governance Committee declines to approve or ratify a transaction, the related person transaction is referred to management to make a recommendation to the Governance Committee concerning whether the transaction should be terminated or amended in a manner that is acceptable to the Governance Committee.</w:t>
      </w:r>
    </w:p>
    <w:p>
      <w:pPr>
        <w:spacing w:after="0" w:line="80" w:lineRule="exact"/>
        <w:rPr>
          <w:sz w:val="20"/>
          <w:szCs w:val="20"/>
          <w:color w:val="auto"/>
        </w:rPr>
      </w:pPr>
    </w:p>
    <w:p>
      <w:pPr>
        <w:ind w:right="860"/>
        <w:spacing w:after="0" w:line="237" w:lineRule="auto"/>
        <w:rPr>
          <w:sz w:val="20"/>
          <w:szCs w:val="20"/>
          <w:color w:val="auto"/>
        </w:rPr>
      </w:pPr>
      <w:r>
        <w:rPr>
          <w:rFonts w:ascii="Arial" w:cs="Arial" w:eastAsia="Arial" w:hAnsi="Arial"/>
          <w:sz w:val="25"/>
          <w:szCs w:val="25"/>
          <w:color w:val="818EB4"/>
        </w:rPr>
        <w:t>Certain Relationships and Related Person Transactions of Directors, Executive Officers and 5 Percent Stockholders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transactions or relationships are considered to be “related person” transactions under our corporate policy and applicable SEC</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regulations and NYSE listing standards. We currently employ approximately 114,000 employees and have an active recruitment program for soliciting</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job applications from qualified candidates. We seek to hire the most qualified candidates and consequently do not preclude the employment of family</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members of current directors or executive officers. William J. Drennen, III, the brother-in-law of our chief accounting officer, is employed by the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Company as a senior staff systems engineer. Mr. Drennen’s 2021 base salary was $174,562 and he received an annual cash incentive award of</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$13,965. His base salary was increased to $180,672 for 2022 and he is eligible to earn an incentive award applicable to employees at his level.</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Bruce Carlson’s son, Dr. Scott Carlson, is employed by the Company as a senior staff aeronautical engineer. Dr. Carlson’s 2021 base salary was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$152,467 and he received an annual cash incentive award of $11,587. His base salary was increased to $160,803 for 2022 and he may be eligible to</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earn an incentive award applicable to employees at his level. Mr. Drennen and Dr. Carlson may participate in other employee benefit plans and</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arrangements that generally are made available to other employees at the same level (including health, welfare, vacation, and retirement plans).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Their respective compensation was established in accordance with the Company’s employment and compensation practices applicable to employees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with equivalent qualifications, experience, and responsibilities and the Board and executive officers of the Company did not have any direct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involvement in setting their individual compensation. Neither Mr. Drennen nor Dr. Carlson served as an executive officer of the Company during 2021.</w:t>
      </w:r>
    </w:p>
    <w:p>
      <w:pPr>
        <w:spacing w:after="0" w:line="138"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From time to time, the Company has purchased services in the ordinary course of business from financial institutions that beneficially own five percent or more of our common stock. In 2021, the Company paid approximately $8,063,054 to State Street Company and its affiliates (including State Street Bank and Trust Company) (collectively, State Street) for investment management, custodial, benefit plan administration and credit facility fees; approximately $570,742 to BlackRock, Inc. and its affiliates for investment management fees; approximately $3,343,250 to Capital Guardian Trust Company, an affiliate of Capital World Investors, for investment management fees; and approximately $346,098 to The Vanguard Group, Inc., for investment management fees. A portion of the fees included in the amounts paid to State Street, BlackRock, Inc., Capital Guardian and The Vanguard Group are estimated based on a percentage of net asset value under management. Capital World Investors is no longer a five percent or more holder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264160</wp:posOffset>
            </wp:positionV>
            <wp:extent cx="963930" cy="2216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29</w:t>
      </w:r>
    </w:p>
    <w:p>
      <w:pPr>
        <w:sectPr>
          <w:pgSz w:w="11900" w:h="16838" w:orient="portrait"/>
          <w:cols w:equalWidth="0" w:num="1">
            <w:col w:w="11240"/>
          </w:cols>
          <w:pgMar w:left="320" w:top="254"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Corporate Governance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9"/>
          <w:szCs w:val="29"/>
          <w:color w:val="003478"/>
        </w:rPr>
        <w:t>Accountability to Stockholders</w:t>
      </w:r>
    </w:p>
    <w:p>
      <w:pPr>
        <w:spacing w:after="0" w:line="116" w:lineRule="exact"/>
        <w:rPr>
          <w:sz w:val="20"/>
          <w:szCs w:val="20"/>
          <w:color w:val="auto"/>
        </w:rPr>
      </w:pPr>
    </w:p>
    <w:p>
      <w:pPr>
        <w:spacing w:after="0"/>
        <w:rPr>
          <w:sz w:val="20"/>
          <w:szCs w:val="20"/>
          <w:color w:val="auto"/>
        </w:rPr>
      </w:pPr>
      <w:r>
        <w:rPr>
          <w:rFonts w:ascii="Arial" w:cs="Arial" w:eastAsia="Arial" w:hAnsi="Arial"/>
          <w:sz w:val="25"/>
          <w:szCs w:val="25"/>
          <w:color w:val="818EB4"/>
        </w:rPr>
        <w:t>Majority Voting Policy for Director Elections</w:t>
      </w:r>
    </w:p>
    <w:p>
      <w:pPr>
        <w:spacing w:after="0" w:line="121" w:lineRule="exact"/>
        <w:rPr>
          <w:sz w:val="20"/>
          <w:szCs w:val="20"/>
          <w:color w:val="auto"/>
        </w:rPr>
      </w:pPr>
    </w:p>
    <w:p>
      <w:pPr>
        <w:ind w:right="560"/>
        <w:spacing w:after="0" w:line="269" w:lineRule="auto"/>
        <w:rPr>
          <w:sz w:val="20"/>
          <w:szCs w:val="20"/>
          <w:color w:val="auto"/>
        </w:rPr>
      </w:pPr>
      <w:r>
        <w:rPr>
          <w:rFonts w:ascii="Arial" w:cs="Arial" w:eastAsia="Arial" w:hAnsi="Arial"/>
          <w:sz w:val="17"/>
          <w:szCs w:val="17"/>
          <w:color w:val="auto"/>
        </w:rPr>
        <w:t>The Company’s Charter and Bylaws provide for simple majority voting. Pursuant to the Governance Guidelines, in any uncontested election of directors, any incumbent director who receives more votes “AGAINST” than votes “FOR” is required to offer his or her resignation for Board consideration.</w:t>
      </w:r>
    </w:p>
    <w:p>
      <w:pPr>
        <w:spacing w:after="0" w:line="95" w:lineRule="exact"/>
        <w:rPr>
          <w:sz w:val="20"/>
          <w:szCs w:val="20"/>
          <w:color w:val="auto"/>
        </w:rPr>
      </w:pPr>
    </w:p>
    <w:p>
      <w:pPr>
        <w:ind w:right="360"/>
        <w:spacing w:after="0" w:line="269" w:lineRule="auto"/>
        <w:rPr>
          <w:sz w:val="20"/>
          <w:szCs w:val="20"/>
          <w:color w:val="auto"/>
        </w:rPr>
      </w:pPr>
      <w:r>
        <w:rPr>
          <w:rFonts w:ascii="Arial" w:cs="Arial" w:eastAsia="Arial" w:hAnsi="Arial"/>
          <w:sz w:val="17"/>
          <w:szCs w:val="17"/>
          <w:color w:val="auto"/>
        </w:rPr>
        <w:t>The Board will act on a tendered resignation within 90 days following certification of the stockholder vote for the annual meeting and will promptly disclose its decision and rationale as to whether to accept the resignation (or the reasons for rejecting the resignation, if applicable) in a press release, in a filing with the SEC, or by other public announcement, including a posting on the Company’s website.</w:t>
      </w:r>
    </w:p>
    <w:p>
      <w:pPr>
        <w:spacing w:after="0" w:line="95"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If a director’s resignation is accepted by the Board, or if a nominee for director who is not an incumbent director is not elected, the Board may fill the resulting vacancy or may decrease the size of the Board pursuant to the Company’s Bylaws. The Board may not fill any vacancy so created with a director who was nominated but not elected at the annual meeting by the vote required under the Company’s Bylaws.</w:t>
      </w:r>
    </w:p>
    <w:p>
      <w:pPr>
        <w:spacing w:after="0" w:line="89" w:lineRule="exact"/>
        <w:rPr>
          <w:sz w:val="20"/>
          <w:szCs w:val="20"/>
          <w:color w:val="auto"/>
        </w:rPr>
      </w:pPr>
    </w:p>
    <w:p>
      <w:pPr>
        <w:spacing w:after="0"/>
        <w:rPr>
          <w:sz w:val="20"/>
          <w:szCs w:val="20"/>
          <w:color w:val="auto"/>
        </w:rPr>
      </w:pPr>
      <w:r>
        <w:rPr>
          <w:rFonts w:ascii="Arial" w:cs="Arial" w:eastAsia="Arial" w:hAnsi="Arial"/>
          <w:sz w:val="25"/>
          <w:szCs w:val="25"/>
          <w:color w:val="818EB4"/>
        </w:rPr>
        <w:t>Stockholder Right to Amend Bylaws</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Our Bylaws provide the Company’s stockholders the right to amend the Bylaws by the vote of a majority of the votes entitled to be cast. The authority of the stockholders and the Board to amend the Bylaws is subject to the provisions of the Company’s Charter and applicable statutes. Our Bylaws can be found on the Company’s website at </w:t>
      </w:r>
      <w:r>
        <w:rPr>
          <w:rFonts w:ascii="Arial" w:cs="Arial" w:eastAsia="Arial" w:hAnsi="Arial"/>
          <w:sz w:val="17"/>
          <w:szCs w:val="17"/>
          <w:i w:val="1"/>
          <w:iCs w:val="1"/>
          <w:color w:val="auto"/>
        </w:rPr>
        <w:t>www.lockheedmartin.com/corporate-governance</w:t>
      </w:r>
      <w:r>
        <w:rPr>
          <w:rFonts w:ascii="Arial" w:cs="Arial" w:eastAsia="Arial" w:hAnsi="Arial"/>
          <w:sz w:val="17"/>
          <w:szCs w:val="17"/>
          <w:color w:val="auto"/>
        </w:rPr>
        <w:t>.</w:t>
      </w:r>
    </w:p>
    <w:p>
      <w:pPr>
        <w:spacing w:after="0" w:line="89" w:lineRule="exact"/>
        <w:rPr>
          <w:sz w:val="20"/>
          <w:szCs w:val="20"/>
          <w:color w:val="auto"/>
        </w:rPr>
      </w:pPr>
    </w:p>
    <w:p>
      <w:pPr>
        <w:spacing w:after="0"/>
        <w:rPr>
          <w:sz w:val="20"/>
          <w:szCs w:val="20"/>
          <w:color w:val="auto"/>
        </w:rPr>
      </w:pPr>
      <w:r>
        <w:rPr>
          <w:rFonts w:ascii="Arial" w:cs="Arial" w:eastAsia="Arial" w:hAnsi="Arial"/>
          <w:sz w:val="25"/>
          <w:szCs w:val="25"/>
          <w:color w:val="818EB4"/>
        </w:rPr>
        <w:t>Proxy Access</w:t>
      </w:r>
    </w:p>
    <w:p>
      <w:pPr>
        <w:spacing w:after="0" w:line="121"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Our Bylaws permit a stockholder or a group of up to 20 stockholders who together have owned at least three percent of the Company’s outstanding common stock continuously for three years to nominate for election by the Company’s stockholders and include in the Company’s proxy solicitation materials for its annual meeting up to the greater of two directors or 20 percent of the number of directors in office at the time of the proxy access deadline described on page 86.</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18EB4"/>
        </w:rPr>
        <w:t>Stockholder Right to Call Special Meeting</w:t>
      </w:r>
    </w:p>
    <w:p>
      <w:pPr>
        <w:spacing w:after="0" w:line="121"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Any stockholder who individually owns 10 percent, or stockholders who in the aggregate own 25 percent, of the outstanding common stock may demand the calling of a special meeting to consider any business properly brought before the stockholders. Our Bylaws do not restrict the timing of a request for a special meeting. The only subject matter restriction is that the Company is not required to call a special meeting to consider a matter that is substantially the same as a matter voted on at a special meeting within the preceding 12 months unless requested by stockholders entitled to cast a majority of the votes at the special meeting. (See additional information in the Board of Directors Vote Recommendation on Proposal 4 on page 75.)</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18EB4"/>
        </w:rPr>
        <w:t>No Poison Pill</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does not have a Stockholder Rights Plan, otherwise known as a “Poison Pill.” Through our Governance Guidelines, the Board has communicated that it has no intention of adopting one at this time and if it were to adopt a Stockholder Rights Plan, the Board would seek stockholder ratification within 12 months of the date of adoption.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30</w:t>
      </w:r>
    </w:p>
    <w:p>
      <w:pPr>
        <w:sectPr>
          <w:pgSz w:w="11900" w:h="16838" w:orient="portrait"/>
          <w:cols w:equalWidth="0" w:num="1">
            <w:col w:w="11240"/>
          </w:cols>
          <w:pgMar w:left="320" w:top="254"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43"/>
          <w:szCs w:val="43"/>
          <w:color w:val="003478"/>
        </w:rPr>
        <w:t>Enterprise Risk and Sustainability</w:t>
      </w:r>
    </w:p>
    <w:p>
      <w:pPr>
        <w:spacing w:after="0" w:line="173" w:lineRule="exact"/>
        <w:rPr>
          <w:sz w:val="20"/>
          <w:szCs w:val="20"/>
          <w:color w:val="auto"/>
        </w:rPr>
      </w:pPr>
    </w:p>
    <w:p>
      <w:pPr>
        <w:ind w:right="260"/>
        <w:spacing w:after="0" w:line="269" w:lineRule="auto"/>
        <w:rPr>
          <w:sz w:val="20"/>
          <w:szCs w:val="20"/>
          <w:color w:val="auto"/>
        </w:rPr>
      </w:pPr>
      <w:r>
        <w:rPr>
          <w:rFonts w:ascii="Arial" w:cs="Arial" w:eastAsia="Arial" w:hAnsi="Arial"/>
          <w:sz w:val="17"/>
          <w:szCs w:val="17"/>
          <w:color w:val="auto"/>
        </w:rPr>
        <w:t>As a leader in developing and delivering innovative engineering solutions, Lockheed Martin helps to enable the growth, safety and resiliency of communities and economies around the world. The core sustainability issues we focus on and the corresponding actions we take are designed to address some of the most pressing ESG issues facing society today and in the future.</w:t>
      </w:r>
    </w:p>
    <w:p>
      <w:pPr>
        <w:spacing w:after="0" w:line="95"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To build integrated assurance, enterprise risk and sustainability are managed under one department and mutually reinforced through the following processes:</w:t>
      </w:r>
    </w:p>
    <w:p>
      <w:pPr>
        <w:spacing w:after="0" w:line="71" w:lineRule="exact"/>
        <w:rPr>
          <w:sz w:val="20"/>
          <w:szCs w:val="20"/>
          <w:color w:val="auto"/>
        </w:rPr>
      </w:pPr>
    </w:p>
    <w:p>
      <w:pPr>
        <w:ind w:left="420" w:right="600" w:hanging="251"/>
        <w:spacing w:after="0" w:line="298" w:lineRule="auto"/>
        <w:tabs>
          <w:tab w:leader="none" w:pos="385" w:val="left"/>
        </w:tabs>
        <w:numPr>
          <w:ilvl w:val="0"/>
          <w:numId w:val="58"/>
        </w:numPr>
        <w:rPr>
          <w:rFonts w:ascii="Arial" w:cs="Arial" w:eastAsia="Arial" w:hAnsi="Arial"/>
          <w:sz w:val="17"/>
          <w:szCs w:val="17"/>
          <w:color w:val="003478"/>
        </w:rPr>
      </w:pPr>
      <w:r>
        <w:rPr>
          <w:rFonts w:ascii="Arial" w:cs="Arial" w:eastAsia="Arial" w:hAnsi="Arial"/>
          <w:sz w:val="17"/>
          <w:szCs w:val="17"/>
          <w:b w:val="1"/>
          <w:bCs w:val="1"/>
          <w:color w:val="auto"/>
        </w:rPr>
        <w:t xml:space="preserve">Risk Identification: </w:t>
      </w:r>
      <w:r>
        <w:rPr>
          <w:rFonts w:ascii="Arial" w:cs="Arial" w:eastAsia="Arial" w:hAnsi="Arial"/>
          <w:sz w:val="17"/>
          <w:szCs w:val="17"/>
          <w:color w:val="auto"/>
        </w:rPr>
        <w:t>We monitor a dynamic risk universe that includes, aside from strategic, financial and operational topics, ESG topics</w:t>
      </w:r>
      <w:r>
        <w:rPr>
          <w:rFonts w:ascii="Arial" w:cs="Arial" w:eastAsia="Arial" w:hAnsi="Arial"/>
          <w:sz w:val="17"/>
          <w:szCs w:val="17"/>
          <w:b w:val="1"/>
          <w:bCs w:val="1"/>
          <w:color w:val="auto"/>
        </w:rPr>
        <w:t xml:space="preserve"> </w:t>
      </w:r>
      <w:r>
        <w:rPr>
          <w:rFonts w:ascii="Arial" w:cs="Arial" w:eastAsia="Arial" w:hAnsi="Arial"/>
          <w:sz w:val="17"/>
          <w:szCs w:val="17"/>
          <w:color w:val="auto"/>
        </w:rPr>
        <w:t>prevalent in voluntary frameworks, mandatory regulations and internally identified sources.</w:t>
      </w:r>
    </w:p>
    <w:p>
      <w:pPr>
        <w:spacing w:after="0" w:line="52" w:lineRule="exact"/>
        <w:rPr>
          <w:rFonts w:ascii="Arial" w:cs="Arial" w:eastAsia="Arial" w:hAnsi="Arial"/>
          <w:sz w:val="17"/>
          <w:szCs w:val="17"/>
          <w:color w:val="003478"/>
        </w:rPr>
      </w:pPr>
    </w:p>
    <w:p>
      <w:pPr>
        <w:ind w:left="420" w:right="560" w:hanging="251"/>
        <w:spacing w:after="0" w:line="281" w:lineRule="auto"/>
        <w:tabs>
          <w:tab w:leader="none" w:pos="385" w:val="left"/>
        </w:tabs>
        <w:numPr>
          <w:ilvl w:val="0"/>
          <w:numId w:val="58"/>
        </w:numPr>
        <w:rPr>
          <w:rFonts w:ascii="Arial" w:cs="Arial" w:eastAsia="Arial" w:hAnsi="Arial"/>
          <w:sz w:val="17"/>
          <w:szCs w:val="17"/>
          <w:color w:val="003478"/>
        </w:rPr>
      </w:pPr>
      <w:r>
        <w:rPr>
          <w:rFonts w:ascii="Arial" w:cs="Arial" w:eastAsia="Arial" w:hAnsi="Arial"/>
          <w:sz w:val="17"/>
          <w:szCs w:val="17"/>
          <w:b w:val="1"/>
          <w:bCs w:val="1"/>
          <w:color w:val="auto"/>
        </w:rPr>
        <w:t xml:space="preserve">Risk Assessment: </w:t>
      </w:r>
      <w:r>
        <w:rPr>
          <w:rFonts w:ascii="Arial" w:cs="Arial" w:eastAsia="Arial" w:hAnsi="Arial"/>
          <w:sz w:val="17"/>
          <w:szCs w:val="17"/>
          <w:color w:val="auto"/>
        </w:rPr>
        <w:t>We prioritize and evaluate assumptions from a diverse set of risk topics that are relevant to strategic and operational</w:t>
      </w:r>
      <w:r>
        <w:rPr>
          <w:rFonts w:ascii="Arial" w:cs="Arial" w:eastAsia="Arial" w:hAnsi="Arial"/>
          <w:sz w:val="17"/>
          <w:szCs w:val="17"/>
          <w:b w:val="1"/>
          <w:bCs w:val="1"/>
          <w:color w:val="auto"/>
        </w:rPr>
        <w:t xml:space="preserve"> </w:t>
      </w:r>
      <w:r>
        <w:rPr>
          <w:rFonts w:ascii="Arial" w:cs="Arial" w:eastAsia="Arial" w:hAnsi="Arial"/>
          <w:sz w:val="17"/>
          <w:szCs w:val="17"/>
          <w:color w:val="auto"/>
        </w:rPr>
        <w:t>objectives. Additionally, we separately assess compliance with laws and regulations as well as risk topics related to ESG. This includes examining environmental and social factors applicable to risk topics in our business.</w:t>
      </w:r>
    </w:p>
    <w:p>
      <w:pPr>
        <w:spacing w:after="0" w:line="65" w:lineRule="exact"/>
        <w:rPr>
          <w:rFonts w:ascii="Arial" w:cs="Arial" w:eastAsia="Arial" w:hAnsi="Arial"/>
          <w:sz w:val="17"/>
          <w:szCs w:val="17"/>
          <w:color w:val="003478"/>
        </w:rPr>
      </w:pPr>
    </w:p>
    <w:p>
      <w:pPr>
        <w:ind w:left="420" w:right="180" w:hanging="251"/>
        <w:spacing w:after="0" w:line="275" w:lineRule="auto"/>
        <w:tabs>
          <w:tab w:leader="none" w:pos="385" w:val="left"/>
        </w:tabs>
        <w:numPr>
          <w:ilvl w:val="0"/>
          <w:numId w:val="58"/>
        </w:numPr>
        <w:rPr>
          <w:rFonts w:ascii="Arial" w:cs="Arial" w:eastAsia="Arial" w:hAnsi="Arial"/>
          <w:sz w:val="17"/>
          <w:szCs w:val="17"/>
          <w:color w:val="003478"/>
        </w:rPr>
      </w:pPr>
      <w:r>
        <w:rPr>
          <w:rFonts w:ascii="Arial" w:cs="Arial" w:eastAsia="Arial" w:hAnsi="Arial"/>
          <w:sz w:val="17"/>
          <w:szCs w:val="17"/>
          <w:b w:val="1"/>
          <w:bCs w:val="1"/>
          <w:color w:val="auto"/>
        </w:rPr>
        <w:t xml:space="preserve">Risk Controls and Mitigation: </w:t>
      </w:r>
      <w:r>
        <w:rPr>
          <w:rFonts w:ascii="Arial" w:cs="Arial" w:eastAsia="Arial" w:hAnsi="Arial"/>
          <w:sz w:val="17"/>
          <w:szCs w:val="17"/>
          <w:color w:val="auto"/>
        </w:rPr>
        <w:t>Through the Risk Audit Strategy Board (including a periodic, rigorous examination of the intersection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our enterprise risk matrix, our Sustainability core issues and our internal audit plan), we strive to mitigate risk related to several ESG factors, and we track, measure and report our performance for greater transparency. This process also informs how we evaluate the effectiveness of controls for risk elements identified through our enterprise risk assessments, corporate policies and internal audits.</w:t>
      </w:r>
    </w:p>
    <w:p>
      <w:pPr>
        <w:spacing w:after="0" w:line="80" w:lineRule="exact"/>
        <w:rPr>
          <w:sz w:val="20"/>
          <w:szCs w:val="20"/>
          <w:color w:val="auto"/>
        </w:rPr>
      </w:pPr>
    </w:p>
    <w:p>
      <w:pPr>
        <w:spacing w:after="0"/>
        <w:rPr>
          <w:sz w:val="20"/>
          <w:szCs w:val="20"/>
          <w:color w:val="auto"/>
        </w:rPr>
      </w:pPr>
      <w:r>
        <w:rPr>
          <w:rFonts w:ascii="Arial" w:cs="Arial" w:eastAsia="Arial" w:hAnsi="Arial"/>
          <w:sz w:val="29"/>
          <w:szCs w:val="29"/>
          <w:color w:val="003478"/>
        </w:rPr>
        <w:t>2021 Progress on our Sustainability Priorities</w:t>
      </w:r>
    </w:p>
    <w:p>
      <w:pPr>
        <w:spacing w:after="0" w:line="12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The sustainability priorities set forth in the graphic below and each of their subsidiary core issues represent issues of key importance to stakeholders and drivers of long-term value creation. In 2020, we released our next generation of sustainability priorities in our 2025 Sustainability Management Plan (SMP). This year we are excited to report on our first year of work towards achieving the goals associated with each of our 13 core issues and additional sustainability priorities. For some of our goals, we are working to create baselines from which to build progress. For others, we made significant movement towards meeting our targets. Some highlights of our progress in 2021 include:</w:t>
      </w:r>
    </w:p>
    <w:p>
      <w:pPr>
        <w:spacing w:after="0" w:line="45" w:lineRule="exact"/>
        <w:rPr>
          <w:sz w:val="20"/>
          <w:szCs w:val="20"/>
          <w:color w:val="auto"/>
        </w:rPr>
      </w:pPr>
    </w:p>
    <w:p>
      <w:pPr>
        <w:ind w:left="380" w:hanging="211"/>
        <w:spacing w:after="0"/>
        <w:tabs>
          <w:tab w:leader="none" w:pos="380" w:val="left"/>
        </w:tabs>
        <w:numPr>
          <w:ilvl w:val="0"/>
          <w:numId w:val="59"/>
        </w:numPr>
        <w:rPr>
          <w:rFonts w:ascii="Arial" w:cs="Arial" w:eastAsia="Arial" w:hAnsi="Arial"/>
          <w:sz w:val="17"/>
          <w:szCs w:val="17"/>
          <w:color w:val="003478"/>
        </w:rPr>
      </w:pPr>
      <w:r>
        <w:rPr>
          <w:rFonts w:ascii="Arial" w:cs="Arial" w:eastAsia="Arial" w:hAnsi="Arial"/>
          <w:sz w:val="17"/>
          <w:szCs w:val="17"/>
          <w:color w:val="auto"/>
        </w:rPr>
        <w:t>We released our tenth annual Sustainability Report in April.</w:t>
      </w:r>
    </w:p>
    <w:p>
      <w:pPr>
        <w:spacing w:after="0" w:line="19" w:lineRule="exact"/>
        <w:rPr>
          <w:rFonts w:ascii="Arial" w:cs="Arial" w:eastAsia="Arial" w:hAnsi="Arial"/>
          <w:sz w:val="17"/>
          <w:szCs w:val="17"/>
          <w:color w:val="003478"/>
        </w:rPr>
      </w:pPr>
    </w:p>
    <w:p>
      <w:pPr>
        <w:ind w:left="380" w:hanging="211"/>
        <w:spacing w:after="0"/>
        <w:tabs>
          <w:tab w:leader="none" w:pos="380" w:val="left"/>
        </w:tabs>
        <w:numPr>
          <w:ilvl w:val="0"/>
          <w:numId w:val="59"/>
        </w:numPr>
        <w:rPr>
          <w:rFonts w:ascii="Arial" w:cs="Arial" w:eastAsia="Arial" w:hAnsi="Arial"/>
          <w:sz w:val="17"/>
          <w:szCs w:val="17"/>
          <w:color w:val="003478"/>
        </w:rPr>
      </w:pPr>
      <w:r>
        <w:rPr>
          <w:rFonts w:ascii="Arial" w:cs="Arial" w:eastAsia="Arial" w:hAnsi="Arial"/>
          <w:sz w:val="17"/>
          <w:szCs w:val="17"/>
          <w:color w:val="auto"/>
        </w:rPr>
        <w:t>We reduced our Scope 1 and 2 carbon emissions per dollar of gross profit by 47% against a 2015 baseline.</w:t>
      </w:r>
    </w:p>
    <w:p>
      <w:pPr>
        <w:spacing w:after="0" w:line="19" w:lineRule="exact"/>
        <w:rPr>
          <w:rFonts w:ascii="Arial" w:cs="Arial" w:eastAsia="Arial" w:hAnsi="Arial"/>
          <w:sz w:val="17"/>
          <w:szCs w:val="17"/>
          <w:color w:val="003478"/>
        </w:rPr>
      </w:pPr>
    </w:p>
    <w:p>
      <w:pPr>
        <w:ind w:left="380" w:hanging="211"/>
        <w:spacing w:after="0"/>
        <w:tabs>
          <w:tab w:leader="none" w:pos="380" w:val="left"/>
        </w:tabs>
        <w:numPr>
          <w:ilvl w:val="0"/>
          <w:numId w:val="59"/>
        </w:numPr>
        <w:rPr>
          <w:rFonts w:ascii="Arial" w:cs="Arial" w:eastAsia="Arial" w:hAnsi="Arial"/>
          <w:sz w:val="17"/>
          <w:szCs w:val="17"/>
          <w:color w:val="003478"/>
        </w:rPr>
      </w:pPr>
      <w:r>
        <w:rPr>
          <w:rFonts w:ascii="Arial" w:cs="Arial" w:eastAsia="Arial" w:hAnsi="Arial"/>
          <w:sz w:val="17"/>
          <w:szCs w:val="17"/>
          <w:color w:val="auto"/>
        </w:rPr>
        <w:t>We matched 22% of electricity use across Lockheed Martin global operations with electricity from renewable sources.</w:t>
      </w:r>
    </w:p>
    <w:p>
      <w:pPr>
        <w:spacing w:after="0" w:line="19" w:lineRule="exact"/>
        <w:rPr>
          <w:rFonts w:ascii="Arial" w:cs="Arial" w:eastAsia="Arial" w:hAnsi="Arial"/>
          <w:sz w:val="17"/>
          <w:szCs w:val="17"/>
          <w:color w:val="003478"/>
        </w:rPr>
      </w:pPr>
    </w:p>
    <w:p>
      <w:pPr>
        <w:ind w:left="380" w:hanging="211"/>
        <w:spacing w:after="0"/>
        <w:tabs>
          <w:tab w:leader="none" w:pos="380" w:val="left"/>
        </w:tabs>
        <w:numPr>
          <w:ilvl w:val="0"/>
          <w:numId w:val="59"/>
        </w:numPr>
        <w:rPr>
          <w:rFonts w:ascii="Arial" w:cs="Arial" w:eastAsia="Arial" w:hAnsi="Arial"/>
          <w:sz w:val="17"/>
          <w:szCs w:val="17"/>
          <w:color w:val="003478"/>
        </w:rPr>
      </w:pPr>
      <w:r>
        <w:rPr>
          <w:rFonts w:ascii="Arial" w:cs="Arial" w:eastAsia="Arial" w:hAnsi="Arial"/>
          <w:sz w:val="17"/>
          <w:szCs w:val="17"/>
          <w:color w:val="auto"/>
        </w:rPr>
        <w:t>We succeeded in having 100% of leaders complete our Leading Diverse Teams training.</w:t>
      </w:r>
    </w:p>
    <w:p>
      <w:pPr>
        <w:spacing w:after="0" w:line="19" w:lineRule="exact"/>
        <w:rPr>
          <w:rFonts w:ascii="Arial" w:cs="Arial" w:eastAsia="Arial" w:hAnsi="Arial"/>
          <w:sz w:val="17"/>
          <w:szCs w:val="17"/>
          <w:color w:val="003478"/>
        </w:rPr>
      </w:pPr>
    </w:p>
    <w:p>
      <w:pPr>
        <w:ind w:left="420" w:hanging="251"/>
        <w:spacing w:after="0" w:line="269" w:lineRule="auto"/>
        <w:tabs>
          <w:tab w:leader="none" w:pos="385" w:val="left"/>
        </w:tabs>
        <w:numPr>
          <w:ilvl w:val="0"/>
          <w:numId w:val="59"/>
        </w:numPr>
        <w:rPr>
          <w:rFonts w:ascii="Arial" w:cs="Arial" w:eastAsia="Arial" w:hAnsi="Arial"/>
          <w:sz w:val="17"/>
          <w:szCs w:val="17"/>
          <w:color w:val="003478"/>
        </w:rPr>
      </w:pPr>
      <w:r>
        <w:rPr>
          <w:rFonts w:ascii="Arial" w:cs="Arial" w:eastAsia="Arial" w:hAnsi="Arial"/>
          <w:sz w:val="17"/>
          <w:szCs w:val="17"/>
          <w:color w:val="auto"/>
        </w:rPr>
        <w:t>We established a comprehensive baseline of our existing sponsorships and charitable contributions addressing our priority areas of quality education, gender equality, affordable and clean energy and peace, justice and strong institutions. In 2021 we provided $12 million in support of these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7065010" cy="10922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065010" cy="1092200"/>
                    </a:xfrm>
                    <a:prstGeom prst="rect">
                      <a:avLst/>
                    </a:prstGeom>
                    <a:noFill/>
                  </pic:spPr>
                </pic:pic>
              </a:graphicData>
            </a:graphic>
          </wp:anchor>
        </w:drawing>
      </w:r>
    </w:p>
    <w:p>
      <w:pPr>
        <w:spacing w:after="0" w:line="370" w:lineRule="exact"/>
        <w:rPr>
          <w:sz w:val="20"/>
          <w:szCs w:val="20"/>
          <w:color w:val="auto"/>
        </w:rPr>
      </w:pPr>
    </w:p>
    <w:tbl>
      <w:tblPr>
        <w:tblLayout w:type="fixed"/>
        <w:tblInd w:w="1080" w:type="dxa"/>
        <w:tblCellMar>
          <w:top w:w="0" w:type="dxa"/>
          <w:left w:w="0" w:type="dxa"/>
          <w:bottom w:w="0" w:type="dxa"/>
          <w:right w:w="0" w:type="dxa"/>
        </w:tblCellMar>
      </w:tblPr>
      <w:tr>
        <w:trPr>
          <w:trHeight w:val="195"/>
        </w:trPr>
        <w:tc>
          <w:tcPr>
            <w:tcW w:w="3300" w:type="dxa"/>
            <w:vAlign w:val="bottom"/>
            <w:gridSpan w:val="2"/>
            <w:shd w:val="clear" w:color="auto" w:fill="003478"/>
          </w:tcPr>
          <w:p>
            <w:pPr>
              <w:spacing w:after="0"/>
              <w:rPr>
                <w:sz w:val="20"/>
                <w:szCs w:val="20"/>
                <w:color w:val="auto"/>
              </w:rPr>
            </w:pPr>
            <w:r>
              <w:rPr>
                <w:rFonts w:ascii="Arial" w:cs="Arial" w:eastAsia="Arial" w:hAnsi="Arial"/>
                <w:sz w:val="17"/>
                <w:szCs w:val="17"/>
                <w:color w:val="FFFFFF"/>
                <w:w w:val="98"/>
                <w:shd w:val="clear" w:color="auto" w:fill="003478"/>
              </w:rPr>
              <w:t>ADVANCING RESOURCE STEWARDSHIP</w:t>
            </w:r>
          </w:p>
        </w:tc>
        <w:tc>
          <w:tcPr>
            <w:tcW w:w="2380" w:type="dxa"/>
            <w:vAlign w:val="bottom"/>
          </w:tcPr>
          <w:p>
            <w:pPr>
              <w:spacing w:after="0"/>
              <w:rPr>
                <w:sz w:val="16"/>
                <w:szCs w:val="16"/>
                <w:color w:val="auto"/>
              </w:rPr>
            </w:pPr>
          </w:p>
        </w:tc>
        <w:tc>
          <w:tcPr>
            <w:tcW w:w="3060" w:type="dxa"/>
            <w:vAlign w:val="bottom"/>
            <w:gridSpan w:val="2"/>
            <w:shd w:val="clear" w:color="auto" w:fill="517397"/>
          </w:tcPr>
          <w:p>
            <w:pPr>
              <w:spacing w:after="0"/>
              <w:rPr>
                <w:sz w:val="20"/>
                <w:szCs w:val="20"/>
                <w:color w:val="auto"/>
              </w:rPr>
            </w:pPr>
            <w:r>
              <w:rPr>
                <w:rFonts w:ascii="Arial" w:cs="Arial" w:eastAsia="Arial" w:hAnsi="Arial"/>
                <w:sz w:val="17"/>
                <w:szCs w:val="17"/>
                <w:color w:val="FFFFFF"/>
                <w:w w:val="97"/>
                <w:shd w:val="clear" w:color="auto" w:fill="517397"/>
              </w:rPr>
              <w:t>ELEVATING DIGITAL RESPONSIBILITY</w:t>
            </w:r>
          </w:p>
        </w:tc>
      </w:tr>
      <w:tr>
        <w:trPr>
          <w:trHeight w:val="265"/>
        </w:trPr>
        <w:tc>
          <w:tcPr>
            <w:tcW w:w="120" w:type="dxa"/>
            <w:vAlign w:val="bottom"/>
          </w:tcPr>
          <w:p>
            <w:pPr>
              <w:spacing w:after="0"/>
              <w:rPr>
                <w:sz w:val="20"/>
                <w:szCs w:val="20"/>
                <w:color w:val="auto"/>
              </w:rPr>
            </w:pPr>
            <w:r>
              <w:rPr>
                <w:rFonts w:ascii="Arial" w:cs="Arial" w:eastAsia="Arial" w:hAnsi="Arial"/>
                <w:sz w:val="17"/>
                <w:szCs w:val="17"/>
                <w:color w:val="FFFFFF"/>
              </w:rPr>
              <w:t>•</w:t>
            </w:r>
          </w:p>
        </w:tc>
        <w:tc>
          <w:tcPr>
            <w:tcW w:w="3180" w:type="dxa"/>
            <w:vAlign w:val="bottom"/>
          </w:tcPr>
          <w:p>
            <w:pPr>
              <w:ind w:left="60"/>
              <w:spacing w:after="0"/>
              <w:rPr>
                <w:sz w:val="20"/>
                <w:szCs w:val="20"/>
                <w:color w:val="auto"/>
              </w:rPr>
            </w:pPr>
            <w:r>
              <w:rPr>
                <w:rFonts w:ascii="Arial" w:cs="Arial" w:eastAsia="Arial" w:hAnsi="Arial"/>
                <w:sz w:val="17"/>
                <w:szCs w:val="17"/>
                <w:color w:val="FFFFFF"/>
              </w:rPr>
              <w:t>Counterfeit Parts Prevention</w:t>
            </w:r>
          </w:p>
        </w:tc>
        <w:tc>
          <w:tcPr>
            <w:tcW w:w="2380" w:type="dxa"/>
            <w:vAlign w:val="bottom"/>
          </w:tcPr>
          <w:p>
            <w:pPr>
              <w:spacing w:after="0"/>
              <w:rPr>
                <w:sz w:val="23"/>
                <w:szCs w:val="23"/>
                <w:color w:val="auto"/>
              </w:rPr>
            </w:pPr>
          </w:p>
        </w:tc>
        <w:tc>
          <w:tcPr>
            <w:tcW w:w="3060" w:type="dxa"/>
            <w:vAlign w:val="bottom"/>
            <w:gridSpan w:val="2"/>
          </w:tcPr>
          <w:p>
            <w:pPr>
              <w:spacing w:after="0"/>
              <w:rPr>
                <w:sz w:val="20"/>
                <w:szCs w:val="20"/>
                <w:color w:val="auto"/>
              </w:rPr>
            </w:pPr>
            <w:r>
              <w:rPr>
                <w:rFonts w:ascii="Arial" w:cs="Arial" w:eastAsia="Arial" w:hAnsi="Arial"/>
                <w:sz w:val="17"/>
                <w:szCs w:val="17"/>
                <w:color w:val="FFFFFF"/>
              </w:rPr>
              <w:t>• Data Privacy and Protection</w:t>
            </w:r>
          </w:p>
        </w:tc>
      </w:tr>
      <w:tr>
        <w:trPr>
          <w:trHeight w:val="242"/>
        </w:trPr>
        <w:tc>
          <w:tcPr>
            <w:tcW w:w="120" w:type="dxa"/>
            <w:vAlign w:val="bottom"/>
          </w:tcPr>
          <w:p>
            <w:pPr>
              <w:spacing w:after="0"/>
              <w:rPr>
                <w:sz w:val="20"/>
                <w:szCs w:val="20"/>
                <w:color w:val="auto"/>
              </w:rPr>
            </w:pPr>
            <w:r>
              <w:rPr>
                <w:rFonts w:ascii="Arial" w:cs="Arial" w:eastAsia="Arial" w:hAnsi="Arial"/>
                <w:sz w:val="17"/>
                <w:szCs w:val="17"/>
                <w:color w:val="FFFFFF"/>
              </w:rPr>
              <w:t>•</w:t>
            </w:r>
          </w:p>
        </w:tc>
        <w:tc>
          <w:tcPr>
            <w:tcW w:w="3180" w:type="dxa"/>
            <w:vAlign w:val="bottom"/>
          </w:tcPr>
          <w:p>
            <w:pPr>
              <w:ind w:left="60"/>
              <w:spacing w:after="0"/>
              <w:rPr>
                <w:sz w:val="20"/>
                <w:szCs w:val="20"/>
                <w:color w:val="auto"/>
              </w:rPr>
            </w:pPr>
            <w:r>
              <w:rPr>
                <w:rFonts w:ascii="Arial" w:cs="Arial" w:eastAsia="Arial" w:hAnsi="Arial"/>
                <w:sz w:val="17"/>
                <w:szCs w:val="17"/>
                <w:color w:val="FFFFFF"/>
              </w:rPr>
              <w:t>Energy Management</w:t>
            </w:r>
          </w:p>
        </w:tc>
        <w:tc>
          <w:tcPr>
            <w:tcW w:w="238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7"/>
                <w:szCs w:val="17"/>
                <w:color w:val="FFFFFF"/>
              </w:rPr>
              <w:t>•</w:t>
            </w:r>
          </w:p>
        </w:tc>
        <w:tc>
          <w:tcPr>
            <w:tcW w:w="2940" w:type="dxa"/>
            <w:vAlign w:val="bottom"/>
          </w:tcPr>
          <w:p>
            <w:pPr>
              <w:ind w:left="40"/>
              <w:spacing w:after="0"/>
              <w:rPr>
                <w:sz w:val="20"/>
                <w:szCs w:val="20"/>
                <w:color w:val="auto"/>
              </w:rPr>
            </w:pPr>
            <w:r>
              <w:rPr>
                <w:rFonts w:ascii="Arial" w:cs="Arial" w:eastAsia="Arial" w:hAnsi="Arial"/>
                <w:sz w:val="17"/>
                <w:szCs w:val="17"/>
                <w:color w:val="FFFFFF"/>
              </w:rPr>
              <w:t>Artificial Intelligence</w:t>
            </w:r>
          </w:p>
        </w:tc>
      </w:tr>
      <w:tr>
        <w:trPr>
          <w:trHeight w:val="228"/>
        </w:trPr>
        <w:tc>
          <w:tcPr>
            <w:tcW w:w="120" w:type="dxa"/>
            <w:vAlign w:val="bottom"/>
          </w:tcPr>
          <w:p>
            <w:pPr>
              <w:spacing w:after="0"/>
              <w:rPr>
                <w:sz w:val="20"/>
                <w:szCs w:val="20"/>
                <w:color w:val="auto"/>
              </w:rPr>
            </w:pPr>
            <w:r>
              <w:rPr>
                <w:rFonts w:ascii="Arial" w:cs="Arial" w:eastAsia="Arial" w:hAnsi="Arial"/>
                <w:sz w:val="17"/>
                <w:szCs w:val="17"/>
                <w:color w:val="FFFFFF"/>
              </w:rPr>
              <w:t>•</w:t>
            </w:r>
          </w:p>
        </w:tc>
        <w:tc>
          <w:tcPr>
            <w:tcW w:w="3180" w:type="dxa"/>
            <w:vAlign w:val="bottom"/>
          </w:tcPr>
          <w:p>
            <w:pPr>
              <w:ind w:left="60"/>
              <w:spacing w:after="0"/>
              <w:rPr>
                <w:sz w:val="20"/>
                <w:szCs w:val="20"/>
                <w:color w:val="auto"/>
              </w:rPr>
            </w:pPr>
            <w:r>
              <w:rPr>
                <w:rFonts w:ascii="Arial" w:cs="Arial" w:eastAsia="Arial" w:hAnsi="Arial"/>
                <w:sz w:val="17"/>
                <w:szCs w:val="17"/>
                <w:color w:val="FFFFFF"/>
              </w:rPr>
              <w:t>Total Cost of Ownership</w:t>
            </w:r>
          </w:p>
        </w:tc>
        <w:tc>
          <w:tcPr>
            <w:tcW w:w="23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FFFFFF"/>
              </w:rPr>
              <w:t>•</w:t>
            </w:r>
          </w:p>
        </w:tc>
        <w:tc>
          <w:tcPr>
            <w:tcW w:w="2940" w:type="dxa"/>
            <w:vAlign w:val="bottom"/>
          </w:tcPr>
          <w:p>
            <w:pPr>
              <w:ind w:left="40"/>
              <w:spacing w:after="0"/>
              <w:rPr>
                <w:sz w:val="20"/>
                <w:szCs w:val="20"/>
                <w:color w:val="auto"/>
              </w:rPr>
            </w:pPr>
            <w:r>
              <w:rPr>
                <w:rFonts w:ascii="Arial" w:cs="Arial" w:eastAsia="Arial" w:hAnsi="Arial"/>
                <w:sz w:val="17"/>
                <w:szCs w:val="17"/>
                <w:color w:val="FFFFFF"/>
              </w:rPr>
              <w:t>Intellectual Property Rights</w:t>
            </w:r>
          </w:p>
        </w:tc>
      </w:tr>
    </w:tbl>
    <w:p>
      <w:pPr>
        <w:spacing w:after="0" w:line="24" w:lineRule="exact"/>
        <w:rPr>
          <w:sz w:val="20"/>
          <w:szCs w:val="20"/>
          <w:color w:val="auto"/>
        </w:rPr>
      </w:pPr>
    </w:p>
    <w:p>
      <w:pPr>
        <w:ind w:left="1260" w:hanging="173"/>
        <w:spacing w:after="0"/>
        <w:tabs>
          <w:tab w:leader="none" w:pos="1260" w:val="left"/>
        </w:tabs>
        <w:numPr>
          <w:ilvl w:val="0"/>
          <w:numId w:val="60"/>
        </w:numPr>
        <w:rPr>
          <w:rFonts w:ascii="Arial" w:cs="Arial" w:eastAsia="Arial" w:hAnsi="Arial"/>
          <w:sz w:val="17"/>
          <w:szCs w:val="17"/>
          <w:color w:val="FFFFFF"/>
        </w:rPr>
      </w:pPr>
      <w:r>
        <w:rPr>
          <w:rFonts w:ascii="Arial" w:cs="Arial" w:eastAsia="Arial" w:hAnsi="Arial"/>
          <w:sz w:val="17"/>
          <w:szCs w:val="17"/>
          <w:color w:val="FFFFFF"/>
        </w:rPr>
        <w:t>Hazardous Chemicals and Materials</w:t>
      </w:r>
    </w:p>
    <w:p>
      <w:pPr>
        <w:spacing w:after="0" w:line="46" w:lineRule="exact"/>
        <w:rPr>
          <w:rFonts w:ascii="Arial" w:cs="Arial" w:eastAsia="Arial" w:hAnsi="Arial"/>
          <w:sz w:val="17"/>
          <w:szCs w:val="17"/>
          <w:color w:val="FFFFFF"/>
        </w:rPr>
      </w:pPr>
    </w:p>
    <w:p>
      <w:pPr>
        <w:ind w:left="1260" w:hanging="173"/>
        <w:spacing w:after="0"/>
        <w:tabs>
          <w:tab w:leader="none" w:pos="1260" w:val="left"/>
        </w:tabs>
        <w:numPr>
          <w:ilvl w:val="0"/>
          <w:numId w:val="60"/>
        </w:numPr>
        <w:rPr>
          <w:rFonts w:ascii="Arial" w:cs="Arial" w:eastAsia="Arial" w:hAnsi="Arial"/>
          <w:sz w:val="17"/>
          <w:szCs w:val="17"/>
          <w:color w:val="FFFFFF"/>
        </w:rPr>
      </w:pPr>
      <w:r>
        <w:rPr>
          <w:rFonts w:ascii="Arial" w:cs="Arial" w:eastAsia="Arial" w:hAnsi="Arial"/>
          <w:sz w:val="17"/>
          <w:szCs w:val="17"/>
          <w:color w:val="FFFFFF"/>
        </w:rPr>
        <w:t>Resource and Substance Supply Vulnerability</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417"/>
        </w:trPr>
        <w:tc>
          <w:tcPr>
            <w:tcW w:w="5460" w:type="dxa"/>
            <w:vAlign w:val="bottom"/>
            <w:gridSpan w:val="2"/>
            <w:shd w:val="clear" w:color="auto" w:fill="9AA5C3"/>
          </w:tcPr>
          <w:p>
            <w:pPr>
              <w:ind w:left="1080"/>
              <w:spacing w:after="0"/>
              <w:rPr>
                <w:sz w:val="20"/>
                <w:szCs w:val="20"/>
                <w:color w:val="auto"/>
              </w:rPr>
            </w:pPr>
            <w:r>
              <w:rPr>
                <w:rFonts w:ascii="Arial" w:cs="Arial" w:eastAsia="Arial" w:hAnsi="Arial"/>
                <w:sz w:val="17"/>
                <w:szCs w:val="17"/>
                <w:color w:val="FFFFFF"/>
                <w:shd w:val="clear" w:color="auto" w:fill="9AA5C3"/>
              </w:rPr>
              <w:t>FOSTERING WORKPLACE RESILIENCY</w:t>
            </w:r>
          </w:p>
        </w:tc>
        <w:tc>
          <w:tcPr>
            <w:tcW w:w="200" w:type="dxa"/>
            <w:vAlign w:val="bottom"/>
          </w:tcPr>
          <w:p>
            <w:pPr>
              <w:spacing w:after="0"/>
              <w:rPr>
                <w:sz w:val="24"/>
                <w:szCs w:val="24"/>
                <w:color w:val="auto"/>
              </w:rPr>
            </w:pPr>
          </w:p>
        </w:tc>
        <w:tc>
          <w:tcPr>
            <w:tcW w:w="5480" w:type="dxa"/>
            <w:vAlign w:val="bottom"/>
            <w:gridSpan w:val="2"/>
            <w:shd w:val="clear" w:color="auto" w:fill="CACFE0"/>
          </w:tcPr>
          <w:p>
            <w:pPr>
              <w:ind w:left="1100"/>
              <w:spacing w:after="0"/>
              <w:rPr>
                <w:sz w:val="20"/>
                <w:szCs w:val="20"/>
                <w:color w:val="auto"/>
              </w:rPr>
            </w:pPr>
            <w:r>
              <w:rPr>
                <w:rFonts w:ascii="Arial" w:cs="Arial" w:eastAsia="Arial" w:hAnsi="Arial"/>
                <w:sz w:val="17"/>
                <w:szCs w:val="17"/>
                <w:color w:val="003478"/>
                <w:highlight w:val="lightGray"/>
              </w:rPr>
              <w:t>MODELING BUSINESS INTEGRITY</w:t>
            </w:r>
          </w:p>
        </w:tc>
      </w:tr>
      <w:tr>
        <w:trPr>
          <w:trHeight w:val="265"/>
        </w:trPr>
        <w:tc>
          <w:tcPr>
            <w:tcW w:w="1200" w:type="dxa"/>
            <w:vAlign w:val="bottom"/>
            <w:shd w:val="clear" w:color="auto" w:fill="9AA5C3"/>
          </w:tcPr>
          <w:p>
            <w:pPr>
              <w:ind w:left="1080"/>
              <w:spacing w:after="0"/>
              <w:rPr>
                <w:sz w:val="20"/>
                <w:szCs w:val="20"/>
                <w:color w:val="auto"/>
              </w:rPr>
            </w:pPr>
            <w:r>
              <w:rPr>
                <w:rFonts w:ascii="Arial" w:cs="Arial" w:eastAsia="Arial" w:hAnsi="Arial"/>
                <w:sz w:val="17"/>
                <w:szCs w:val="17"/>
                <w:color w:val="FFFFFF"/>
              </w:rPr>
              <w:t>•</w:t>
            </w:r>
          </w:p>
        </w:tc>
        <w:tc>
          <w:tcPr>
            <w:tcW w:w="4260" w:type="dxa"/>
            <w:vAlign w:val="bottom"/>
            <w:shd w:val="clear" w:color="auto" w:fill="9AA5C3"/>
          </w:tcPr>
          <w:p>
            <w:pPr>
              <w:ind w:left="60"/>
              <w:spacing w:after="0"/>
              <w:rPr>
                <w:sz w:val="20"/>
                <w:szCs w:val="20"/>
                <w:color w:val="auto"/>
              </w:rPr>
            </w:pPr>
            <w:r>
              <w:rPr>
                <w:rFonts w:ascii="Arial" w:cs="Arial" w:eastAsia="Arial" w:hAnsi="Arial"/>
                <w:sz w:val="17"/>
                <w:szCs w:val="17"/>
                <w:color w:val="FFFFFF"/>
              </w:rPr>
              <w:t>Workplace Safety</w:t>
            </w:r>
          </w:p>
        </w:tc>
        <w:tc>
          <w:tcPr>
            <w:tcW w:w="200" w:type="dxa"/>
            <w:vAlign w:val="bottom"/>
          </w:tcPr>
          <w:p>
            <w:pPr>
              <w:spacing w:after="0"/>
              <w:rPr>
                <w:sz w:val="23"/>
                <w:szCs w:val="23"/>
                <w:color w:val="auto"/>
              </w:rPr>
            </w:pPr>
          </w:p>
        </w:tc>
        <w:tc>
          <w:tcPr>
            <w:tcW w:w="1220" w:type="dxa"/>
            <w:vAlign w:val="bottom"/>
            <w:shd w:val="clear" w:color="auto" w:fill="CACFE0"/>
          </w:tcPr>
          <w:p>
            <w:pPr>
              <w:ind w:left="1100"/>
              <w:spacing w:after="0"/>
              <w:rPr>
                <w:sz w:val="20"/>
                <w:szCs w:val="20"/>
                <w:color w:val="auto"/>
              </w:rPr>
            </w:pPr>
            <w:r>
              <w:rPr>
                <w:rFonts w:ascii="Arial" w:cs="Arial" w:eastAsia="Arial" w:hAnsi="Arial"/>
                <w:sz w:val="17"/>
                <w:szCs w:val="17"/>
                <w:color w:val="003478"/>
              </w:rPr>
              <w:t>•</w:t>
            </w:r>
          </w:p>
        </w:tc>
        <w:tc>
          <w:tcPr>
            <w:tcW w:w="4260" w:type="dxa"/>
            <w:vAlign w:val="bottom"/>
            <w:shd w:val="clear" w:color="auto" w:fill="CACFE0"/>
          </w:tcPr>
          <w:p>
            <w:pPr>
              <w:ind w:left="40"/>
              <w:spacing w:after="0"/>
              <w:rPr>
                <w:sz w:val="20"/>
                <w:szCs w:val="20"/>
                <w:color w:val="auto"/>
              </w:rPr>
            </w:pPr>
            <w:r>
              <w:rPr>
                <w:rFonts w:ascii="Arial" w:cs="Arial" w:eastAsia="Arial" w:hAnsi="Arial"/>
                <w:sz w:val="17"/>
                <w:szCs w:val="17"/>
                <w:color w:val="003478"/>
              </w:rPr>
              <w:t>Anti-Bribery and Corruption</w:t>
            </w:r>
          </w:p>
        </w:tc>
      </w:tr>
      <w:tr>
        <w:trPr>
          <w:trHeight w:val="242"/>
        </w:trPr>
        <w:tc>
          <w:tcPr>
            <w:tcW w:w="1200" w:type="dxa"/>
            <w:vAlign w:val="bottom"/>
            <w:shd w:val="clear" w:color="auto" w:fill="9AA5C3"/>
          </w:tcPr>
          <w:p>
            <w:pPr>
              <w:ind w:left="1080"/>
              <w:spacing w:after="0"/>
              <w:rPr>
                <w:sz w:val="20"/>
                <w:szCs w:val="20"/>
                <w:color w:val="auto"/>
              </w:rPr>
            </w:pPr>
            <w:r>
              <w:rPr>
                <w:rFonts w:ascii="Arial" w:cs="Arial" w:eastAsia="Arial" w:hAnsi="Arial"/>
                <w:sz w:val="17"/>
                <w:szCs w:val="17"/>
                <w:color w:val="FFFFFF"/>
              </w:rPr>
              <w:t>•</w:t>
            </w:r>
          </w:p>
        </w:tc>
        <w:tc>
          <w:tcPr>
            <w:tcW w:w="4260" w:type="dxa"/>
            <w:vAlign w:val="bottom"/>
            <w:shd w:val="clear" w:color="auto" w:fill="9AA5C3"/>
          </w:tcPr>
          <w:p>
            <w:pPr>
              <w:ind w:left="60"/>
              <w:spacing w:after="0"/>
              <w:rPr>
                <w:sz w:val="20"/>
                <w:szCs w:val="20"/>
                <w:color w:val="auto"/>
              </w:rPr>
            </w:pPr>
            <w:r>
              <w:rPr>
                <w:rFonts w:ascii="Arial" w:cs="Arial" w:eastAsia="Arial" w:hAnsi="Arial"/>
                <w:sz w:val="17"/>
                <w:szCs w:val="17"/>
                <w:color w:val="FFFFFF"/>
              </w:rPr>
              <w:t>Inclusion and Equity</w:t>
            </w:r>
          </w:p>
        </w:tc>
        <w:tc>
          <w:tcPr>
            <w:tcW w:w="200" w:type="dxa"/>
            <w:vAlign w:val="bottom"/>
          </w:tcPr>
          <w:p>
            <w:pPr>
              <w:spacing w:after="0"/>
              <w:rPr>
                <w:sz w:val="21"/>
                <w:szCs w:val="21"/>
                <w:color w:val="auto"/>
              </w:rPr>
            </w:pPr>
          </w:p>
        </w:tc>
        <w:tc>
          <w:tcPr>
            <w:tcW w:w="1220" w:type="dxa"/>
            <w:vAlign w:val="bottom"/>
            <w:shd w:val="clear" w:color="auto" w:fill="CACFE0"/>
          </w:tcPr>
          <w:p>
            <w:pPr>
              <w:ind w:left="1100"/>
              <w:spacing w:after="0"/>
              <w:rPr>
                <w:sz w:val="20"/>
                <w:szCs w:val="20"/>
                <w:color w:val="auto"/>
              </w:rPr>
            </w:pPr>
            <w:r>
              <w:rPr>
                <w:rFonts w:ascii="Arial" w:cs="Arial" w:eastAsia="Arial" w:hAnsi="Arial"/>
                <w:sz w:val="17"/>
                <w:szCs w:val="17"/>
                <w:color w:val="003478"/>
              </w:rPr>
              <w:t>•</w:t>
            </w:r>
          </w:p>
        </w:tc>
        <w:tc>
          <w:tcPr>
            <w:tcW w:w="4260" w:type="dxa"/>
            <w:vAlign w:val="bottom"/>
            <w:shd w:val="clear" w:color="auto" w:fill="CACFE0"/>
          </w:tcPr>
          <w:p>
            <w:pPr>
              <w:ind w:left="40"/>
              <w:spacing w:after="0"/>
              <w:rPr>
                <w:sz w:val="20"/>
                <w:szCs w:val="20"/>
                <w:color w:val="auto"/>
              </w:rPr>
            </w:pPr>
            <w:r>
              <w:rPr>
                <w:rFonts w:ascii="Arial" w:cs="Arial" w:eastAsia="Arial" w:hAnsi="Arial"/>
                <w:sz w:val="17"/>
                <w:szCs w:val="17"/>
                <w:color w:val="003478"/>
              </w:rPr>
              <w:t>Ethical Business Practices</w:t>
            </w:r>
          </w:p>
        </w:tc>
      </w:tr>
      <w:tr>
        <w:trPr>
          <w:trHeight w:val="228"/>
        </w:trPr>
        <w:tc>
          <w:tcPr>
            <w:tcW w:w="1200" w:type="dxa"/>
            <w:vAlign w:val="bottom"/>
            <w:shd w:val="clear" w:color="auto" w:fill="9AA5C3"/>
          </w:tcPr>
          <w:p>
            <w:pPr>
              <w:ind w:left="1080"/>
              <w:spacing w:after="0"/>
              <w:rPr>
                <w:sz w:val="20"/>
                <w:szCs w:val="20"/>
                <w:color w:val="auto"/>
              </w:rPr>
            </w:pPr>
            <w:r>
              <w:rPr>
                <w:rFonts w:ascii="Arial" w:cs="Arial" w:eastAsia="Arial" w:hAnsi="Arial"/>
                <w:sz w:val="17"/>
                <w:szCs w:val="17"/>
                <w:color w:val="FFFFFF"/>
              </w:rPr>
              <w:t>•</w:t>
            </w:r>
          </w:p>
        </w:tc>
        <w:tc>
          <w:tcPr>
            <w:tcW w:w="4260" w:type="dxa"/>
            <w:vAlign w:val="bottom"/>
            <w:shd w:val="clear" w:color="auto" w:fill="9AA5C3"/>
          </w:tcPr>
          <w:p>
            <w:pPr>
              <w:ind w:left="60"/>
              <w:spacing w:after="0"/>
              <w:rPr>
                <w:sz w:val="20"/>
                <w:szCs w:val="20"/>
                <w:color w:val="auto"/>
              </w:rPr>
            </w:pPr>
            <w:r>
              <w:rPr>
                <w:rFonts w:ascii="Arial" w:cs="Arial" w:eastAsia="Arial" w:hAnsi="Arial"/>
                <w:sz w:val="17"/>
                <w:szCs w:val="17"/>
                <w:color w:val="FFFFFF"/>
              </w:rPr>
              <w:t>Harassment Free Workplace</w:t>
            </w:r>
          </w:p>
        </w:tc>
        <w:tc>
          <w:tcPr>
            <w:tcW w:w="200" w:type="dxa"/>
            <w:vAlign w:val="bottom"/>
          </w:tcPr>
          <w:p>
            <w:pPr>
              <w:spacing w:after="0"/>
              <w:rPr>
                <w:sz w:val="19"/>
                <w:szCs w:val="19"/>
                <w:color w:val="auto"/>
              </w:rPr>
            </w:pPr>
          </w:p>
        </w:tc>
        <w:tc>
          <w:tcPr>
            <w:tcW w:w="1220" w:type="dxa"/>
            <w:vAlign w:val="bottom"/>
            <w:shd w:val="clear" w:color="auto" w:fill="CACFE0"/>
          </w:tcPr>
          <w:p>
            <w:pPr>
              <w:spacing w:after="0"/>
              <w:rPr>
                <w:sz w:val="19"/>
                <w:szCs w:val="19"/>
                <w:color w:val="auto"/>
              </w:rPr>
            </w:pPr>
          </w:p>
        </w:tc>
        <w:tc>
          <w:tcPr>
            <w:tcW w:w="4260" w:type="dxa"/>
            <w:vAlign w:val="bottom"/>
            <w:shd w:val="clear" w:color="auto" w:fill="CACFE0"/>
          </w:tcPr>
          <w:p>
            <w:pPr>
              <w:spacing w:after="0"/>
              <w:rPr>
                <w:sz w:val="19"/>
                <w:szCs w:val="19"/>
                <w:color w:val="auto"/>
              </w:rPr>
            </w:pPr>
          </w:p>
        </w:tc>
      </w:tr>
      <w:tr>
        <w:trPr>
          <w:trHeight w:val="98"/>
        </w:trPr>
        <w:tc>
          <w:tcPr>
            <w:tcW w:w="1200" w:type="dxa"/>
            <w:vAlign w:val="bottom"/>
            <w:shd w:val="clear" w:color="auto" w:fill="9AA5C3"/>
          </w:tcPr>
          <w:p>
            <w:pPr>
              <w:spacing w:after="0"/>
              <w:rPr>
                <w:sz w:val="8"/>
                <w:szCs w:val="8"/>
                <w:color w:val="auto"/>
              </w:rPr>
            </w:pPr>
          </w:p>
        </w:tc>
        <w:tc>
          <w:tcPr>
            <w:tcW w:w="4260" w:type="dxa"/>
            <w:vAlign w:val="bottom"/>
            <w:shd w:val="clear" w:color="auto" w:fill="9AA5C3"/>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shd w:val="clear" w:color="auto" w:fill="CACFE0"/>
          </w:tcPr>
          <w:p>
            <w:pPr>
              <w:spacing w:after="0"/>
              <w:rPr>
                <w:sz w:val="8"/>
                <w:szCs w:val="8"/>
                <w:color w:val="auto"/>
              </w:rPr>
            </w:pPr>
          </w:p>
        </w:tc>
        <w:tc>
          <w:tcPr>
            <w:tcW w:w="4260" w:type="dxa"/>
            <w:vAlign w:val="bottom"/>
            <w:shd w:val="clear" w:color="auto" w:fill="CACFE0"/>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-570865</wp:posOffset>
            </wp:positionV>
            <wp:extent cx="367030" cy="3581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67030" cy="358140"/>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-579755</wp:posOffset>
            </wp:positionV>
            <wp:extent cx="307340" cy="3752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07340" cy="375285"/>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332740</wp:posOffset>
            </wp:positionV>
            <wp:extent cx="963930" cy="2216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31</w:t>
      </w:r>
    </w:p>
    <w:p>
      <w:pPr>
        <w:sectPr>
          <w:pgSz w:w="11900" w:h="16838" w:orient="portrait"/>
          <w:cols w:equalWidth="0" w:num="1">
            <w:col w:w="11180"/>
          </w:cols>
          <w:pgMar w:left="320" w:top="254" w:right="39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Enterprise Risk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379095</wp:posOffset>
            </wp:positionV>
            <wp:extent cx="7132955" cy="679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955" cy="6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29"/>
          <w:szCs w:val="29"/>
          <w:color w:val="003478"/>
        </w:rPr>
        <w:t>Climate &amp; Environmental Stewardship</w:t>
      </w:r>
    </w:p>
    <w:p>
      <w:pPr>
        <w:spacing w:after="0" w:line="188" w:lineRule="exact"/>
        <w:rPr>
          <w:sz w:val="20"/>
          <w:szCs w:val="20"/>
          <w:color w:val="auto"/>
        </w:rPr>
      </w:pPr>
    </w:p>
    <w:p>
      <w:pPr>
        <w:ind w:right="60"/>
        <w:spacing w:after="0" w:line="250" w:lineRule="auto"/>
        <w:rPr>
          <w:sz w:val="20"/>
          <w:szCs w:val="20"/>
          <w:color w:val="auto"/>
        </w:rPr>
      </w:pPr>
      <w:r>
        <w:rPr>
          <w:rFonts w:ascii="Arial" w:cs="Arial" w:eastAsia="Arial" w:hAnsi="Arial"/>
          <w:sz w:val="17"/>
          <w:szCs w:val="17"/>
          <w:color w:val="auto"/>
        </w:rPr>
        <w:t>At Lockheed Martin, climate risks and opportunities impact our long-term resiliency as a leader in global security and aerospace. It is our responsibility to understand, and actively address climate risks while leveraging opportunities to foster a strong business model for the future. In 2021, we operationalized two new solar projects with a third scheduled to come online this year which demonstrates our commitment to adapting our business to reduce climate risks.</w:t>
      </w:r>
    </w:p>
    <w:p>
      <w:pPr>
        <w:spacing w:after="0" w:line="67" w:lineRule="exact"/>
        <w:rPr>
          <w:sz w:val="20"/>
          <w:szCs w:val="20"/>
          <w:color w:val="auto"/>
        </w:rPr>
      </w:pPr>
    </w:p>
    <w:p>
      <w:pPr>
        <w:spacing w:after="0"/>
        <w:rPr>
          <w:sz w:val="20"/>
          <w:szCs w:val="20"/>
          <w:color w:val="auto"/>
        </w:rPr>
      </w:pPr>
      <w:r>
        <w:rPr>
          <w:rFonts w:ascii="Arial" w:cs="Arial" w:eastAsia="Arial" w:hAnsi="Arial"/>
          <w:sz w:val="25"/>
          <w:szCs w:val="25"/>
          <w:color w:val="818EB4"/>
        </w:rPr>
        <w:t>Go Green Goals</w:t>
      </w:r>
    </w:p>
    <w:p>
      <w:pPr>
        <w:spacing w:after="0" w:line="81"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color w:val="auto"/>
        </w:rPr>
        <w:t>Our approach to championing environmental stewardship through resource efficiency is called “Go Green” and it extends to our facilities across the world. Go Green drives operational improvements by reducing carbon emissions through energy efficiency and use of renewable energy, reducing facility water use, and reducing waste generation. Since the inception of Go Green in 2007, Lockheed Martin has reduced carbon emissions by 53%, energy consumption by 19%, and waste-to-landfill by 49%. Due to the COVID-19 pandemic, thousands of employees converted to full time telework in 2020 and 2021. As a result, we re-evaluated and revised our metrics in 2021 to account for these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55880</wp:posOffset>
            </wp:positionV>
            <wp:extent cx="273050" cy="10325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73050" cy="1032510"/>
                    </a:xfrm>
                    <a:prstGeom prst="rect">
                      <a:avLst/>
                    </a:prstGeom>
                    <a:noFill/>
                  </pic:spPr>
                </pic:pic>
              </a:graphicData>
            </a:graphic>
          </wp:anchor>
        </w:drawing>
        <w:drawing>
          <wp:anchor simplePos="0" relativeHeight="251657728" behindDoc="1" locked="0" layoutInCell="0" allowOverlap="1">
            <wp:simplePos x="0" y="0"/>
            <wp:positionH relativeFrom="column">
              <wp:posOffset>2931160</wp:posOffset>
            </wp:positionH>
            <wp:positionV relativeFrom="paragraph">
              <wp:posOffset>55880</wp:posOffset>
            </wp:positionV>
            <wp:extent cx="281305" cy="10325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81305" cy="1032510"/>
                    </a:xfrm>
                    <a:prstGeom prst="rect">
                      <a:avLst/>
                    </a:prstGeom>
                    <a:noFill/>
                  </pic:spPr>
                </pic:pic>
              </a:graphicData>
            </a:graphic>
          </wp:anchor>
        </w:drawing>
        <w:drawing>
          <wp:anchor simplePos="0" relativeHeight="251657728" behindDoc="1" locked="0" layoutInCell="0" allowOverlap="1">
            <wp:simplePos x="0" y="0"/>
            <wp:positionH relativeFrom="column">
              <wp:posOffset>5158105</wp:posOffset>
            </wp:positionH>
            <wp:positionV relativeFrom="paragraph">
              <wp:posOffset>55880</wp:posOffset>
            </wp:positionV>
            <wp:extent cx="1945640" cy="10325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945640" cy="1032510"/>
                    </a:xfrm>
                    <a:prstGeom prst="rect">
                      <a:avLst/>
                    </a:prstGeom>
                    <a:noFill/>
                  </pic:spPr>
                </pic:pic>
              </a:graphicData>
            </a:graphic>
          </wp:anchor>
        </w:drawing>
      </w:r>
    </w:p>
    <w:p>
      <w:pPr>
        <w:spacing w:after="0" w:line="68" w:lineRule="exact"/>
        <w:rPr>
          <w:sz w:val="20"/>
          <w:szCs w:val="20"/>
          <w:color w:val="auto"/>
        </w:rPr>
      </w:pPr>
    </w:p>
    <w:tbl>
      <w:tblPr>
        <w:tblLayout w:type="fixed"/>
        <w:tblInd w:w="440" w:type="dxa"/>
        <w:tblCellMar>
          <w:top w:w="0" w:type="dxa"/>
          <w:left w:w="0" w:type="dxa"/>
          <w:bottom w:w="0" w:type="dxa"/>
          <w:right w:w="0" w:type="dxa"/>
        </w:tblCellMar>
      </w:tblPr>
      <w:tr>
        <w:trPr>
          <w:trHeight w:val="94"/>
        </w:trPr>
        <w:tc>
          <w:tcPr>
            <w:tcW w:w="3980" w:type="dxa"/>
            <w:vAlign w:val="bottom"/>
            <w:vMerge w:val="restart"/>
            <w:shd w:val="clear" w:color="auto" w:fill="E4E6EF"/>
          </w:tcPr>
          <w:p>
            <w:pPr>
              <w:ind w:left="140"/>
              <w:spacing w:after="0"/>
              <w:rPr>
                <w:sz w:val="20"/>
                <w:szCs w:val="20"/>
                <w:color w:val="auto"/>
              </w:rPr>
            </w:pPr>
            <w:r>
              <w:rPr>
                <w:rFonts w:ascii="Arial" w:cs="Arial" w:eastAsia="Arial" w:hAnsi="Arial"/>
                <w:sz w:val="17"/>
                <w:szCs w:val="17"/>
                <w:b w:val="1"/>
                <w:bCs w:val="1"/>
                <w:color w:val="auto"/>
              </w:rPr>
              <w:t>REDUCE CARBON EMISSIONS</w:t>
            </w:r>
          </w:p>
        </w:tc>
        <w:tc>
          <w:tcPr>
            <w:tcW w:w="640" w:type="dxa"/>
            <w:vAlign w:val="bottom"/>
          </w:tcPr>
          <w:p>
            <w:pPr>
              <w:spacing w:after="0"/>
              <w:rPr>
                <w:sz w:val="8"/>
                <w:szCs w:val="8"/>
                <w:color w:val="auto"/>
              </w:rPr>
            </w:pPr>
          </w:p>
        </w:tc>
        <w:tc>
          <w:tcPr>
            <w:tcW w:w="1540" w:type="dxa"/>
            <w:vAlign w:val="bottom"/>
            <w:shd w:val="clear" w:color="auto" w:fill="E4E6EF"/>
          </w:tcPr>
          <w:p>
            <w:pPr>
              <w:spacing w:after="0"/>
              <w:rPr>
                <w:sz w:val="8"/>
                <w:szCs w:val="8"/>
                <w:color w:val="auto"/>
              </w:rPr>
            </w:pPr>
          </w:p>
        </w:tc>
        <w:tc>
          <w:tcPr>
            <w:tcW w:w="1520" w:type="dxa"/>
            <w:vAlign w:val="bottom"/>
            <w:shd w:val="clear" w:color="auto" w:fill="E4E6EF"/>
          </w:tcPr>
          <w:p>
            <w:pPr>
              <w:spacing w:after="0"/>
              <w:rPr>
                <w:sz w:val="8"/>
                <w:szCs w:val="8"/>
                <w:color w:val="auto"/>
              </w:rPr>
            </w:pPr>
          </w:p>
        </w:tc>
        <w:tc>
          <w:tcPr>
            <w:tcW w:w="3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3980" w:type="dxa"/>
            <w:vAlign w:val="bottom"/>
            <w:vMerge w:val="continue"/>
            <w:shd w:val="clear" w:color="auto" w:fill="E4E6EF"/>
          </w:tcPr>
          <w:p>
            <w:pPr>
              <w:spacing w:after="0"/>
              <w:rPr>
                <w:sz w:val="24"/>
                <w:szCs w:val="24"/>
                <w:color w:val="auto"/>
              </w:rPr>
            </w:pPr>
          </w:p>
        </w:tc>
        <w:tc>
          <w:tcPr>
            <w:tcW w:w="640" w:type="dxa"/>
            <w:vAlign w:val="bottom"/>
          </w:tcPr>
          <w:p>
            <w:pPr>
              <w:spacing w:after="0"/>
              <w:rPr>
                <w:sz w:val="24"/>
                <w:szCs w:val="24"/>
                <w:color w:val="auto"/>
              </w:rPr>
            </w:pPr>
          </w:p>
        </w:tc>
        <w:tc>
          <w:tcPr>
            <w:tcW w:w="3060" w:type="dxa"/>
            <w:vAlign w:val="bottom"/>
            <w:gridSpan w:val="2"/>
            <w:shd w:val="clear" w:color="auto" w:fill="E4E6EF"/>
          </w:tcPr>
          <w:p>
            <w:pPr>
              <w:ind w:left="140"/>
              <w:spacing w:after="0"/>
              <w:rPr>
                <w:sz w:val="20"/>
                <w:szCs w:val="20"/>
                <w:color w:val="auto"/>
              </w:rPr>
            </w:pPr>
            <w:r>
              <w:rPr>
                <w:rFonts w:ascii="Arial" w:cs="Arial" w:eastAsia="Arial" w:hAnsi="Arial"/>
                <w:sz w:val="17"/>
                <w:szCs w:val="17"/>
                <w:b w:val="1"/>
                <w:bCs w:val="1"/>
                <w:color w:val="auto"/>
              </w:rPr>
              <w:t>REDUCE ENERGY</w:t>
            </w:r>
          </w:p>
        </w:tc>
        <w:tc>
          <w:tcPr>
            <w:tcW w:w="3060" w:type="dxa"/>
            <w:vAlign w:val="bottom"/>
            <w:shd w:val="clear" w:color="auto" w:fill="E4E6EF"/>
          </w:tcPr>
          <w:p>
            <w:pPr>
              <w:ind w:left="160"/>
              <w:spacing w:after="0"/>
              <w:rPr>
                <w:sz w:val="20"/>
                <w:szCs w:val="20"/>
                <w:color w:val="auto"/>
              </w:rPr>
            </w:pPr>
            <w:r>
              <w:rPr>
                <w:rFonts w:ascii="Arial" w:cs="Arial" w:eastAsia="Arial" w:hAnsi="Arial"/>
                <w:sz w:val="17"/>
                <w:szCs w:val="17"/>
                <w:b w:val="1"/>
                <w:bCs w:val="1"/>
                <w:color w:val="auto"/>
              </w:rPr>
              <w:t>REDUCE WASTE</w:t>
            </w:r>
          </w:p>
        </w:tc>
        <w:tc>
          <w:tcPr>
            <w:tcW w:w="0" w:type="dxa"/>
            <w:vAlign w:val="bottom"/>
          </w:tcPr>
          <w:p>
            <w:pPr>
              <w:spacing w:after="0"/>
              <w:rPr>
                <w:sz w:val="1"/>
                <w:szCs w:val="1"/>
                <w:color w:val="auto"/>
              </w:rPr>
            </w:pPr>
          </w:p>
        </w:tc>
      </w:tr>
      <w:tr>
        <w:trPr>
          <w:trHeight w:val="215"/>
        </w:trPr>
        <w:tc>
          <w:tcPr>
            <w:tcW w:w="3980" w:type="dxa"/>
            <w:vAlign w:val="bottom"/>
            <w:shd w:val="clear" w:color="auto" w:fill="E4E6EF"/>
          </w:tcPr>
          <w:p>
            <w:pPr>
              <w:ind w:left="140"/>
              <w:spacing w:after="0"/>
              <w:rPr>
                <w:sz w:val="20"/>
                <w:szCs w:val="20"/>
                <w:color w:val="auto"/>
              </w:rPr>
            </w:pPr>
            <w:r>
              <w:rPr>
                <w:rFonts w:ascii="Arial" w:cs="Arial" w:eastAsia="Arial" w:hAnsi="Arial"/>
                <w:sz w:val="17"/>
                <w:szCs w:val="17"/>
                <w:b w:val="1"/>
                <w:bCs w:val="1"/>
                <w:color w:val="auto"/>
              </w:rPr>
              <w:t>PER $ GROSS PROFIT BY</w:t>
            </w:r>
          </w:p>
        </w:tc>
        <w:tc>
          <w:tcPr>
            <w:tcW w:w="640" w:type="dxa"/>
            <w:vAlign w:val="bottom"/>
          </w:tcPr>
          <w:p>
            <w:pPr>
              <w:spacing w:after="0"/>
              <w:rPr>
                <w:sz w:val="18"/>
                <w:szCs w:val="18"/>
                <w:color w:val="auto"/>
              </w:rPr>
            </w:pPr>
          </w:p>
        </w:tc>
        <w:tc>
          <w:tcPr>
            <w:tcW w:w="3060" w:type="dxa"/>
            <w:vAlign w:val="bottom"/>
            <w:gridSpan w:val="2"/>
            <w:shd w:val="clear" w:color="auto" w:fill="E4E6EF"/>
          </w:tcPr>
          <w:p>
            <w:pPr>
              <w:ind w:left="140"/>
              <w:spacing w:after="0"/>
              <w:rPr>
                <w:sz w:val="20"/>
                <w:szCs w:val="20"/>
                <w:color w:val="auto"/>
              </w:rPr>
            </w:pPr>
            <w:r>
              <w:rPr>
                <w:rFonts w:ascii="Arial" w:cs="Arial" w:eastAsia="Arial" w:hAnsi="Arial"/>
                <w:sz w:val="17"/>
                <w:szCs w:val="17"/>
                <w:b w:val="1"/>
                <w:bCs w:val="1"/>
                <w:color w:val="auto"/>
              </w:rPr>
              <w:t>PER OCCUPANT BY</w:t>
            </w:r>
          </w:p>
        </w:tc>
        <w:tc>
          <w:tcPr>
            <w:tcW w:w="3060" w:type="dxa"/>
            <w:vAlign w:val="bottom"/>
            <w:shd w:val="clear" w:color="auto" w:fill="E4E6EF"/>
          </w:tcPr>
          <w:p>
            <w:pPr>
              <w:ind w:left="160"/>
              <w:spacing w:after="0"/>
              <w:rPr>
                <w:sz w:val="20"/>
                <w:szCs w:val="20"/>
                <w:color w:val="auto"/>
              </w:rPr>
            </w:pPr>
            <w:r>
              <w:rPr>
                <w:rFonts w:ascii="Arial" w:cs="Arial" w:eastAsia="Arial" w:hAnsi="Arial"/>
                <w:sz w:val="17"/>
                <w:szCs w:val="17"/>
                <w:b w:val="1"/>
                <w:bCs w:val="1"/>
                <w:color w:val="auto"/>
              </w:rPr>
              <w:t>PER OCCUPANT BY</w:t>
            </w:r>
          </w:p>
        </w:tc>
        <w:tc>
          <w:tcPr>
            <w:tcW w:w="0" w:type="dxa"/>
            <w:vAlign w:val="bottom"/>
          </w:tcPr>
          <w:p>
            <w:pPr>
              <w:spacing w:after="0"/>
              <w:rPr>
                <w:sz w:val="1"/>
                <w:szCs w:val="1"/>
                <w:color w:val="auto"/>
              </w:rPr>
            </w:pPr>
          </w:p>
        </w:tc>
      </w:tr>
      <w:tr>
        <w:trPr>
          <w:trHeight w:val="107"/>
        </w:trPr>
        <w:tc>
          <w:tcPr>
            <w:tcW w:w="3980" w:type="dxa"/>
            <w:vAlign w:val="bottom"/>
            <w:shd w:val="clear" w:color="auto" w:fill="E4E6EF"/>
          </w:tcPr>
          <w:p>
            <w:pPr>
              <w:spacing w:after="0"/>
              <w:rPr>
                <w:sz w:val="9"/>
                <w:szCs w:val="9"/>
                <w:color w:val="auto"/>
              </w:rPr>
            </w:pPr>
          </w:p>
        </w:tc>
        <w:tc>
          <w:tcPr>
            <w:tcW w:w="640" w:type="dxa"/>
            <w:vAlign w:val="bottom"/>
          </w:tcPr>
          <w:p>
            <w:pPr>
              <w:spacing w:after="0"/>
              <w:rPr>
                <w:sz w:val="9"/>
                <w:szCs w:val="9"/>
                <w:color w:val="auto"/>
              </w:rPr>
            </w:pPr>
          </w:p>
        </w:tc>
        <w:tc>
          <w:tcPr>
            <w:tcW w:w="1540" w:type="dxa"/>
            <w:vAlign w:val="bottom"/>
            <w:shd w:val="clear" w:color="auto" w:fill="E4E6EF"/>
          </w:tcPr>
          <w:p>
            <w:pPr>
              <w:spacing w:after="0"/>
              <w:rPr>
                <w:sz w:val="9"/>
                <w:szCs w:val="9"/>
                <w:color w:val="auto"/>
              </w:rPr>
            </w:pPr>
          </w:p>
        </w:tc>
        <w:tc>
          <w:tcPr>
            <w:tcW w:w="1520" w:type="dxa"/>
            <w:vAlign w:val="bottom"/>
            <w:shd w:val="clear" w:color="auto" w:fill="E4E6EF"/>
          </w:tcPr>
          <w:p>
            <w:pPr>
              <w:spacing w:after="0"/>
              <w:rPr>
                <w:sz w:val="9"/>
                <w:szCs w:val="9"/>
                <w:color w:val="auto"/>
              </w:rPr>
            </w:pPr>
          </w:p>
        </w:tc>
        <w:tc>
          <w:tcPr>
            <w:tcW w:w="3060" w:type="dxa"/>
            <w:vAlign w:val="bottom"/>
            <w:shd w:val="clear" w:color="auto" w:fill="E4E6EF"/>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39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520" w:type="dxa"/>
            <w:vAlign w:val="bottom"/>
            <w:shd w:val="clear" w:color="auto" w:fill="E4E6EF"/>
          </w:tcPr>
          <w:p>
            <w:pPr>
              <w:spacing w:after="0"/>
              <w:rPr>
                <w:sz w:val="9"/>
                <w:szCs w:val="9"/>
                <w:color w:val="auto"/>
              </w:rPr>
            </w:pPr>
          </w:p>
        </w:tc>
        <w:tc>
          <w:tcPr>
            <w:tcW w:w="3060" w:type="dxa"/>
            <w:vAlign w:val="bottom"/>
            <w:shd w:val="clear" w:color="auto" w:fill="E4E6EF"/>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wp:posOffset>
            </wp:positionH>
            <wp:positionV relativeFrom="paragraph">
              <wp:posOffset>-135890</wp:posOffset>
            </wp:positionV>
            <wp:extent cx="4880610" cy="6400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880610" cy="640080"/>
                    </a:xfrm>
                    <a:prstGeom prst="rect">
                      <a:avLst/>
                    </a:prstGeom>
                    <a:noFill/>
                  </pic:spPr>
                </pic:pic>
              </a:graphicData>
            </a:graphic>
          </wp:anchor>
        </w:drawing>
        <w:drawing>
          <wp:anchor simplePos="0" relativeHeight="251657728" behindDoc="1" locked="0" layoutInCell="0" allowOverlap="1">
            <wp:simplePos x="0" y="0"/>
            <wp:positionH relativeFrom="column">
              <wp:posOffset>277495</wp:posOffset>
            </wp:positionH>
            <wp:positionV relativeFrom="paragraph">
              <wp:posOffset>-135890</wp:posOffset>
            </wp:positionV>
            <wp:extent cx="4880610" cy="6400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880610" cy="6400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415"/>
        </w:trPr>
        <w:tc>
          <w:tcPr>
            <w:tcW w:w="2440" w:type="dxa"/>
            <w:vAlign w:val="bottom"/>
          </w:tcPr>
          <w:p>
            <w:pPr>
              <w:ind w:left="580"/>
              <w:spacing w:after="0"/>
              <w:rPr>
                <w:sz w:val="20"/>
                <w:szCs w:val="20"/>
                <w:color w:val="auto"/>
              </w:rPr>
            </w:pPr>
            <w:r>
              <w:rPr>
                <w:rFonts w:ascii="Arial" w:cs="Arial" w:eastAsia="Arial" w:hAnsi="Arial"/>
                <w:sz w:val="36"/>
                <w:szCs w:val="36"/>
                <w:b w:val="1"/>
                <w:bCs w:val="1"/>
                <w:color w:val="002E6D"/>
              </w:rPr>
              <w:t>70%</w:t>
            </w:r>
          </w:p>
        </w:tc>
        <w:tc>
          <w:tcPr>
            <w:tcW w:w="1980" w:type="dxa"/>
            <w:vAlign w:val="bottom"/>
          </w:tcPr>
          <w:p>
            <w:pPr>
              <w:spacing w:after="0"/>
              <w:rPr>
                <w:sz w:val="24"/>
                <w:szCs w:val="24"/>
                <w:color w:val="auto"/>
              </w:rPr>
            </w:pPr>
          </w:p>
        </w:tc>
        <w:tc>
          <w:tcPr>
            <w:tcW w:w="3700" w:type="dxa"/>
            <w:vAlign w:val="bottom"/>
          </w:tcPr>
          <w:p>
            <w:pPr>
              <w:ind w:left="780"/>
              <w:spacing w:after="0"/>
              <w:rPr>
                <w:sz w:val="20"/>
                <w:szCs w:val="20"/>
                <w:color w:val="auto"/>
              </w:rPr>
            </w:pPr>
            <w:r>
              <w:rPr>
                <w:rFonts w:ascii="Arial" w:cs="Arial" w:eastAsia="Arial" w:hAnsi="Arial"/>
                <w:sz w:val="36"/>
                <w:szCs w:val="36"/>
                <w:b w:val="1"/>
                <w:bCs w:val="1"/>
                <w:color w:val="002E6D"/>
              </w:rPr>
              <w:t>14%</w:t>
            </w:r>
          </w:p>
        </w:tc>
        <w:tc>
          <w:tcPr>
            <w:tcW w:w="3060" w:type="dxa"/>
            <w:vAlign w:val="bottom"/>
            <w:shd w:val="clear" w:color="auto" w:fill="E4E6EF"/>
          </w:tcPr>
          <w:p>
            <w:pPr>
              <w:ind w:left="160"/>
              <w:spacing w:after="0"/>
              <w:rPr>
                <w:sz w:val="20"/>
                <w:szCs w:val="20"/>
                <w:color w:val="auto"/>
              </w:rPr>
            </w:pPr>
            <w:r>
              <w:rPr>
                <w:rFonts w:ascii="Arial" w:cs="Arial" w:eastAsia="Arial" w:hAnsi="Arial"/>
                <w:sz w:val="36"/>
                <w:szCs w:val="36"/>
                <w:b w:val="1"/>
                <w:bCs w:val="1"/>
                <w:color w:val="002E6D"/>
              </w:rPr>
              <w:t>11%</w:t>
            </w:r>
          </w:p>
        </w:tc>
      </w:tr>
      <w:tr>
        <w:trPr>
          <w:trHeight w:val="172"/>
        </w:trPr>
        <w:tc>
          <w:tcPr>
            <w:tcW w:w="2440" w:type="dxa"/>
            <w:vAlign w:val="bottom"/>
          </w:tcPr>
          <w:p>
            <w:pPr>
              <w:ind w:left="580"/>
              <w:spacing w:after="0"/>
              <w:rPr>
                <w:sz w:val="20"/>
                <w:szCs w:val="20"/>
                <w:color w:val="auto"/>
              </w:rPr>
            </w:pPr>
            <w:r>
              <w:rPr>
                <w:rFonts w:ascii="Arial" w:cs="Arial" w:eastAsia="Arial" w:hAnsi="Arial"/>
                <w:sz w:val="14"/>
                <w:szCs w:val="14"/>
                <w:color w:val="auto"/>
              </w:rPr>
              <w:t>2015 baseline</w:t>
            </w:r>
          </w:p>
        </w:tc>
        <w:tc>
          <w:tcPr>
            <w:tcW w:w="1980" w:type="dxa"/>
            <w:vAlign w:val="bottom"/>
          </w:tcPr>
          <w:p>
            <w:pPr>
              <w:spacing w:after="0"/>
              <w:rPr>
                <w:sz w:val="14"/>
                <w:szCs w:val="14"/>
                <w:color w:val="auto"/>
              </w:rPr>
            </w:pPr>
          </w:p>
        </w:tc>
        <w:tc>
          <w:tcPr>
            <w:tcW w:w="3700" w:type="dxa"/>
            <w:vAlign w:val="bottom"/>
          </w:tcPr>
          <w:p>
            <w:pPr>
              <w:ind w:left="780"/>
              <w:spacing w:after="0"/>
              <w:rPr>
                <w:sz w:val="20"/>
                <w:szCs w:val="20"/>
                <w:color w:val="auto"/>
              </w:rPr>
            </w:pPr>
            <w:r>
              <w:rPr>
                <w:rFonts w:ascii="Arial" w:cs="Arial" w:eastAsia="Arial" w:hAnsi="Arial"/>
                <w:sz w:val="14"/>
                <w:szCs w:val="14"/>
                <w:color w:val="auto"/>
              </w:rPr>
              <w:t>2016 baseline</w:t>
            </w:r>
          </w:p>
        </w:tc>
        <w:tc>
          <w:tcPr>
            <w:tcW w:w="3060" w:type="dxa"/>
            <w:vAlign w:val="bottom"/>
            <w:shd w:val="clear" w:color="auto" w:fill="E4E6EF"/>
          </w:tcPr>
          <w:p>
            <w:pPr>
              <w:ind w:left="160"/>
              <w:spacing w:after="0"/>
              <w:rPr>
                <w:sz w:val="20"/>
                <w:szCs w:val="20"/>
                <w:color w:val="auto"/>
              </w:rPr>
            </w:pPr>
            <w:r>
              <w:rPr>
                <w:rFonts w:ascii="Arial" w:cs="Arial" w:eastAsia="Arial" w:hAnsi="Arial"/>
                <w:sz w:val="14"/>
                <w:szCs w:val="14"/>
                <w:color w:val="auto"/>
              </w:rPr>
              <w:t>2016 baseline</w:t>
            </w:r>
          </w:p>
        </w:tc>
      </w:tr>
      <w:tr>
        <w:trPr>
          <w:trHeight w:val="186"/>
        </w:trPr>
        <w:tc>
          <w:tcPr>
            <w:tcW w:w="24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3060" w:type="dxa"/>
            <w:vAlign w:val="bottom"/>
            <w:shd w:val="clear" w:color="auto" w:fill="E4E6EF"/>
          </w:tcPr>
          <w:p>
            <w:pPr>
              <w:spacing w:after="0"/>
              <w:rPr>
                <w:sz w:val="16"/>
                <w:szCs w:val="16"/>
                <w:color w:val="auto"/>
              </w:rPr>
            </w:pPr>
          </w:p>
        </w:tc>
      </w:tr>
      <w:tr>
        <w:trPr>
          <w:trHeight w:val="628"/>
        </w:trPr>
        <w:tc>
          <w:tcPr>
            <w:tcW w:w="2440" w:type="dxa"/>
            <w:vAlign w:val="bottom"/>
          </w:tcPr>
          <w:p>
            <w:pPr>
              <w:ind w:left="20"/>
              <w:spacing w:after="0"/>
              <w:rPr>
                <w:sz w:val="20"/>
                <w:szCs w:val="20"/>
                <w:color w:val="auto"/>
              </w:rPr>
            </w:pPr>
            <w:r>
              <w:rPr>
                <w:rFonts w:ascii="Arial" w:cs="Arial" w:eastAsia="Arial" w:hAnsi="Arial"/>
                <w:sz w:val="16"/>
                <w:szCs w:val="16"/>
                <w:b w:val="1"/>
                <w:bCs w:val="1"/>
                <w:color w:val="auto"/>
              </w:rPr>
              <w:t>2021 PERFORMANCE</w:t>
            </w:r>
          </w:p>
        </w:tc>
        <w:tc>
          <w:tcPr>
            <w:tcW w:w="1980" w:type="dxa"/>
            <w:vAlign w:val="bottom"/>
          </w:tcPr>
          <w:p>
            <w:pPr>
              <w:jc w:val="right"/>
              <w:ind w:right="673"/>
              <w:spacing w:after="0"/>
              <w:rPr>
                <w:sz w:val="20"/>
                <w:szCs w:val="20"/>
                <w:color w:val="auto"/>
              </w:rPr>
            </w:pPr>
            <w:r>
              <w:rPr>
                <w:rFonts w:ascii="Arial" w:cs="Arial" w:eastAsia="Arial" w:hAnsi="Arial"/>
                <w:sz w:val="21"/>
                <w:szCs w:val="21"/>
                <w:b w:val="1"/>
                <w:bCs w:val="1"/>
                <w:color w:val="002E6D"/>
              </w:rPr>
              <w:t>47%</w:t>
            </w:r>
          </w:p>
        </w:tc>
        <w:tc>
          <w:tcPr>
            <w:tcW w:w="3700" w:type="dxa"/>
            <w:vAlign w:val="bottom"/>
          </w:tcPr>
          <w:p>
            <w:pPr>
              <w:jc w:val="right"/>
              <w:ind w:right="481"/>
              <w:spacing w:after="0"/>
              <w:rPr>
                <w:sz w:val="20"/>
                <w:szCs w:val="20"/>
                <w:color w:val="auto"/>
              </w:rPr>
            </w:pPr>
            <w:r>
              <w:rPr>
                <w:rFonts w:ascii="Arial" w:cs="Arial" w:eastAsia="Arial" w:hAnsi="Arial"/>
                <w:sz w:val="21"/>
                <w:szCs w:val="21"/>
                <w:b w:val="1"/>
                <w:bCs w:val="1"/>
                <w:color w:val="002E6D"/>
              </w:rPr>
              <w:t>7%</w:t>
            </w:r>
          </w:p>
        </w:tc>
        <w:tc>
          <w:tcPr>
            <w:tcW w:w="3060" w:type="dxa"/>
            <w:vAlign w:val="bottom"/>
          </w:tcPr>
          <w:p>
            <w:pPr>
              <w:jc w:val="right"/>
              <w:ind w:right="481"/>
              <w:spacing w:after="0"/>
              <w:rPr>
                <w:sz w:val="20"/>
                <w:szCs w:val="20"/>
                <w:color w:val="auto"/>
              </w:rPr>
            </w:pPr>
            <w:r>
              <w:rPr>
                <w:rFonts w:ascii="Arial" w:cs="Arial" w:eastAsia="Arial" w:hAnsi="Arial"/>
                <w:sz w:val="21"/>
                <w:szCs w:val="21"/>
                <w:b w:val="1"/>
                <w:bCs w:val="1"/>
                <w:color w:val="002E6D"/>
              </w:rPr>
              <w:t>5%</w:t>
            </w:r>
          </w:p>
        </w:tc>
      </w:tr>
      <w:tr>
        <w:trPr>
          <w:trHeight w:val="57"/>
        </w:trPr>
        <w:tc>
          <w:tcPr>
            <w:tcW w:w="2440" w:type="dxa"/>
            <w:vAlign w:val="bottom"/>
            <w:tcBorders>
              <w:bottom w:val="single" w:sz="8" w:color="929292"/>
            </w:tcBorders>
          </w:tcPr>
          <w:p>
            <w:pPr>
              <w:spacing w:after="0"/>
              <w:rPr>
                <w:sz w:val="4"/>
                <w:szCs w:val="4"/>
                <w:color w:val="auto"/>
              </w:rPr>
            </w:pPr>
          </w:p>
        </w:tc>
        <w:tc>
          <w:tcPr>
            <w:tcW w:w="1980" w:type="dxa"/>
            <w:vAlign w:val="bottom"/>
            <w:tcBorders>
              <w:bottom w:val="single" w:sz="8" w:color="929292"/>
            </w:tcBorders>
          </w:tcPr>
          <w:p>
            <w:pPr>
              <w:spacing w:after="0"/>
              <w:rPr>
                <w:sz w:val="4"/>
                <w:szCs w:val="4"/>
                <w:color w:val="auto"/>
              </w:rPr>
            </w:pPr>
          </w:p>
        </w:tc>
        <w:tc>
          <w:tcPr>
            <w:tcW w:w="3700" w:type="dxa"/>
            <w:vAlign w:val="bottom"/>
            <w:tcBorders>
              <w:bottom w:val="single" w:sz="8" w:color="929292"/>
            </w:tcBorders>
          </w:tcPr>
          <w:p>
            <w:pPr>
              <w:spacing w:after="0"/>
              <w:rPr>
                <w:sz w:val="4"/>
                <w:szCs w:val="4"/>
                <w:color w:val="auto"/>
              </w:rPr>
            </w:pPr>
          </w:p>
        </w:tc>
        <w:tc>
          <w:tcPr>
            <w:tcW w:w="3060" w:type="dxa"/>
            <w:vAlign w:val="bottom"/>
            <w:tcBorders>
              <w:bottom w:val="single" w:sz="8" w:color="929292"/>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1950085</wp:posOffset>
            </wp:positionH>
            <wp:positionV relativeFrom="paragraph">
              <wp:posOffset>-443230</wp:posOffset>
            </wp:positionV>
            <wp:extent cx="452120" cy="1708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52120" cy="170815"/>
                    </a:xfrm>
                    <a:prstGeom prst="rect">
                      <a:avLst/>
                    </a:prstGeom>
                    <a:noFill/>
                  </pic:spPr>
                </pic:pic>
              </a:graphicData>
            </a:graphic>
          </wp:anchor>
        </w:drawing>
        <w:drawing>
          <wp:anchor simplePos="0" relativeHeight="251657728" behindDoc="1" locked="0" layoutInCell="0" allowOverlap="1">
            <wp:simplePos x="0" y="0"/>
            <wp:positionH relativeFrom="column">
              <wp:posOffset>4450080</wp:posOffset>
            </wp:positionH>
            <wp:positionV relativeFrom="paragraph">
              <wp:posOffset>-443230</wp:posOffset>
            </wp:positionV>
            <wp:extent cx="452120" cy="1708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52120" cy="170815"/>
                    </a:xfrm>
                    <a:prstGeom prst="rect">
                      <a:avLst/>
                    </a:prstGeom>
                    <a:noFill/>
                  </pic:spPr>
                </pic:pic>
              </a:graphicData>
            </a:graphic>
          </wp:anchor>
        </w:drawing>
        <w:drawing>
          <wp:anchor simplePos="0" relativeHeight="251657728" behindDoc="1" locked="0" layoutInCell="0" allowOverlap="1">
            <wp:simplePos x="0" y="0"/>
            <wp:positionH relativeFrom="column">
              <wp:posOffset>6395720</wp:posOffset>
            </wp:positionH>
            <wp:positionV relativeFrom="paragraph">
              <wp:posOffset>-443230</wp:posOffset>
            </wp:positionV>
            <wp:extent cx="452120" cy="1708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52120" cy="170815"/>
                    </a:xfrm>
                    <a:prstGeom prst="rect">
                      <a:avLst/>
                    </a:prstGeom>
                    <a:noFill/>
                  </pic:spPr>
                </pic:pic>
              </a:graphicData>
            </a:graphic>
          </wp:anchor>
        </w:drawing>
      </w:r>
    </w:p>
    <w:p>
      <w:pPr>
        <w:spacing w:after="0" w:line="129" w:lineRule="exact"/>
        <w:rPr>
          <w:sz w:val="20"/>
          <w:szCs w:val="20"/>
          <w:color w:val="auto"/>
        </w:rPr>
      </w:pPr>
    </w:p>
    <w:p>
      <w:pPr>
        <w:spacing w:after="0"/>
        <w:rPr>
          <w:sz w:val="20"/>
          <w:szCs w:val="20"/>
          <w:color w:val="auto"/>
        </w:rPr>
      </w:pPr>
      <w:r>
        <w:rPr>
          <w:rFonts w:ascii="Arial" w:cs="Arial" w:eastAsia="Arial" w:hAnsi="Arial"/>
          <w:sz w:val="25"/>
          <w:szCs w:val="25"/>
          <w:color w:val="818EB4"/>
        </w:rPr>
        <w:t>Climate Reporting</w:t>
      </w:r>
    </w:p>
    <w:p>
      <w:pPr>
        <w:spacing w:after="0" w:line="54"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The Board recognizes that companies have a role in meeting the challenge of mitigating and adapting to climate change risks. Lockheed Martin has been recognized globally for our sustainability efforts and disclosures. We publish an annual Sustainability Report prepared in accordance with the Global Reporting Initiative (GRI) Standards, maintain a dedicated sustainability website and an ESG portal that serves as an online repository for our ESG-related disclosures, guidelines, policies and webpage links. In 2020, we published our first Sustainability Accounting Standards Board (SASB) report and issued our first Climate-Related Risk and Opportunity Assessment in alignment with Task Force on Climate-Related Financial Disclosure (TCFD) recommendations. We set our ambitious carbon emission reduction target using a methodology established by the Center for Sustainable Organizations (CSO) to exceed science-based target requirements. The Paris Agreement’s goal is to limit global warming by the end of the century to well below 2°C of pre-industrial levels and preferably to 1.5°C. Our carbon emissions target is expected to outperform the CSO’s model criteria for aligning with a 1.5°C outcome in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45720</wp:posOffset>
            </wp:positionV>
            <wp:extent cx="7132955" cy="679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955" cy="67945"/>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29"/>
          <w:szCs w:val="29"/>
          <w:color w:val="003478"/>
        </w:rPr>
        <w:t>Supplier Engagement</w:t>
      </w:r>
    </w:p>
    <w:p>
      <w:pPr>
        <w:spacing w:after="0" w:line="108" w:lineRule="exact"/>
        <w:rPr>
          <w:sz w:val="20"/>
          <w:szCs w:val="20"/>
          <w:color w:val="auto"/>
        </w:rPr>
      </w:pPr>
    </w:p>
    <w:p>
      <w:pPr>
        <w:ind w:right="900"/>
        <w:spacing w:after="0" w:line="241" w:lineRule="auto"/>
        <w:rPr>
          <w:sz w:val="20"/>
          <w:szCs w:val="20"/>
          <w:color w:val="auto"/>
        </w:rPr>
      </w:pPr>
      <w:r>
        <w:rPr>
          <w:rFonts w:ascii="Arial" w:cs="Arial" w:eastAsia="Arial" w:hAnsi="Arial"/>
          <w:sz w:val="17"/>
          <w:szCs w:val="17"/>
          <w:color w:val="auto"/>
        </w:rPr>
        <w:t>Lockheed Martin works closely with suppliers to strengthen our communities and foster responsible growth. Lockheed Martin’s efforts and accomplishments in these areas during the year-long measuring period ended September 30, 2021 included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44450</wp:posOffset>
            </wp:positionV>
            <wp:extent cx="7132955" cy="11093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955" cy="110934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p>
      <w:pPr>
        <w:spacing w:after="0" w:line="259" w:lineRule="exact"/>
        <w:rPr>
          <w:sz w:val="20"/>
          <w:szCs w:val="20"/>
          <w:color w:val="auto"/>
        </w:rPr>
      </w:pPr>
    </w:p>
    <w:p>
      <w:pPr>
        <w:ind w:left="200" w:right="640"/>
        <w:spacing w:after="0" w:line="249" w:lineRule="auto"/>
        <w:rPr>
          <w:sz w:val="20"/>
          <w:szCs w:val="20"/>
          <w:color w:val="auto"/>
        </w:rPr>
      </w:pPr>
      <w:r>
        <w:rPr>
          <w:rFonts w:ascii="Arial" w:cs="Arial" w:eastAsia="Arial" w:hAnsi="Arial"/>
          <w:sz w:val="17"/>
          <w:szCs w:val="17"/>
          <w:b w:val="1"/>
          <w:bCs w:val="1"/>
          <w:color w:val="auto"/>
        </w:rPr>
        <w:t xml:space="preserve">20.2 percent </w:t>
      </w:r>
      <w:r>
        <w:rPr>
          <w:rFonts w:ascii="Arial" w:cs="Arial" w:eastAsia="Arial" w:hAnsi="Arial"/>
          <w:sz w:val="17"/>
          <w:szCs w:val="17"/>
          <w:color w:val="auto"/>
        </w:rPr>
        <w:t>or</w:t>
      </w:r>
      <w:r>
        <w:rPr>
          <w:rFonts w:ascii="Arial" w:cs="Arial" w:eastAsia="Arial" w:hAnsi="Arial"/>
          <w:sz w:val="17"/>
          <w:szCs w:val="17"/>
          <w:b w:val="1"/>
          <w:bCs w:val="1"/>
          <w:color w:val="auto"/>
        </w:rPr>
        <w:t xml:space="preserve"> $5.6 billion </w:t>
      </w:r>
      <w:r>
        <w:rPr>
          <w:rFonts w:ascii="Arial" w:cs="Arial" w:eastAsia="Arial" w:hAnsi="Arial"/>
          <w:sz w:val="17"/>
          <w:szCs w:val="17"/>
          <w:color w:val="auto"/>
        </w:rPr>
        <w:t>of supplier spend was awarded to 7,715 small businesses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w:t>
      </w:r>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166"/>
        </w:trPr>
        <w:tc>
          <w:tcPr>
            <w:tcW w:w="1460" w:type="dxa"/>
            <w:vAlign w:val="bottom"/>
          </w:tcPr>
          <w:p>
            <w:pPr>
              <w:spacing w:after="0"/>
              <w:rPr>
                <w:sz w:val="20"/>
                <w:szCs w:val="20"/>
                <w:color w:val="auto"/>
              </w:rPr>
            </w:pPr>
            <w:r>
              <w:rPr>
                <w:rFonts w:ascii="Arial" w:cs="Arial" w:eastAsia="Arial" w:hAnsi="Arial"/>
                <w:sz w:val="14"/>
                <w:szCs w:val="14"/>
                <w:b w:val="1"/>
                <w:bCs w:val="1"/>
                <w:color w:val="auto"/>
              </w:rPr>
              <w:t xml:space="preserve">$1.05B </w:t>
            </w:r>
            <w:r>
              <w:rPr>
                <w:rFonts w:ascii="Arial" w:cs="Arial" w:eastAsia="Arial" w:hAnsi="Arial"/>
                <w:sz w:val="14"/>
                <w:szCs w:val="14"/>
                <w:color w:val="auto"/>
              </w:rPr>
              <w:t>awarded to</w:t>
            </w:r>
          </w:p>
        </w:tc>
        <w:tc>
          <w:tcPr>
            <w:tcW w:w="140" w:type="dxa"/>
            <w:vAlign w:val="bottom"/>
            <w:shd w:val="clear" w:color="auto" w:fill="E5E7EF"/>
          </w:tcPr>
          <w:p>
            <w:pPr>
              <w:spacing w:after="0"/>
              <w:rPr>
                <w:sz w:val="14"/>
                <w:szCs w:val="14"/>
                <w:color w:val="auto"/>
              </w:rPr>
            </w:pPr>
          </w:p>
        </w:tc>
        <w:tc>
          <w:tcPr>
            <w:tcW w:w="1680" w:type="dxa"/>
            <w:vAlign w:val="bottom"/>
          </w:tcPr>
          <w:p>
            <w:pPr>
              <w:ind w:left="100"/>
              <w:spacing w:after="0"/>
              <w:rPr>
                <w:sz w:val="20"/>
                <w:szCs w:val="20"/>
                <w:color w:val="auto"/>
              </w:rPr>
            </w:pPr>
            <w:r>
              <w:rPr>
                <w:rFonts w:ascii="Arial" w:cs="Arial" w:eastAsia="Arial" w:hAnsi="Arial"/>
                <w:sz w:val="14"/>
                <w:szCs w:val="14"/>
                <w:b w:val="1"/>
                <w:bCs w:val="1"/>
                <w:color w:val="auto"/>
              </w:rPr>
              <w:t xml:space="preserve">$631.2M </w:t>
            </w:r>
            <w:r>
              <w:rPr>
                <w:rFonts w:ascii="Arial" w:cs="Arial" w:eastAsia="Arial" w:hAnsi="Arial"/>
                <w:sz w:val="14"/>
                <w:szCs w:val="14"/>
                <w:color w:val="auto"/>
              </w:rPr>
              <w:t>awarded to</w:t>
            </w:r>
          </w:p>
        </w:tc>
        <w:tc>
          <w:tcPr>
            <w:tcW w:w="140" w:type="dxa"/>
            <w:vAlign w:val="bottom"/>
            <w:shd w:val="clear" w:color="auto" w:fill="E5E7EF"/>
          </w:tcPr>
          <w:p>
            <w:pPr>
              <w:spacing w:after="0"/>
              <w:rPr>
                <w:sz w:val="14"/>
                <w:szCs w:val="14"/>
                <w:color w:val="auto"/>
              </w:rPr>
            </w:pPr>
          </w:p>
        </w:tc>
        <w:tc>
          <w:tcPr>
            <w:tcW w:w="1680" w:type="dxa"/>
            <w:vAlign w:val="bottom"/>
          </w:tcPr>
          <w:p>
            <w:pPr>
              <w:ind w:left="100"/>
              <w:spacing w:after="0"/>
              <w:rPr>
                <w:sz w:val="20"/>
                <w:szCs w:val="20"/>
                <w:color w:val="auto"/>
              </w:rPr>
            </w:pPr>
            <w:r>
              <w:rPr>
                <w:rFonts w:ascii="Arial" w:cs="Arial" w:eastAsia="Arial" w:hAnsi="Arial"/>
                <w:sz w:val="14"/>
                <w:szCs w:val="14"/>
                <w:b w:val="1"/>
                <w:bCs w:val="1"/>
                <w:color w:val="auto"/>
              </w:rPr>
              <w:t xml:space="preserve">$128M </w:t>
            </w:r>
            <w:r>
              <w:rPr>
                <w:rFonts w:ascii="Arial" w:cs="Arial" w:eastAsia="Arial" w:hAnsi="Arial"/>
                <w:sz w:val="14"/>
                <w:szCs w:val="14"/>
                <w:color w:val="auto"/>
              </w:rPr>
              <w:t>awarded to</w:t>
            </w:r>
          </w:p>
        </w:tc>
        <w:tc>
          <w:tcPr>
            <w:tcW w:w="140" w:type="dxa"/>
            <w:vAlign w:val="bottom"/>
            <w:shd w:val="clear" w:color="auto" w:fill="E5E7EF"/>
          </w:tcPr>
          <w:p>
            <w:pPr>
              <w:spacing w:after="0"/>
              <w:rPr>
                <w:sz w:val="14"/>
                <w:szCs w:val="14"/>
                <w:color w:val="auto"/>
              </w:rPr>
            </w:pPr>
          </w:p>
        </w:tc>
        <w:tc>
          <w:tcPr>
            <w:tcW w:w="1920" w:type="dxa"/>
            <w:vAlign w:val="bottom"/>
          </w:tcPr>
          <w:p>
            <w:pPr>
              <w:ind w:left="100"/>
              <w:spacing w:after="0"/>
              <w:rPr>
                <w:sz w:val="20"/>
                <w:szCs w:val="20"/>
                <w:color w:val="auto"/>
              </w:rPr>
            </w:pPr>
            <w:r>
              <w:rPr>
                <w:rFonts w:ascii="Arial" w:cs="Arial" w:eastAsia="Arial" w:hAnsi="Arial"/>
                <w:sz w:val="14"/>
                <w:szCs w:val="14"/>
                <w:b w:val="1"/>
                <w:bCs w:val="1"/>
                <w:color w:val="auto"/>
              </w:rPr>
              <w:t xml:space="preserve">$351.7M </w:t>
            </w:r>
            <w:r>
              <w:rPr>
                <w:rFonts w:ascii="Arial" w:cs="Arial" w:eastAsia="Arial" w:hAnsi="Arial"/>
                <w:sz w:val="14"/>
                <w:szCs w:val="14"/>
                <w:color w:val="auto"/>
              </w:rPr>
              <w:t>awarded to 248</w:t>
            </w:r>
          </w:p>
        </w:tc>
      </w:tr>
      <w:tr>
        <w:trPr>
          <w:trHeight w:val="148"/>
        </w:trPr>
        <w:tc>
          <w:tcPr>
            <w:tcW w:w="1460" w:type="dxa"/>
            <w:vAlign w:val="bottom"/>
          </w:tcPr>
          <w:p>
            <w:pPr>
              <w:spacing w:after="0" w:line="148" w:lineRule="exact"/>
              <w:rPr>
                <w:sz w:val="20"/>
                <w:szCs w:val="20"/>
                <w:color w:val="auto"/>
              </w:rPr>
            </w:pPr>
            <w:r>
              <w:rPr>
                <w:rFonts w:ascii="Arial" w:cs="Arial" w:eastAsia="Arial" w:hAnsi="Arial"/>
                <w:sz w:val="14"/>
                <w:szCs w:val="14"/>
                <w:color w:val="auto"/>
              </w:rPr>
              <w:t>woman-owned</w:t>
            </w:r>
          </w:p>
        </w:tc>
        <w:tc>
          <w:tcPr>
            <w:tcW w:w="140" w:type="dxa"/>
            <w:vAlign w:val="bottom"/>
            <w:shd w:val="clear" w:color="auto" w:fill="E5E7EF"/>
          </w:tcPr>
          <w:p>
            <w:pPr>
              <w:spacing w:after="0"/>
              <w:rPr>
                <w:sz w:val="12"/>
                <w:szCs w:val="12"/>
                <w:color w:val="auto"/>
              </w:rPr>
            </w:pPr>
          </w:p>
        </w:tc>
        <w:tc>
          <w:tcPr>
            <w:tcW w:w="1680" w:type="dxa"/>
            <w:vAlign w:val="bottom"/>
          </w:tcPr>
          <w:p>
            <w:pPr>
              <w:ind w:left="100"/>
              <w:spacing w:after="0" w:line="148" w:lineRule="exact"/>
              <w:rPr>
                <w:sz w:val="20"/>
                <w:szCs w:val="20"/>
                <w:color w:val="auto"/>
              </w:rPr>
            </w:pPr>
            <w:r>
              <w:rPr>
                <w:rFonts w:ascii="Arial" w:cs="Arial" w:eastAsia="Arial" w:hAnsi="Arial"/>
                <w:sz w:val="14"/>
                <w:szCs w:val="14"/>
                <w:color w:val="auto"/>
              </w:rPr>
              <w:t>veteran-owned</w:t>
            </w:r>
          </w:p>
        </w:tc>
        <w:tc>
          <w:tcPr>
            <w:tcW w:w="140" w:type="dxa"/>
            <w:vAlign w:val="bottom"/>
            <w:shd w:val="clear" w:color="auto" w:fill="E5E7EF"/>
          </w:tcPr>
          <w:p>
            <w:pPr>
              <w:spacing w:after="0"/>
              <w:rPr>
                <w:sz w:val="12"/>
                <w:szCs w:val="12"/>
                <w:color w:val="auto"/>
              </w:rPr>
            </w:pPr>
          </w:p>
        </w:tc>
        <w:tc>
          <w:tcPr>
            <w:tcW w:w="1680" w:type="dxa"/>
            <w:vAlign w:val="bottom"/>
          </w:tcPr>
          <w:p>
            <w:pPr>
              <w:ind w:left="100"/>
              <w:spacing w:after="0" w:line="148" w:lineRule="exact"/>
              <w:rPr>
                <w:sz w:val="20"/>
                <w:szCs w:val="20"/>
                <w:color w:val="auto"/>
              </w:rPr>
            </w:pPr>
            <w:r>
              <w:rPr>
                <w:rFonts w:ascii="Arial" w:cs="Arial" w:eastAsia="Arial" w:hAnsi="Arial"/>
                <w:sz w:val="14"/>
                <w:szCs w:val="14"/>
                <w:color w:val="auto"/>
              </w:rPr>
              <w:t>Alaskan Native and</w:t>
            </w:r>
          </w:p>
        </w:tc>
        <w:tc>
          <w:tcPr>
            <w:tcW w:w="140" w:type="dxa"/>
            <w:vAlign w:val="bottom"/>
            <w:shd w:val="clear" w:color="auto" w:fill="E5E7EF"/>
          </w:tcPr>
          <w:p>
            <w:pPr>
              <w:spacing w:after="0"/>
              <w:rPr>
                <w:sz w:val="12"/>
                <w:szCs w:val="12"/>
                <w:color w:val="auto"/>
              </w:rPr>
            </w:pPr>
          </w:p>
        </w:tc>
        <w:tc>
          <w:tcPr>
            <w:tcW w:w="1920" w:type="dxa"/>
            <w:vAlign w:val="bottom"/>
          </w:tcPr>
          <w:p>
            <w:pPr>
              <w:ind w:left="100"/>
              <w:spacing w:after="0" w:line="148" w:lineRule="exact"/>
              <w:rPr>
                <w:sz w:val="20"/>
                <w:szCs w:val="20"/>
                <w:color w:val="auto"/>
              </w:rPr>
            </w:pPr>
            <w:r>
              <w:rPr>
                <w:rFonts w:ascii="Arial" w:cs="Arial" w:eastAsia="Arial" w:hAnsi="Arial"/>
                <w:sz w:val="14"/>
                <w:szCs w:val="14"/>
                <w:color w:val="auto"/>
              </w:rPr>
              <w:t>service-disabled veteran-</w:t>
            </w:r>
          </w:p>
        </w:tc>
      </w:tr>
      <w:tr>
        <w:trPr>
          <w:trHeight w:val="148"/>
        </w:trPr>
        <w:tc>
          <w:tcPr>
            <w:tcW w:w="1460" w:type="dxa"/>
            <w:vAlign w:val="bottom"/>
          </w:tcPr>
          <w:p>
            <w:pPr>
              <w:spacing w:after="0" w:line="148" w:lineRule="exact"/>
              <w:rPr>
                <w:sz w:val="20"/>
                <w:szCs w:val="20"/>
                <w:color w:val="auto"/>
              </w:rPr>
            </w:pPr>
            <w:r>
              <w:rPr>
                <w:rFonts w:ascii="Arial" w:cs="Arial" w:eastAsia="Arial" w:hAnsi="Arial"/>
                <w:sz w:val="14"/>
                <w:szCs w:val="14"/>
                <w:color w:val="auto"/>
              </w:rPr>
              <w:t>businesses (both</w:t>
            </w:r>
          </w:p>
        </w:tc>
        <w:tc>
          <w:tcPr>
            <w:tcW w:w="140" w:type="dxa"/>
            <w:vAlign w:val="bottom"/>
            <w:shd w:val="clear" w:color="auto" w:fill="E5E7EF"/>
          </w:tcPr>
          <w:p>
            <w:pPr>
              <w:spacing w:after="0"/>
              <w:rPr>
                <w:sz w:val="12"/>
                <w:szCs w:val="12"/>
                <w:color w:val="auto"/>
              </w:rPr>
            </w:pPr>
          </w:p>
        </w:tc>
        <w:tc>
          <w:tcPr>
            <w:tcW w:w="1680" w:type="dxa"/>
            <w:vAlign w:val="bottom"/>
          </w:tcPr>
          <w:p>
            <w:pPr>
              <w:ind w:left="100"/>
              <w:spacing w:after="0" w:line="148" w:lineRule="exact"/>
              <w:rPr>
                <w:sz w:val="20"/>
                <w:szCs w:val="20"/>
                <w:color w:val="auto"/>
              </w:rPr>
            </w:pPr>
            <w:r>
              <w:rPr>
                <w:rFonts w:ascii="Arial" w:cs="Arial" w:eastAsia="Arial" w:hAnsi="Arial"/>
                <w:sz w:val="14"/>
                <w:szCs w:val="14"/>
                <w:color w:val="auto"/>
              </w:rPr>
              <w:t>businesses (both large</w:t>
            </w:r>
          </w:p>
        </w:tc>
        <w:tc>
          <w:tcPr>
            <w:tcW w:w="140" w:type="dxa"/>
            <w:vAlign w:val="bottom"/>
            <w:shd w:val="clear" w:color="auto" w:fill="E5E7EF"/>
          </w:tcPr>
          <w:p>
            <w:pPr>
              <w:spacing w:after="0"/>
              <w:rPr>
                <w:sz w:val="12"/>
                <w:szCs w:val="12"/>
                <w:color w:val="auto"/>
              </w:rPr>
            </w:pPr>
          </w:p>
        </w:tc>
        <w:tc>
          <w:tcPr>
            <w:tcW w:w="1680" w:type="dxa"/>
            <w:vAlign w:val="bottom"/>
          </w:tcPr>
          <w:p>
            <w:pPr>
              <w:ind w:left="100"/>
              <w:spacing w:after="0" w:line="148" w:lineRule="exact"/>
              <w:rPr>
                <w:sz w:val="20"/>
                <w:szCs w:val="20"/>
                <w:color w:val="auto"/>
              </w:rPr>
            </w:pPr>
            <w:r>
              <w:rPr>
                <w:rFonts w:ascii="Arial" w:cs="Arial" w:eastAsia="Arial" w:hAnsi="Arial"/>
                <w:sz w:val="14"/>
                <w:szCs w:val="14"/>
                <w:color w:val="auto"/>
              </w:rPr>
              <w:t>Tribally Owned</w:t>
            </w:r>
          </w:p>
        </w:tc>
        <w:tc>
          <w:tcPr>
            <w:tcW w:w="140" w:type="dxa"/>
            <w:vAlign w:val="bottom"/>
            <w:shd w:val="clear" w:color="auto" w:fill="E5E7EF"/>
          </w:tcPr>
          <w:p>
            <w:pPr>
              <w:spacing w:after="0"/>
              <w:rPr>
                <w:sz w:val="12"/>
                <w:szCs w:val="12"/>
                <w:color w:val="auto"/>
              </w:rPr>
            </w:pPr>
          </w:p>
        </w:tc>
        <w:tc>
          <w:tcPr>
            <w:tcW w:w="1920" w:type="dxa"/>
            <w:vAlign w:val="bottom"/>
          </w:tcPr>
          <w:p>
            <w:pPr>
              <w:ind w:left="100"/>
              <w:spacing w:after="0" w:line="148" w:lineRule="exact"/>
              <w:rPr>
                <w:sz w:val="20"/>
                <w:szCs w:val="20"/>
                <w:color w:val="auto"/>
              </w:rPr>
            </w:pPr>
            <w:r>
              <w:rPr>
                <w:rFonts w:ascii="Arial" w:cs="Arial" w:eastAsia="Arial" w:hAnsi="Arial"/>
                <w:sz w:val="14"/>
                <w:szCs w:val="14"/>
                <w:color w:val="auto"/>
              </w:rPr>
              <w:t>owned small businesses</w:t>
            </w:r>
          </w:p>
        </w:tc>
      </w:tr>
      <w:tr>
        <w:trPr>
          <w:trHeight w:val="172"/>
        </w:trPr>
        <w:tc>
          <w:tcPr>
            <w:tcW w:w="1460" w:type="dxa"/>
            <w:vAlign w:val="bottom"/>
          </w:tcPr>
          <w:p>
            <w:pPr>
              <w:spacing w:after="0"/>
              <w:rPr>
                <w:sz w:val="20"/>
                <w:szCs w:val="20"/>
                <w:color w:val="auto"/>
              </w:rPr>
            </w:pPr>
            <w:r>
              <w:rPr>
                <w:rFonts w:ascii="Arial" w:cs="Arial" w:eastAsia="Arial" w:hAnsi="Arial"/>
                <w:sz w:val="14"/>
                <w:szCs w:val="14"/>
                <w:color w:val="auto"/>
              </w:rPr>
              <w:t>large and small)</w:t>
            </w:r>
          </w:p>
        </w:tc>
        <w:tc>
          <w:tcPr>
            <w:tcW w:w="140" w:type="dxa"/>
            <w:vAlign w:val="bottom"/>
            <w:shd w:val="clear" w:color="auto" w:fill="E5E7EF"/>
          </w:tcPr>
          <w:p>
            <w:pPr>
              <w:spacing w:after="0"/>
              <w:rPr>
                <w:sz w:val="14"/>
                <w:szCs w:val="14"/>
                <w:color w:val="auto"/>
              </w:rPr>
            </w:pPr>
          </w:p>
        </w:tc>
        <w:tc>
          <w:tcPr>
            <w:tcW w:w="1680" w:type="dxa"/>
            <w:vAlign w:val="bottom"/>
          </w:tcPr>
          <w:p>
            <w:pPr>
              <w:ind w:left="100"/>
              <w:spacing w:after="0"/>
              <w:rPr>
                <w:sz w:val="20"/>
                <w:szCs w:val="20"/>
                <w:color w:val="auto"/>
              </w:rPr>
            </w:pPr>
            <w:r>
              <w:rPr>
                <w:rFonts w:ascii="Arial" w:cs="Arial" w:eastAsia="Arial" w:hAnsi="Arial"/>
                <w:sz w:val="14"/>
                <w:szCs w:val="14"/>
                <w:color w:val="auto"/>
              </w:rPr>
              <w:t>and small)</w:t>
            </w:r>
          </w:p>
        </w:tc>
        <w:tc>
          <w:tcPr>
            <w:tcW w:w="140" w:type="dxa"/>
            <w:vAlign w:val="bottom"/>
            <w:shd w:val="clear" w:color="auto" w:fill="E5E7EF"/>
          </w:tcPr>
          <w:p>
            <w:pPr>
              <w:spacing w:after="0"/>
              <w:rPr>
                <w:sz w:val="14"/>
                <w:szCs w:val="14"/>
                <w:color w:val="auto"/>
              </w:rPr>
            </w:pPr>
          </w:p>
        </w:tc>
        <w:tc>
          <w:tcPr>
            <w:tcW w:w="1680" w:type="dxa"/>
            <w:vAlign w:val="bottom"/>
          </w:tcPr>
          <w:p>
            <w:pPr>
              <w:ind w:left="100"/>
              <w:spacing w:after="0"/>
              <w:rPr>
                <w:sz w:val="20"/>
                <w:szCs w:val="20"/>
                <w:color w:val="auto"/>
              </w:rPr>
            </w:pPr>
            <w:r>
              <w:rPr>
                <w:rFonts w:ascii="Arial" w:cs="Arial" w:eastAsia="Arial" w:hAnsi="Arial"/>
                <w:sz w:val="14"/>
                <w:szCs w:val="14"/>
                <w:color w:val="auto"/>
              </w:rPr>
              <w:t>Corporations</w:t>
            </w:r>
          </w:p>
        </w:tc>
        <w:tc>
          <w:tcPr>
            <w:tcW w:w="140" w:type="dxa"/>
            <w:vAlign w:val="bottom"/>
            <w:shd w:val="clear" w:color="auto" w:fill="E5E7EF"/>
          </w:tcPr>
          <w:p>
            <w:pPr>
              <w:spacing w:after="0"/>
              <w:rPr>
                <w:sz w:val="14"/>
                <w:szCs w:val="14"/>
                <w:color w:val="auto"/>
              </w:rPr>
            </w:pPr>
          </w:p>
        </w:tc>
        <w:tc>
          <w:tcPr>
            <w:tcW w:w="1920" w:type="dxa"/>
            <w:vAlign w:val="bottom"/>
          </w:tcPr>
          <w:p>
            <w:pPr>
              <w:spacing w:after="0"/>
              <w:rPr>
                <w:sz w:val="14"/>
                <w:szCs w:val="14"/>
                <w:color w:val="auto"/>
              </w:rPr>
            </w:pPr>
          </w:p>
        </w:tc>
      </w:tr>
      <w:tr>
        <w:trPr>
          <w:trHeight w:val="119"/>
        </w:trPr>
        <w:tc>
          <w:tcPr>
            <w:tcW w:w="1460" w:type="dxa"/>
            <w:vAlign w:val="bottom"/>
          </w:tcPr>
          <w:p>
            <w:pPr>
              <w:spacing w:after="0"/>
              <w:rPr>
                <w:sz w:val="10"/>
                <w:szCs w:val="10"/>
                <w:color w:val="auto"/>
              </w:rPr>
            </w:pPr>
          </w:p>
        </w:tc>
        <w:tc>
          <w:tcPr>
            <w:tcW w:w="140" w:type="dxa"/>
            <w:vAlign w:val="bottom"/>
            <w:shd w:val="clear" w:color="auto" w:fill="E5E7EF"/>
          </w:tcPr>
          <w:p>
            <w:pPr>
              <w:spacing w:after="0"/>
              <w:rPr>
                <w:sz w:val="10"/>
                <w:szCs w:val="10"/>
                <w:color w:val="auto"/>
              </w:rPr>
            </w:pPr>
          </w:p>
        </w:tc>
        <w:tc>
          <w:tcPr>
            <w:tcW w:w="1680" w:type="dxa"/>
            <w:vAlign w:val="bottom"/>
          </w:tcPr>
          <w:p>
            <w:pPr>
              <w:spacing w:after="0"/>
              <w:rPr>
                <w:sz w:val="10"/>
                <w:szCs w:val="10"/>
                <w:color w:val="auto"/>
              </w:rPr>
            </w:pPr>
          </w:p>
        </w:tc>
        <w:tc>
          <w:tcPr>
            <w:tcW w:w="140" w:type="dxa"/>
            <w:vAlign w:val="bottom"/>
            <w:shd w:val="clear" w:color="auto" w:fill="E5E7EF"/>
          </w:tcPr>
          <w:p>
            <w:pPr>
              <w:spacing w:after="0"/>
              <w:rPr>
                <w:sz w:val="10"/>
                <w:szCs w:val="10"/>
                <w:color w:val="auto"/>
              </w:rPr>
            </w:pPr>
          </w:p>
        </w:tc>
        <w:tc>
          <w:tcPr>
            <w:tcW w:w="1680" w:type="dxa"/>
            <w:vAlign w:val="bottom"/>
          </w:tcPr>
          <w:p>
            <w:pPr>
              <w:spacing w:after="0"/>
              <w:rPr>
                <w:sz w:val="10"/>
                <w:szCs w:val="10"/>
                <w:color w:val="auto"/>
              </w:rPr>
            </w:pPr>
          </w:p>
        </w:tc>
        <w:tc>
          <w:tcPr>
            <w:tcW w:w="140" w:type="dxa"/>
            <w:vAlign w:val="bottom"/>
            <w:shd w:val="clear" w:color="auto" w:fill="E5E7EF"/>
          </w:tcPr>
          <w:p>
            <w:pPr>
              <w:spacing w:after="0"/>
              <w:rPr>
                <w:sz w:val="10"/>
                <w:szCs w:val="10"/>
                <w:color w:val="auto"/>
              </w:rPr>
            </w:pPr>
          </w:p>
        </w:tc>
        <w:tc>
          <w:tcPr>
            <w:tcW w:w="1920" w:type="dxa"/>
            <w:vAlign w:val="bottom"/>
          </w:tcPr>
          <w:p>
            <w:pPr>
              <w:spacing w:after="0"/>
              <w:rPr>
                <w:sz w:val="10"/>
                <w:szCs w:val="10"/>
                <w:color w:val="auto"/>
              </w:rPr>
            </w:pPr>
          </w:p>
        </w:tc>
      </w:tr>
      <w:tr>
        <w:trPr>
          <w:trHeight w:val="94"/>
        </w:trPr>
        <w:tc>
          <w:tcPr>
            <w:tcW w:w="1460" w:type="dxa"/>
            <w:vAlign w:val="bottom"/>
          </w:tcPr>
          <w:p>
            <w:pPr>
              <w:spacing w:after="0"/>
              <w:rPr>
                <w:sz w:val="8"/>
                <w:szCs w:val="8"/>
                <w:color w:val="auto"/>
              </w:rPr>
            </w:pPr>
          </w:p>
        </w:tc>
        <w:tc>
          <w:tcPr>
            <w:tcW w:w="140" w:type="dxa"/>
            <w:vAlign w:val="bottom"/>
            <w:shd w:val="clear" w:color="auto" w:fill="E5E7EF"/>
          </w:tcPr>
          <w:p>
            <w:pPr>
              <w:spacing w:after="0"/>
              <w:rPr>
                <w:sz w:val="8"/>
                <w:szCs w:val="8"/>
                <w:color w:val="auto"/>
              </w:rPr>
            </w:pPr>
          </w:p>
        </w:tc>
        <w:tc>
          <w:tcPr>
            <w:tcW w:w="1680" w:type="dxa"/>
            <w:vAlign w:val="bottom"/>
            <w:shd w:val="clear" w:color="auto" w:fill="E5E7EF"/>
          </w:tcPr>
          <w:p>
            <w:pPr>
              <w:spacing w:after="0"/>
              <w:rPr>
                <w:sz w:val="8"/>
                <w:szCs w:val="8"/>
                <w:color w:val="auto"/>
              </w:rPr>
            </w:pPr>
          </w:p>
        </w:tc>
        <w:tc>
          <w:tcPr>
            <w:tcW w:w="140" w:type="dxa"/>
            <w:vAlign w:val="bottom"/>
            <w:shd w:val="clear" w:color="auto" w:fill="E5E7EF"/>
          </w:tcPr>
          <w:p>
            <w:pPr>
              <w:spacing w:after="0"/>
              <w:rPr>
                <w:sz w:val="8"/>
                <w:szCs w:val="8"/>
                <w:color w:val="auto"/>
              </w:rPr>
            </w:pPr>
          </w:p>
        </w:tc>
        <w:tc>
          <w:tcPr>
            <w:tcW w:w="1680" w:type="dxa"/>
            <w:vAlign w:val="bottom"/>
            <w:shd w:val="clear" w:color="auto" w:fill="E5E7EF"/>
          </w:tcPr>
          <w:p>
            <w:pPr>
              <w:spacing w:after="0"/>
              <w:rPr>
                <w:sz w:val="8"/>
                <w:szCs w:val="8"/>
                <w:color w:val="auto"/>
              </w:rPr>
            </w:pPr>
          </w:p>
        </w:tc>
        <w:tc>
          <w:tcPr>
            <w:tcW w:w="140" w:type="dxa"/>
            <w:vAlign w:val="bottom"/>
            <w:shd w:val="clear" w:color="auto" w:fill="E5E7EF"/>
          </w:tcPr>
          <w:p>
            <w:pPr>
              <w:spacing w:after="0"/>
              <w:rPr>
                <w:sz w:val="8"/>
                <w:szCs w:val="8"/>
                <w:color w:val="auto"/>
              </w:rPr>
            </w:pPr>
          </w:p>
        </w:tc>
        <w:tc>
          <w:tcPr>
            <w:tcW w:w="1920" w:type="dxa"/>
            <w:vAlign w:val="bottom"/>
            <w:shd w:val="clear" w:color="auto" w:fill="E5E7EF"/>
          </w:tcPr>
          <w:p>
            <w:pPr>
              <w:spacing w:after="0"/>
              <w:rPr>
                <w:sz w:val="8"/>
                <w:szCs w:val="8"/>
                <w:color w:val="auto"/>
              </w:rPr>
            </w:pPr>
          </w:p>
        </w:tc>
      </w:tr>
    </w:tbl>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1580"/>
        <w:spacing w:after="0" w:line="229" w:lineRule="auto"/>
        <w:rPr>
          <w:sz w:val="20"/>
          <w:szCs w:val="20"/>
          <w:color w:val="auto"/>
        </w:rPr>
      </w:pPr>
      <w:r>
        <w:rPr>
          <w:rFonts w:ascii="Arial" w:cs="Arial" w:eastAsia="Arial" w:hAnsi="Arial"/>
          <w:sz w:val="14"/>
          <w:szCs w:val="14"/>
          <w:b w:val="1"/>
          <w:bCs w:val="1"/>
          <w:color w:val="auto"/>
        </w:rPr>
        <w:t xml:space="preserve">Received an “Exceptional” rating from the Defense Contract Management Agency (DCMA) </w:t>
      </w:r>
      <w:r>
        <w:rPr>
          <w:rFonts w:ascii="Arial" w:cs="Arial" w:eastAsia="Arial" w:hAnsi="Arial"/>
          <w:sz w:val="14"/>
          <w:szCs w:val="14"/>
          <w:color w:val="auto"/>
        </w:rPr>
        <w:t>for the Company’s GFY</w:t>
      </w:r>
      <w:r>
        <w:rPr>
          <w:rFonts w:ascii="Arial" w:cs="Arial" w:eastAsia="Arial" w:hAnsi="Arial"/>
          <w:sz w:val="14"/>
          <w:szCs w:val="14"/>
          <w:b w:val="1"/>
          <w:bCs w:val="1"/>
          <w:color w:val="auto"/>
        </w:rPr>
        <w:t xml:space="preserve"> </w:t>
      </w:r>
      <w:r>
        <w:rPr>
          <w:rFonts w:ascii="Arial" w:cs="Arial" w:eastAsia="Arial" w:hAnsi="Arial"/>
          <w:sz w:val="14"/>
          <w:szCs w:val="14"/>
          <w:color w:val="auto"/>
        </w:rPr>
        <w:t>2021 small business performance on Department of Defense contracts</w:t>
      </w:r>
    </w:p>
    <w:p>
      <w:pPr>
        <w:spacing w:after="0" w:line="665" w:lineRule="exact"/>
        <w:rPr>
          <w:sz w:val="20"/>
          <w:szCs w:val="20"/>
          <w:color w:val="auto"/>
        </w:rPr>
      </w:pPr>
    </w:p>
    <w:p>
      <w:pPr>
        <w:sectPr>
          <w:pgSz w:w="11900" w:h="16838" w:orient="portrait"/>
          <w:cols w:equalWidth="0" w:num="2">
            <w:col w:w="7360" w:space="140"/>
            <w:col w:w="3740"/>
          </w:cols>
          <w:pgMar w:left="320" w:top="254" w:right="339" w:bottom="1440" w:gutter="0" w:footer="0" w:header="0"/>
          <w:type w:val="continuous"/>
        </w:sectPr>
      </w:pPr>
    </w:p>
    <w:p>
      <w:pPr>
        <w:ind w:right="80"/>
        <w:spacing w:after="0" w:line="234" w:lineRule="auto"/>
        <w:rPr>
          <w:sz w:val="20"/>
          <w:szCs w:val="20"/>
          <w:color w:val="auto"/>
        </w:rPr>
      </w:pPr>
      <w:r>
        <w:rPr>
          <w:rFonts w:ascii="Arial" w:cs="Arial" w:eastAsia="Arial" w:hAnsi="Arial"/>
          <w:sz w:val="17"/>
          <w:szCs w:val="17"/>
          <w:color w:val="auto"/>
        </w:rPr>
        <w:t>Engaging with our suppliers and identifying improvement opportunities is one way to foster sustainable and responsible growth. In 2021, we reached out to approximately 1,700 suppliers to conduct a comprehensive assessment of their Model Based Enterprise (MBE) capabilities. MBE is an organizational approach that connects product data seamlessly, eliminating functional silos and limiting the usage of transactional systems. MBE contributes to sustainability by facilitating reductions in energy consumption and waste generation, building resiliency and enabling disruption innovation and design. Participating suppliers received a benchmark report that serves as a tool to understand where they rank among their peers and help create a more sustainable supply chain.</w:t>
      </w:r>
    </w:p>
    <w:p>
      <w:pPr>
        <w:sectPr>
          <w:pgSz w:w="11900" w:h="16838" w:orient="portrait"/>
          <w:cols w:equalWidth="0" w:num="1">
            <w:col w:w="11240"/>
          </w:cols>
          <w:pgMar w:left="320" w:top="254" w:right="339" w:bottom="1440" w:gutter="0" w:footer="0" w:header="0"/>
          <w:type w:val="continuous"/>
        </w:sectPr>
      </w:pPr>
    </w:p>
    <w:p>
      <w:pPr>
        <w:spacing w:after="0" w:line="200" w:lineRule="exact"/>
        <w:rPr>
          <w:sz w:val="20"/>
          <w:szCs w:val="20"/>
          <w:color w:val="auto"/>
        </w:rPr>
      </w:pPr>
    </w:p>
    <w:p>
      <w:pPr>
        <w:spacing w:after="0" w:line="356"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32</w:t>
      </w:r>
    </w:p>
    <w:p>
      <w:pPr>
        <w:sectPr>
          <w:pgSz w:w="11900" w:h="16838" w:orient="portrait"/>
          <w:cols w:equalWidth="0" w:num="1">
            <w:col w:w="11240"/>
          </w:cols>
          <w:pgMar w:left="320" w:top="254" w:right="339" w:bottom="1440" w:gutter="0" w:footer="0" w:header="0"/>
          <w:type w:val="continuous"/>
        </w:sectPr>
      </w:pPr>
    </w:p>
    <w:bookmarkStart w:id="38" w:name="page39"/>
    <w:bookmarkEnd w:id="38"/>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43"/>
          <w:szCs w:val="43"/>
          <w:color w:val="003478"/>
        </w:rPr>
        <w:t>Audit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156210</wp:posOffset>
            </wp:positionV>
            <wp:extent cx="7132955" cy="70802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955" cy="70802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20" w:right="1440"/>
        <w:spacing w:after="0" w:line="244" w:lineRule="auto"/>
        <w:rPr>
          <w:sz w:val="20"/>
          <w:szCs w:val="20"/>
          <w:color w:val="auto"/>
        </w:rPr>
      </w:pPr>
      <w:r>
        <w:rPr>
          <w:rFonts w:ascii="Arial" w:cs="Arial" w:eastAsia="Arial" w:hAnsi="Arial"/>
          <w:sz w:val="20"/>
          <w:szCs w:val="20"/>
          <w:color w:val="003478"/>
        </w:rPr>
        <w:t>PROPOSAL 2: RATIFICATION OF APPOINTMENT OF INDEPENDENT AUDITORS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012E6C"/>
        </w:rPr>
        <w:t>The Board unanimously recommends that you vote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012E6C"/>
        </w:rPr>
        <w:t xml:space="preserve">FOR </w:t>
      </w:r>
      <w:r>
        <w:rPr>
          <w:rFonts w:ascii="Arial" w:cs="Arial" w:eastAsia="Arial" w:hAnsi="Arial"/>
          <w:sz w:val="17"/>
          <w:szCs w:val="17"/>
          <w:color w:val="012E6C"/>
        </w:rPr>
        <w:t>the ratification of the appointment of Ernst &amp;</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012E6C"/>
        </w:rPr>
        <w:t>Young as independent auditors for 2022.</w:t>
      </w:r>
    </w:p>
    <w:p>
      <w:pPr>
        <w:spacing w:after="0" w:line="200" w:lineRule="exact"/>
        <w:rPr>
          <w:sz w:val="20"/>
          <w:szCs w:val="20"/>
          <w:color w:val="auto"/>
        </w:rPr>
      </w:pPr>
    </w:p>
    <w:p>
      <w:pPr>
        <w:sectPr>
          <w:pgSz w:w="11900" w:h="16838" w:orient="portrait"/>
          <w:cols w:equalWidth="0" w:num="2">
            <w:col w:w="6300" w:space="720"/>
            <w:col w:w="4100"/>
          </w:cols>
          <w:pgMar w:left="320" w:top="254" w:right="459" w:bottom="1440" w:gutter="0" w:footer="0" w:header="0"/>
        </w:sectPr>
      </w:pPr>
    </w:p>
    <w:p>
      <w:pPr>
        <w:spacing w:after="0" w:line="303" w:lineRule="exact"/>
        <w:rPr>
          <w:sz w:val="20"/>
          <w:szCs w:val="20"/>
          <w:color w:val="auto"/>
        </w:rPr>
      </w:pPr>
    </w:p>
    <w:p>
      <w:pPr>
        <w:ind w:right="140"/>
        <w:spacing w:after="0" w:line="267" w:lineRule="auto"/>
        <w:rPr>
          <w:sz w:val="20"/>
          <w:szCs w:val="20"/>
          <w:color w:val="auto"/>
        </w:rPr>
      </w:pPr>
      <w:r>
        <w:rPr>
          <w:rFonts w:ascii="Arial" w:cs="Arial" w:eastAsia="Arial" w:hAnsi="Arial"/>
          <w:sz w:val="17"/>
          <w:szCs w:val="17"/>
          <w:color w:val="auto"/>
        </w:rPr>
        <w:t>The Audit Committee has appointed Ernst &amp; Young LLP (Ernst &amp; Young), an independent registered public accounting firm, as the independent auditors to perform an integrated audit of the Company’s consolidated financial statements and internal control over financial reporting for the year ending December 31, 2022. The services provided to the Company by Ernst &amp; Young for the last two fiscal years are described under the caption “Fees Paid to Independent Auditors” on the following page.</w:t>
      </w:r>
    </w:p>
    <w:p>
      <w:pPr>
        <w:spacing w:after="0" w:line="98"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The Audit Committee is directly responsible for the appointment, compensation, retention, oversight and termination of the Company’s independent auditors in accordance with the NYSE listing standards. The Audit Committee also is responsible for the audit fee negotiations associated with the retention of Ernst &amp; Young. The Audit Committee and its Chairman are involved in the selection of Ernst &amp; Young’s lead engagement partner. The Audit Committee regularly meets with Ernst &amp; Young without management present.</w:t>
      </w:r>
    </w:p>
    <w:p>
      <w:pPr>
        <w:spacing w:after="0" w:line="98" w:lineRule="exact"/>
        <w:rPr>
          <w:sz w:val="20"/>
          <w:szCs w:val="20"/>
          <w:color w:val="auto"/>
        </w:rPr>
      </w:pPr>
    </w:p>
    <w:p>
      <w:pPr>
        <w:ind w:right="340"/>
        <w:spacing w:after="0" w:line="267" w:lineRule="auto"/>
        <w:rPr>
          <w:sz w:val="20"/>
          <w:szCs w:val="20"/>
          <w:color w:val="auto"/>
        </w:rPr>
      </w:pPr>
      <w:r>
        <w:rPr>
          <w:rFonts w:ascii="Arial" w:cs="Arial" w:eastAsia="Arial" w:hAnsi="Arial"/>
          <w:sz w:val="17"/>
          <w:szCs w:val="17"/>
          <w:color w:val="auto"/>
        </w:rPr>
        <w:t>Ernst &amp; Young has served as the Company’s independent auditors since 1994. The Audit Committee reviews the engagement of Ernst &amp; Young annually following completion of Ernst &amp; Young’s audit of the prior year’s financial statements. The Audit Committee also conducts a mid-year assessment of the quality of Ernst &amp; Young’s work. As part of its annual and mid-year assessment of Ernst &amp; Young, the Audit Committee has considered:</w:t>
      </w:r>
    </w:p>
    <w:p>
      <w:pPr>
        <w:spacing w:after="0" w:line="98" w:lineRule="exact"/>
        <w:rPr>
          <w:sz w:val="20"/>
          <w:szCs w:val="20"/>
          <w:color w:val="auto"/>
        </w:rPr>
      </w:pPr>
    </w:p>
    <w:p>
      <w:pPr>
        <w:ind w:left="220" w:hanging="132"/>
        <w:spacing w:after="0"/>
        <w:tabs>
          <w:tab w:leader="none" w:pos="220" w:val="left"/>
        </w:tabs>
        <w:numPr>
          <w:ilvl w:val="0"/>
          <w:numId w:val="61"/>
        </w:numPr>
        <w:rPr>
          <w:rFonts w:ascii="Arial" w:cs="Arial" w:eastAsia="Arial" w:hAnsi="Arial"/>
          <w:sz w:val="17"/>
          <w:szCs w:val="17"/>
          <w:color w:val="012E6C"/>
        </w:rPr>
      </w:pPr>
      <w:r>
        <w:rPr>
          <w:rFonts w:ascii="Arial" w:cs="Arial" w:eastAsia="Arial" w:hAnsi="Arial"/>
          <w:sz w:val="17"/>
          <w:szCs w:val="17"/>
          <w:color w:val="auto"/>
        </w:rPr>
        <w:t>the materials on independence provided by Ernst &amp; Young;</w:t>
      </w:r>
    </w:p>
    <w:p>
      <w:pPr>
        <w:spacing w:after="0" w:line="127" w:lineRule="exact"/>
        <w:rPr>
          <w:rFonts w:ascii="Arial" w:cs="Arial" w:eastAsia="Arial" w:hAnsi="Arial"/>
          <w:sz w:val="17"/>
          <w:szCs w:val="17"/>
          <w:color w:val="012E6C"/>
        </w:rPr>
      </w:pPr>
    </w:p>
    <w:p>
      <w:pPr>
        <w:ind w:left="220" w:hanging="132"/>
        <w:spacing w:after="0"/>
        <w:tabs>
          <w:tab w:leader="none" w:pos="220" w:val="left"/>
        </w:tabs>
        <w:numPr>
          <w:ilvl w:val="0"/>
          <w:numId w:val="61"/>
        </w:numPr>
        <w:rPr>
          <w:rFonts w:ascii="Arial" w:cs="Arial" w:eastAsia="Arial" w:hAnsi="Arial"/>
          <w:sz w:val="17"/>
          <w:szCs w:val="17"/>
          <w:color w:val="012E6C"/>
        </w:rPr>
      </w:pPr>
      <w:r>
        <w:rPr>
          <w:rFonts w:ascii="Arial" w:cs="Arial" w:eastAsia="Arial" w:hAnsi="Arial"/>
          <w:sz w:val="17"/>
          <w:szCs w:val="17"/>
          <w:color w:val="auto"/>
        </w:rPr>
        <w:t>work quality;</w:t>
      </w:r>
    </w:p>
    <w:p>
      <w:pPr>
        <w:spacing w:after="0" w:line="127" w:lineRule="exact"/>
        <w:rPr>
          <w:rFonts w:ascii="Arial" w:cs="Arial" w:eastAsia="Arial" w:hAnsi="Arial"/>
          <w:sz w:val="17"/>
          <w:szCs w:val="17"/>
          <w:color w:val="012E6C"/>
        </w:rPr>
      </w:pPr>
    </w:p>
    <w:p>
      <w:pPr>
        <w:ind w:left="220" w:hanging="132"/>
        <w:spacing w:after="0"/>
        <w:tabs>
          <w:tab w:leader="none" w:pos="220" w:val="left"/>
        </w:tabs>
        <w:numPr>
          <w:ilvl w:val="0"/>
          <w:numId w:val="61"/>
        </w:numPr>
        <w:rPr>
          <w:rFonts w:ascii="Arial" w:cs="Arial" w:eastAsia="Arial" w:hAnsi="Arial"/>
          <w:sz w:val="17"/>
          <w:szCs w:val="17"/>
          <w:color w:val="012E6C"/>
        </w:rPr>
      </w:pPr>
      <w:r>
        <w:rPr>
          <w:rFonts w:ascii="Arial" w:cs="Arial" w:eastAsia="Arial" w:hAnsi="Arial"/>
          <w:sz w:val="17"/>
          <w:szCs w:val="17"/>
          <w:color w:val="auto"/>
        </w:rPr>
        <w:t>management’s level of satisfaction with Ernst &amp; Young’s services;</w:t>
      </w:r>
    </w:p>
    <w:p>
      <w:pPr>
        <w:spacing w:after="0" w:line="127" w:lineRule="exact"/>
        <w:rPr>
          <w:rFonts w:ascii="Arial" w:cs="Arial" w:eastAsia="Arial" w:hAnsi="Arial"/>
          <w:sz w:val="17"/>
          <w:szCs w:val="17"/>
          <w:color w:val="012E6C"/>
        </w:rPr>
      </w:pPr>
    </w:p>
    <w:p>
      <w:pPr>
        <w:ind w:left="220" w:hanging="132"/>
        <w:spacing w:after="0"/>
        <w:tabs>
          <w:tab w:leader="none" w:pos="220" w:val="left"/>
        </w:tabs>
        <w:numPr>
          <w:ilvl w:val="0"/>
          <w:numId w:val="61"/>
        </w:numPr>
        <w:rPr>
          <w:rFonts w:ascii="Arial" w:cs="Arial" w:eastAsia="Arial" w:hAnsi="Arial"/>
          <w:sz w:val="17"/>
          <w:szCs w:val="17"/>
          <w:color w:val="012E6C"/>
        </w:rPr>
      </w:pPr>
      <w:r>
        <w:rPr>
          <w:rFonts w:ascii="Arial" w:cs="Arial" w:eastAsia="Arial" w:hAnsi="Arial"/>
          <w:sz w:val="17"/>
          <w:szCs w:val="17"/>
          <w:color w:val="auto"/>
        </w:rPr>
        <w:t>the adequacy of Ernst &amp; Young’s staffing;</w:t>
      </w:r>
    </w:p>
    <w:p>
      <w:pPr>
        <w:spacing w:after="0" w:line="127" w:lineRule="exact"/>
        <w:rPr>
          <w:rFonts w:ascii="Arial" w:cs="Arial" w:eastAsia="Arial" w:hAnsi="Arial"/>
          <w:sz w:val="17"/>
          <w:szCs w:val="17"/>
          <w:color w:val="012E6C"/>
        </w:rPr>
      </w:pPr>
    </w:p>
    <w:p>
      <w:pPr>
        <w:ind w:left="220" w:hanging="132"/>
        <w:spacing w:after="0"/>
        <w:tabs>
          <w:tab w:leader="none" w:pos="220" w:val="left"/>
        </w:tabs>
        <w:numPr>
          <w:ilvl w:val="0"/>
          <w:numId w:val="61"/>
        </w:numPr>
        <w:rPr>
          <w:rFonts w:ascii="Arial" w:cs="Arial" w:eastAsia="Arial" w:hAnsi="Arial"/>
          <w:sz w:val="17"/>
          <w:szCs w:val="17"/>
          <w:color w:val="012E6C"/>
        </w:rPr>
      </w:pPr>
      <w:r>
        <w:rPr>
          <w:rFonts w:ascii="Arial" w:cs="Arial" w:eastAsia="Arial" w:hAnsi="Arial"/>
          <w:sz w:val="17"/>
          <w:szCs w:val="17"/>
          <w:color w:val="auto"/>
        </w:rPr>
        <w:t>the breadth of knowledge, support and expertise of its national office;</w:t>
      </w:r>
    </w:p>
    <w:p>
      <w:pPr>
        <w:spacing w:after="0" w:line="127" w:lineRule="exact"/>
        <w:rPr>
          <w:rFonts w:ascii="Arial" w:cs="Arial" w:eastAsia="Arial" w:hAnsi="Arial"/>
          <w:sz w:val="17"/>
          <w:szCs w:val="17"/>
          <w:color w:val="012E6C"/>
        </w:rPr>
      </w:pPr>
    </w:p>
    <w:p>
      <w:pPr>
        <w:ind w:left="220" w:hanging="132"/>
        <w:spacing w:after="0"/>
        <w:tabs>
          <w:tab w:leader="none" w:pos="220" w:val="left"/>
        </w:tabs>
        <w:numPr>
          <w:ilvl w:val="0"/>
          <w:numId w:val="61"/>
        </w:numPr>
        <w:rPr>
          <w:rFonts w:ascii="Arial" w:cs="Arial" w:eastAsia="Arial" w:hAnsi="Arial"/>
          <w:sz w:val="17"/>
          <w:szCs w:val="17"/>
          <w:color w:val="012E6C"/>
        </w:rPr>
      </w:pPr>
      <w:r>
        <w:rPr>
          <w:rFonts w:ascii="Arial" w:cs="Arial" w:eastAsia="Arial" w:hAnsi="Arial"/>
          <w:sz w:val="17"/>
          <w:szCs w:val="17"/>
          <w:color w:val="auto"/>
        </w:rPr>
        <w:t>the length of time Ernst &amp; Young has been engaged;</w:t>
      </w:r>
    </w:p>
    <w:p>
      <w:pPr>
        <w:spacing w:after="0" w:line="127" w:lineRule="exact"/>
        <w:rPr>
          <w:rFonts w:ascii="Arial" w:cs="Arial" w:eastAsia="Arial" w:hAnsi="Arial"/>
          <w:sz w:val="17"/>
          <w:szCs w:val="17"/>
          <w:color w:val="012E6C"/>
        </w:rPr>
      </w:pPr>
    </w:p>
    <w:p>
      <w:pPr>
        <w:ind w:left="240" w:right="120" w:hanging="152"/>
        <w:spacing w:after="0" w:line="274" w:lineRule="auto"/>
        <w:tabs>
          <w:tab w:leader="none" w:pos="205" w:val="left"/>
        </w:tabs>
        <w:numPr>
          <w:ilvl w:val="0"/>
          <w:numId w:val="61"/>
        </w:numPr>
        <w:rPr>
          <w:rFonts w:ascii="Arial" w:cs="Arial" w:eastAsia="Arial" w:hAnsi="Arial"/>
          <w:sz w:val="17"/>
          <w:szCs w:val="17"/>
          <w:color w:val="012E6C"/>
        </w:rPr>
      </w:pPr>
      <w:r>
        <w:rPr>
          <w:rFonts w:ascii="Arial" w:cs="Arial" w:eastAsia="Arial" w:hAnsi="Arial"/>
          <w:sz w:val="17"/>
          <w:szCs w:val="17"/>
          <w:color w:val="auto"/>
        </w:rPr>
        <w:t>external data regarding Ernst &amp; Young’s audit quality and performance, including recent Public Company Accounting Oversight Board (PCAOB) reports on Ernst &amp; Young and its peer firms;</w:t>
      </w:r>
    </w:p>
    <w:p>
      <w:pPr>
        <w:spacing w:after="0" w:line="91" w:lineRule="exact"/>
        <w:rPr>
          <w:rFonts w:ascii="Arial" w:cs="Arial" w:eastAsia="Arial" w:hAnsi="Arial"/>
          <w:sz w:val="17"/>
          <w:szCs w:val="17"/>
          <w:color w:val="012E6C"/>
        </w:rPr>
      </w:pPr>
    </w:p>
    <w:p>
      <w:pPr>
        <w:ind w:left="240" w:right="40" w:hanging="152"/>
        <w:spacing w:after="0" w:line="274" w:lineRule="auto"/>
        <w:tabs>
          <w:tab w:leader="none" w:pos="205" w:val="left"/>
        </w:tabs>
        <w:numPr>
          <w:ilvl w:val="0"/>
          <w:numId w:val="61"/>
        </w:numPr>
        <w:rPr>
          <w:rFonts w:ascii="Arial" w:cs="Arial" w:eastAsia="Arial" w:hAnsi="Arial"/>
          <w:sz w:val="17"/>
          <w:szCs w:val="17"/>
          <w:color w:val="012E6C"/>
        </w:rPr>
      </w:pPr>
      <w:r>
        <w:rPr>
          <w:rFonts w:ascii="Arial" w:cs="Arial" w:eastAsia="Arial" w:hAnsi="Arial"/>
          <w:sz w:val="17"/>
          <w:szCs w:val="17"/>
          <w:color w:val="auto"/>
        </w:rPr>
        <w:t>Ernst &amp; Young’s institutional knowledge and expertise with respect to the Company’s business and government contracting practices, quality and cost-effective services;</w:t>
      </w:r>
    </w:p>
    <w:p>
      <w:pPr>
        <w:spacing w:after="0" w:line="91" w:lineRule="exact"/>
        <w:rPr>
          <w:rFonts w:ascii="Arial" w:cs="Arial" w:eastAsia="Arial" w:hAnsi="Arial"/>
          <w:sz w:val="17"/>
          <w:szCs w:val="17"/>
          <w:color w:val="012E6C"/>
        </w:rPr>
      </w:pPr>
    </w:p>
    <w:p>
      <w:pPr>
        <w:ind w:left="220" w:hanging="132"/>
        <w:spacing w:after="0"/>
        <w:tabs>
          <w:tab w:leader="none" w:pos="220" w:val="left"/>
        </w:tabs>
        <w:numPr>
          <w:ilvl w:val="0"/>
          <w:numId w:val="61"/>
        </w:numPr>
        <w:rPr>
          <w:rFonts w:ascii="Arial" w:cs="Arial" w:eastAsia="Arial" w:hAnsi="Arial"/>
          <w:sz w:val="17"/>
          <w:szCs w:val="17"/>
          <w:color w:val="012E6C"/>
        </w:rPr>
      </w:pPr>
      <w:r>
        <w:rPr>
          <w:rFonts w:ascii="Arial" w:cs="Arial" w:eastAsia="Arial" w:hAnsi="Arial"/>
          <w:sz w:val="17"/>
          <w:szCs w:val="17"/>
          <w:color w:val="auto"/>
        </w:rPr>
        <w:t>familiarity with the Company’s account;</w:t>
      </w:r>
    </w:p>
    <w:p>
      <w:pPr>
        <w:spacing w:after="0" w:line="127" w:lineRule="exact"/>
        <w:rPr>
          <w:rFonts w:ascii="Arial" w:cs="Arial" w:eastAsia="Arial" w:hAnsi="Arial"/>
          <w:sz w:val="17"/>
          <w:szCs w:val="17"/>
          <w:color w:val="012E6C"/>
        </w:rPr>
      </w:pPr>
    </w:p>
    <w:p>
      <w:pPr>
        <w:ind w:left="220" w:hanging="132"/>
        <w:spacing w:after="0"/>
        <w:tabs>
          <w:tab w:leader="none" w:pos="220" w:val="left"/>
        </w:tabs>
        <w:numPr>
          <w:ilvl w:val="0"/>
          <w:numId w:val="61"/>
        </w:numPr>
        <w:rPr>
          <w:rFonts w:ascii="Arial" w:cs="Arial" w:eastAsia="Arial" w:hAnsi="Arial"/>
          <w:sz w:val="17"/>
          <w:szCs w:val="17"/>
          <w:color w:val="002E6D"/>
        </w:rPr>
      </w:pPr>
      <w:r>
        <w:rPr>
          <w:rFonts w:ascii="Arial" w:cs="Arial" w:eastAsia="Arial" w:hAnsi="Arial"/>
          <w:sz w:val="17"/>
          <w:szCs w:val="17"/>
          <w:color w:val="auto"/>
        </w:rPr>
        <w:t>the potential impact of changing independent auditors;</w:t>
      </w:r>
    </w:p>
    <w:p>
      <w:pPr>
        <w:spacing w:after="0" w:line="127" w:lineRule="exact"/>
        <w:rPr>
          <w:rFonts w:ascii="Arial" w:cs="Arial" w:eastAsia="Arial" w:hAnsi="Arial"/>
          <w:sz w:val="17"/>
          <w:szCs w:val="17"/>
          <w:color w:val="002E6D"/>
        </w:rPr>
      </w:pPr>
    </w:p>
    <w:p>
      <w:pPr>
        <w:ind w:left="220" w:hanging="132"/>
        <w:spacing w:after="0"/>
        <w:tabs>
          <w:tab w:leader="none" w:pos="220" w:val="left"/>
        </w:tabs>
        <w:numPr>
          <w:ilvl w:val="0"/>
          <w:numId w:val="61"/>
        </w:numPr>
        <w:rPr>
          <w:rFonts w:ascii="Arial" w:cs="Arial" w:eastAsia="Arial" w:hAnsi="Arial"/>
          <w:sz w:val="17"/>
          <w:szCs w:val="17"/>
          <w:color w:val="012E6C"/>
        </w:rPr>
      </w:pPr>
      <w:r>
        <w:rPr>
          <w:rFonts w:ascii="Arial" w:cs="Arial" w:eastAsia="Arial" w:hAnsi="Arial"/>
          <w:sz w:val="17"/>
          <w:szCs w:val="17"/>
          <w:color w:val="auto"/>
        </w:rPr>
        <w:t>level of expertise in accounting issues relating to government contracts; and</w:t>
      </w:r>
    </w:p>
    <w:p>
      <w:pPr>
        <w:spacing w:after="0" w:line="127" w:lineRule="exact"/>
        <w:rPr>
          <w:rFonts w:ascii="Arial" w:cs="Arial" w:eastAsia="Arial" w:hAnsi="Arial"/>
          <w:sz w:val="17"/>
          <w:szCs w:val="17"/>
          <w:color w:val="012E6C"/>
        </w:rPr>
      </w:pPr>
    </w:p>
    <w:p>
      <w:pPr>
        <w:ind w:left="220" w:hanging="132"/>
        <w:spacing w:after="0"/>
        <w:tabs>
          <w:tab w:leader="none" w:pos="220" w:val="left"/>
        </w:tabs>
        <w:numPr>
          <w:ilvl w:val="0"/>
          <w:numId w:val="61"/>
        </w:numPr>
        <w:rPr>
          <w:rFonts w:ascii="Arial" w:cs="Arial" w:eastAsia="Arial" w:hAnsi="Arial"/>
          <w:sz w:val="17"/>
          <w:szCs w:val="17"/>
          <w:color w:val="012E6C"/>
        </w:rPr>
      </w:pPr>
      <w:r>
        <w:rPr>
          <w:rFonts w:ascii="Arial" w:cs="Arial" w:eastAsia="Arial" w:hAnsi="Arial"/>
          <w:sz w:val="17"/>
          <w:szCs w:val="17"/>
          <w:color w:val="auto"/>
        </w:rPr>
        <w:t>Ernst &amp; Young’s performance in providing independent analysis of management positions.</w:t>
      </w:r>
    </w:p>
    <w:p>
      <w:pPr>
        <w:spacing w:after="0" w:line="1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Stockholder approval of the appointment is not required. However, the Board believes that obtaining stockholder ratification of the appointment is a sound corporate governance practice. If the stockholders do not vote on an advisory basis in favor of Ernst &amp; Young, the Audit Committee will reconsider whether to hire the firm and may retain Ernst &amp; Young or hire another firm without resubmitting the matter for stockholders’ approval. The Audit Committee retains the discretion at any time to appoint a different independent auditor.</w:t>
      </w:r>
    </w:p>
    <w:p>
      <w:pPr>
        <w:spacing w:after="0" w:line="98" w:lineRule="exact"/>
        <w:rPr>
          <w:sz w:val="20"/>
          <w:szCs w:val="20"/>
          <w:color w:val="auto"/>
        </w:rPr>
      </w:pPr>
    </w:p>
    <w:p>
      <w:pPr>
        <w:ind w:right="520"/>
        <w:spacing w:after="0" w:line="274" w:lineRule="auto"/>
        <w:rPr>
          <w:sz w:val="20"/>
          <w:szCs w:val="20"/>
          <w:color w:val="auto"/>
        </w:rPr>
      </w:pPr>
      <w:r>
        <w:rPr>
          <w:rFonts w:ascii="Arial" w:cs="Arial" w:eastAsia="Arial" w:hAnsi="Arial"/>
          <w:sz w:val="17"/>
          <w:szCs w:val="17"/>
          <w:color w:val="auto"/>
        </w:rPr>
        <w:t>Representatives of Ernst &amp; Young are expected to be present at the Annual Meeting, and such representatives will be available to respond to appropriate questions and will have the opportunity to make a statement if they desire.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701675</wp:posOffset>
            </wp:positionV>
            <wp:extent cx="963930" cy="2216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33</w:t>
      </w:r>
    </w:p>
    <w:p>
      <w:pPr>
        <w:sectPr>
          <w:pgSz w:w="11900" w:h="16838" w:orient="portrait"/>
          <w:cols w:equalWidth="0" w:num="1">
            <w:col w:w="11120"/>
          </w:cols>
          <w:pgMar w:left="320" w:top="254" w:right="459" w:bottom="1440" w:gutter="0" w:footer="0" w:header="0"/>
          <w:type w:val="continuous"/>
        </w:sectPr>
      </w:pPr>
    </w:p>
    <w:bookmarkStart w:id="39" w:name="page40"/>
    <w:bookmarkEnd w:id="39"/>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Audit Matters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5"/>
          <w:szCs w:val="25"/>
          <w:color w:val="818EB4"/>
        </w:rPr>
        <w:t>Pre-Approval of Independent Auditors Services</w:t>
      </w:r>
    </w:p>
    <w:p>
      <w:pPr>
        <w:spacing w:after="0" w:line="121"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The Audit Committee pre-approves all audit, audit-related, tax and other services performed by the independent auditors. The Audit Committee pre-approves specific categories of services up to pre-established fee thresholds. Unless the type of service has previously been pre-approved, the Audit Committee must approve that specific service before the independent auditors may perform such service. In addition, separate approval is required if the amount of fees for any pre-approved category of service exceeds the fee thresholds established by the Audit Committee. The Audit Committee also has delegated to the Committee Chairman or any member pre-approval authority with respect to permitted services up to $500,000, provided that the Committee Chairman or any committee member must report any pre-approval decisions to the Audit Committee at its next scheduled meeting.</w:t>
      </w:r>
    </w:p>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818EB4"/>
        </w:rPr>
        <w:t>Fees Paid to Independent Auditors</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following table sets forth the fees billed by Ernst &amp; Young, the Company’s independent auditors, for audit services, audit-related services, tax services and all other services rendered for 2021 and 2020. All fees were pre-approved in accordance with the Audit Committee’s pre-approval policy. The Audit Committee considered and concluded that the provision of these services by Ernst &amp; Young was compatible with the maintenance of the auditor’s independence.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980" w:type="dxa"/>
            <w:vAlign w:val="bottom"/>
            <w:shd w:val="clear" w:color="auto" w:fill="E5E7EF"/>
          </w:tcPr>
          <w:p>
            <w:pPr>
              <w:spacing w:after="0"/>
              <w:rPr>
                <w:sz w:val="14"/>
                <w:szCs w:val="14"/>
                <w:color w:val="auto"/>
              </w:rPr>
            </w:pPr>
          </w:p>
        </w:tc>
        <w:tc>
          <w:tcPr>
            <w:tcW w:w="1300" w:type="dxa"/>
            <w:vAlign w:val="bottom"/>
            <w:shd w:val="clear" w:color="auto" w:fill="E5E7EF"/>
          </w:tcPr>
          <w:p>
            <w:pPr>
              <w:jc w:val="right"/>
              <w:ind w:right="131"/>
              <w:spacing w:after="0"/>
              <w:rPr>
                <w:sz w:val="20"/>
                <w:szCs w:val="20"/>
                <w:color w:val="auto"/>
              </w:rPr>
            </w:pPr>
            <w:r>
              <w:rPr>
                <w:rFonts w:ascii="Arial" w:cs="Arial" w:eastAsia="Arial" w:hAnsi="Arial"/>
                <w:sz w:val="13"/>
                <w:szCs w:val="13"/>
                <w:color w:val="auto"/>
              </w:rPr>
              <w:t>2020</w:t>
            </w:r>
          </w:p>
        </w:tc>
        <w:tc>
          <w:tcPr>
            <w:tcW w:w="940" w:type="dxa"/>
            <w:vAlign w:val="bottom"/>
            <w:shd w:val="clear" w:color="auto" w:fill="E5E7EF"/>
          </w:tcPr>
          <w:p>
            <w:pPr>
              <w:jc w:val="right"/>
              <w:spacing w:after="0"/>
              <w:rPr>
                <w:sz w:val="20"/>
                <w:szCs w:val="20"/>
                <w:color w:val="auto"/>
              </w:rPr>
            </w:pPr>
            <w:r>
              <w:rPr>
                <w:rFonts w:ascii="Arial" w:cs="Arial" w:eastAsia="Arial" w:hAnsi="Arial"/>
                <w:sz w:val="13"/>
                <w:szCs w:val="13"/>
                <w:color w:val="auto"/>
              </w:rPr>
              <w:t>2021</w:t>
            </w:r>
          </w:p>
        </w:tc>
      </w:tr>
      <w:tr>
        <w:trPr>
          <w:trHeight w:val="238"/>
        </w:trPr>
        <w:tc>
          <w:tcPr>
            <w:tcW w:w="8980" w:type="dxa"/>
            <w:vAlign w:val="bottom"/>
            <w:tcBorders>
              <w:bottom w:val="single" w:sz="8" w:color="E5E7EF"/>
            </w:tcBorders>
            <w:shd w:val="clear" w:color="auto" w:fill="E5E7EF"/>
          </w:tcPr>
          <w:p>
            <w:pPr>
              <w:spacing w:after="0"/>
              <w:rPr>
                <w:sz w:val="20"/>
                <w:szCs w:val="20"/>
                <w:color w:val="auto"/>
              </w:rPr>
            </w:pPr>
          </w:p>
        </w:tc>
        <w:tc>
          <w:tcPr>
            <w:tcW w:w="1300" w:type="dxa"/>
            <w:vAlign w:val="bottom"/>
            <w:tcBorders>
              <w:bottom w:val="single" w:sz="8" w:color="E5E7EF"/>
            </w:tcBorders>
            <w:shd w:val="clear" w:color="auto" w:fill="E5E7EF"/>
          </w:tcPr>
          <w:p>
            <w:pPr>
              <w:jc w:val="right"/>
              <w:ind w:right="131"/>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8980" w:type="dxa"/>
            <w:vAlign w:val="bottom"/>
            <w:tcBorders>
              <w:top w:val="single" w:sz="8" w:color="003478"/>
              <w:bottom w:val="single" w:sz="8" w:color="959595"/>
            </w:tcBorders>
          </w:tcPr>
          <w:p>
            <w:pPr>
              <w:ind w:left="20"/>
              <w:spacing w:after="0" w:line="182" w:lineRule="exact"/>
              <w:rPr>
                <w:sz w:val="20"/>
                <w:szCs w:val="20"/>
                <w:color w:val="auto"/>
              </w:rPr>
            </w:pPr>
            <w:r>
              <w:rPr>
                <w:rFonts w:ascii="Arial" w:cs="Arial" w:eastAsia="Arial" w:hAnsi="Arial"/>
                <w:sz w:val="14"/>
                <w:szCs w:val="14"/>
                <w:color w:val="auto"/>
              </w:rPr>
              <w:t>Audit Fees</w:t>
            </w:r>
            <w:r>
              <w:rPr>
                <w:rFonts w:ascii="Arial" w:cs="Arial" w:eastAsia="Arial" w:hAnsi="Arial"/>
                <w:sz w:val="18"/>
                <w:szCs w:val="18"/>
                <w:color w:val="auto"/>
                <w:vertAlign w:val="superscript"/>
              </w:rPr>
              <w:t>(a)</w:t>
            </w:r>
          </w:p>
        </w:tc>
        <w:tc>
          <w:tcPr>
            <w:tcW w:w="1300" w:type="dxa"/>
            <w:vAlign w:val="bottom"/>
            <w:tcBorders>
              <w:top w:val="single" w:sz="8" w:color="003478"/>
              <w:bottom w:val="single" w:sz="8" w:color="959595"/>
            </w:tcBorders>
          </w:tcPr>
          <w:p>
            <w:pPr>
              <w:jc w:val="right"/>
              <w:ind w:right="131"/>
              <w:spacing w:after="0"/>
              <w:rPr>
                <w:sz w:val="20"/>
                <w:szCs w:val="20"/>
                <w:color w:val="auto"/>
              </w:rPr>
            </w:pPr>
            <w:r>
              <w:rPr>
                <w:rFonts w:ascii="Arial" w:cs="Arial" w:eastAsia="Arial" w:hAnsi="Arial"/>
                <w:sz w:val="14"/>
                <w:szCs w:val="14"/>
                <w:color w:val="auto"/>
              </w:rPr>
              <w:t>23,500,000</w:t>
            </w:r>
          </w:p>
        </w:tc>
        <w:tc>
          <w:tcPr>
            <w:tcW w:w="940" w:type="dxa"/>
            <w:vAlign w:val="bottom"/>
            <w:tcBorders>
              <w:top w:val="single" w:sz="8" w:color="003478"/>
              <w:bottom w:val="single" w:sz="8" w:color="959595"/>
            </w:tcBorders>
          </w:tcPr>
          <w:p>
            <w:pPr>
              <w:jc w:val="right"/>
              <w:spacing w:after="0"/>
              <w:rPr>
                <w:sz w:val="20"/>
                <w:szCs w:val="20"/>
                <w:color w:val="auto"/>
              </w:rPr>
            </w:pPr>
            <w:r>
              <w:rPr>
                <w:rFonts w:ascii="Arial" w:cs="Arial" w:eastAsia="Arial" w:hAnsi="Arial"/>
                <w:sz w:val="14"/>
                <w:szCs w:val="14"/>
                <w:color w:val="auto"/>
              </w:rPr>
              <w:t>23,500,000</w:t>
            </w:r>
          </w:p>
        </w:tc>
      </w:tr>
      <w:tr>
        <w:trPr>
          <w:trHeight w:val="182"/>
        </w:trPr>
        <w:tc>
          <w:tcPr>
            <w:tcW w:w="8980" w:type="dxa"/>
            <w:vAlign w:val="bottom"/>
            <w:tcBorders>
              <w:bottom w:val="single" w:sz="8" w:color="959595"/>
            </w:tcBorders>
          </w:tcPr>
          <w:p>
            <w:pPr>
              <w:ind w:left="20"/>
              <w:spacing w:after="0" w:line="182" w:lineRule="exact"/>
              <w:rPr>
                <w:sz w:val="20"/>
                <w:szCs w:val="20"/>
                <w:color w:val="auto"/>
              </w:rPr>
            </w:pPr>
            <w:r>
              <w:rPr>
                <w:rFonts w:ascii="Arial" w:cs="Arial" w:eastAsia="Arial" w:hAnsi="Arial"/>
                <w:sz w:val="14"/>
                <w:szCs w:val="14"/>
                <w:color w:val="auto"/>
              </w:rPr>
              <w:t>Audit-Related Fees</w:t>
            </w:r>
            <w:r>
              <w:rPr>
                <w:rFonts w:ascii="Arial" w:cs="Arial" w:eastAsia="Arial" w:hAnsi="Arial"/>
                <w:sz w:val="18"/>
                <w:szCs w:val="18"/>
                <w:color w:val="auto"/>
                <w:vertAlign w:val="superscript"/>
              </w:rPr>
              <w:t>(b)</w:t>
            </w:r>
          </w:p>
        </w:tc>
        <w:tc>
          <w:tcPr>
            <w:tcW w:w="1300" w:type="dxa"/>
            <w:vAlign w:val="bottom"/>
            <w:tcBorders>
              <w:bottom w:val="single" w:sz="8" w:color="959595"/>
            </w:tcBorders>
          </w:tcPr>
          <w:p>
            <w:pPr>
              <w:jc w:val="right"/>
              <w:ind w:right="131"/>
              <w:spacing w:after="0"/>
              <w:rPr>
                <w:sz w:val="20"/>
                <w:szCs w:val="20"/>
                <w:color w:val="auto"/>
              </w:rPr>
            </w:pPr>
            <w:r>
              <w:rPr>
                <w:rFonts w:ascii="Arial" w:cs="Arial" w:eastAsia="Arial" w:hAnsi="Arial"/>
                <w:sz w:val="14"/>
                <w:szCs w:val="14"/>
                <w:color w:val="auto"/>
              </w:rPr>
              <w:t>310,000</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1,142,000</w:t>
            </w:r>
          </w:p>
        </w:tc>
      </w:tr>
      <w:tr>
        <w:trPr>
          <w:trHeight w:val="182"/>
        </w:trPr>
        <w:tc>
          <w:tcPr>
            <w:tcW w:w="8980" w:type="dxa"/>
            <w:vAlign w:val="bottom"/>
            <w:tcBorders>
              <w:bottom w:val="single" w:sz="8" w:color="959595"/>
            </w:tcBorders>
          </w:tcPr>
          <w:p>
            <w:pPr>
              <w:ind w:left="20"/>
              <w:spacing w:after="0" w:line="182" w:lineRule="exact"/>
              <w:rPr>
                <w:sz w:val="20"/>
                <w:szCs w:val="20"/>
                <w:color w:val="auto"/>
              </w:rPr>
            </w:pPr>
            <w:r>
              <w:rPr>
                <w:rFonts w:ascii="Arial" w:cs="Arial" w:eastAsia="Arial" w:hAnsi="Arial"/>
                <w:sz w:val="14"/>
                <w:szCs w:val="14"/>
                <w:color w:val="auto"/>
              </w:rPr>
              <w:t>Tax Fees</w:t>
            </w:r>
            <w:r>
              <w:rPr>
                <w:rFonts w:ascii="Arial" w:cs="Arial" w:eastAsia="Arial" w:hAnsi="Arial"/>
                <w:sz w:val="18"/>
                <w:szCs w:val="18"/>
                <w:color w:val="auto"/>
                <w:vertAlign w:val="superscript"/>
              </w:rPr>
              <w:t>(c)</w:t>
            </w:r>
          </w:p>
        </w:tc>
        <w:tc>
          <w:tcPr>
            <w:tcW w:w="1300" w:type="dxa"/>
            <w:vAlign w:val="bottom"/>
            <w:tcBorders>
              <w:bottom w:val="single" w:sz="8" w:color="959595"/>
            </w:tcBorders>
          </w:tcPr>
          <w:p>
            <w:pPr>
              <w:jc w:val="right"/>
              <w:ind w:right="131"/>
              <w:spacing w:after="0"/>
              <w:rPr>
                <w:sz w:val="20"/>
                <w:szCs w:val="20"/>
                <w:color w:val="auto"/>
              </w:rPr>
            </w:pPr>
            <w:r>
              <w:rPr>
                <w:rFonts w:ascii="Arial" w:cs="Arial" w:eastAsia="Arial" w:hAnsi="Arial"/>
                <w:sz w:val="14"/>
                <w:szCs w:val="14"/>
                <w:color w:val="auto"/>
              </w:rPr>
              <w:t>2,600,000</w:t>
            </w:r>
          </w:p>
        </w:tc>
        <w:tc>
          <w:tcPr>
            <w:tcW w:w="9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2,100,000</w:t>
            </w:r>
          </w:p>
        </w:tc>
      </w:tr>
      <w:tr>
        <w:trPr>
          <w:trHeight w:val="182"/>
        </w:trPr>
        <w:tc>
          <w:tcPr>
            <w:tcW w:w="8980" w:type="dxa"/>
            <w:vAlign w:val="bottom"/>
            <w:tcBorders>
              <w:bottom w:val="single" w:sz="8" w:color="808080"/>
            </w:tcBorders>
          </w:tcPr>
          <w:p>
            <w:pPr>
              <w:ind w:left="20"/>
              <w:spacing w:after="0"/>
              <w:rPr>
                <w:sz w:val="20"/>
                <w:szCs w:val="20"/>
                <w:color w:val="auto"/>
              </w:rPr>
            </w:pPr>
            <w:r>
              <w:rPr>
                <w:rFonts w:ascii="Arial" w:cs="Arial" w:eastAsia="Arial" w:hAnsi="Arial"/>
                <w:sz w:val="14"/>
                <w:szCs w:val="14"/>
                <w:color w:val="auto"/>
              </w:rPr>
              <w:t>All Other Fees</w:t>
            </w:r>
          </w:p>
        </w:tc>
        <w:tc>
          <w:tcPr>
            <w:tcW w:w="1300" w:type="dxa"/>
            <w:vAlign w:val="bottom"/>
            <w:tcBorders>
              <w:bottom w:val="single" w:sz="8" w:color="808080"/>
            </w:tcBorders>
          </w:tcPr>
          <w:p>
            <w:pPr>
              <w:jc w:val="right"/>
              <w:ind w:right="13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rPr>
              <w:t>—</w:t>
            </w:r>
          </w:p>
        </w:tc>
      </w:tr>
    </w:tbl>
    <w:p>
      <w:pPr>
        <w:spacing w:after="0" w:line="206" w:lineRule="exact"/>
        <w:rPr>
          <w:sz w:val="20"/>
          <w:szCs w:val="20"/>
          <w:color w:val="auto"/>
        </w:rPr>
      </w:pPr>
    </w:p>
    <w:p>
      <w:pPr>
        <w:ind w:left="240" w:right="200" w:hanging="233"/>
        <w:spacing w:after="0" w:line="219" w:lineRule="auto"/>
        <w:tabs>
          <w:tab w:leader="none" w:pos="246" w:val="left"/>
        </w:tabs>
        <w:numPr>
          <w:ilvl w:val="0"/>
          <w:numId w:val="62"/>
        </w:numPr>
        <w:rPr>
          <w:rFonts w:ascii="Arial" w:cs="Arial" w:eastAsia="Arial" w:hAnsi="Arial"/>
          <w:sz w:val="19"/>
          <w:szCs w:val="19"/>
          <w:color w:val="auto"/>
          <w:vertAlign w:val="superscript"/>
        </w:rPr>
      </w:pPr>
      <w:r>
        <w:rPr>
          <w:rFonts w:ascii="Arial" w:cs="Arial" w:eastAsia="Arial" w:hAnsi="Arial"/>
          <w:sz w:val="14"/>
          <w:szCs w:val="14"/>
          <w:color w:val="auto"/>
        </w:rPr>
        <w:t>Audit fees are for services related to the annual audit of the Company’s consolidated financial statements, including the audit of internal control over financial reporting, the interim reviews of the Company’s quarterly financial statements, statutory audits of the Company’s foreign subsidiaries and consultations on accounting matters.</w:t>
      </w:r>
    </w:p>
    <w:p>
      <w:pPr>
        <w:spacing w:after="0" w:line="56" w:lineRule="exact"/>
        <w:rPr>
          <w:rFonts w:ascii="Arial" w:cs="Arial" w:eastAsia="Arial" w:hAnsi="Arial"/>
          <w:sz w:val="19"/>
          <w:szCs w:val="19"/>
          <w:color w:val="auto"/>
          <w:vertAlign w:val="superscript"/>
        </w:rPr>
      </w:pPr>
    </w:p>
    <w:p>
      <w:pPr>
        <w:ind w:left="240" w:right="480" w:hanging="233"/>
        <w:spacing w:after="0" w:line="219" w:lineRule="auto"/>
        <w:tabs>
          <w:tab w:leader="none" w:pos="246" w:val="left"/>
        </w:tabs>
        <w:numPr>
          <w:ilvl w:val="0"/>
          <w:numId w:val="62"/>
        </w:numPr>
        <w:rPr>
          <w:rFonts w:ascii="Arial" w:cs="Arial" w:eastAsia="Arial" w:hAnsi="Arial"/>
          <w:sz w:val="19"/>
          <w:szCs w:val="19"/>
          <w:color w:val="auto"/>
          <w:vertAlign w:val="superscript"/>
        </w:rPr>
      </w:pPr>
      <w:r>
        <w:rPr>
          <w:rFonts w:ascii="Arial" w:cs="Arial" w:eastAsia="Arial" w:hAnsi="Arial"/>
          <w:sz w:val="14"/>
          <w:szCs w:val="14"/>
          <w:color w:val="auto"/>
        </w:rPr>
        <w:t>Audit-related fees are primarily related to audits of the Company’s employee benefit plans, due diligence services in connection with acquisitions and, for 2021, fees in connection with Service Organization Controls 2 (SOC2) readiness for one of the Company's customer contracts.</w:t>
      </w:r>
    </w:p>
    <w:p>
      <w:pPr>
        <w:spacing w:after="0" w:line="56" w:lineRule="exact"/>
        <w:rPr>
          <w:rFonts w:ascii="Arial" w:cs="Arial" w:eastAsia="Arial" w:hAnsi="Arial"/>
          <w:sz w:val="19"/>
          <w:szCs w:val="19"/>
          <w:color w:val="auto"/>
          <w:vertAlign w:val="superscript"/>
        </w:rPr>
      </w:pPr>
    </w:p>
    <w:p>
      <w:pPr>
        <w:ind w:left="240" w:right="60" w:hanging="233"/>
        <w:spacing w:after="0" w:line="219" w:lineRule="auto"/>
        <w:tabs>
          <w:tab w:leader="none" w:pos="241" w:val="left"/>
        </w:tabs>
        <w:numPr>
          <w:ilvl w:val="0"/>
          <w:numId w:val="62"/>
        </w:numPr>
        <w:rPr>
          <w:rFonts w:ascii="Arial" w:cs="Arial" w:eastAsia="Arial" w:hAnsi="Arial"/>
          <w:sz w:val="19"/>
          <w:szCs w:val="19"/>
          <w:color w:val="auto"/>
          <w:vertAlign w:val="superscript"/>
        </w:rPr>
      </w:pPr>
      <w:r>
        <w:rPr>
          <w:rFonts w:ascii="Arial" w:cs="Arial" w:eastAsia="Arial" w:hAnsi="Arial"/>
          <w:sz w:val="14"/>
          <w:szCs w:val="14"/>
          <w:color w:val="auto"/>
        </w:rPr>
        <w:t>Tax fees are for domestic and international tax compliance and advisory services. Tax compliance fees were $1.1 million and $1.7 million in 2021 and 2020, respectively, and fees for advisory services were $1.0 million and $0.9 million in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34</w:t>
      </w:r>
    </w:p>
    <w:p>
      <w:pPr>
        <w:sectPr>
          <w:pgSz w:w="11900" w:h="16838" w:orient="portrait"/>
          <w:cols w:equalWidth="0" w:num="1">
            <w:col w:w="11240"/>
          </w:cols>
          <w:pgMar w:left="320" w:top="254"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Audit Matters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9"/>
          <w:szCs w:val="29"/>
          <w:color w:val="003478"/>
        </w:rPr>
        <w:t>Audit Committee Report</w:t>
      </w:r>
    </w:p>
    <w:p>
      <w:pPr>
        <w:spacing w:after="0" w:line="121" w:lineRule="exact"/>
        <w:rPr>
          <w:sz w:val="20"/>
          <w:szCs w:val="20"/>
          <w:color w:val="auto"/>
        </w:rPr>
      </w:pPr>
    </w:p>
    <w:p>
      <w:pPr>
        <w:jc w:val="both"/>
        <w:ind w:right="380"/>
        <w:spacing w:after="0" w:line="269" w:lineRule="auto"/>
        <w:rPr>
          <w:sz w:val="20"/>
          <w:szCs w:val="20"/>
          <w:color w:val="auto"/>
        </w:rPr>
      </w:pPr>
      <w:r>
        <w:rPr>
          <w:rFonts w:ascii="Arial" w:cs="Arial" w:eastAsia="Arial" w:hAnsi="Arial"/>
          <w:sz w:val="17"/>
          <w:szCs w:val="17"/>
          <w:color w:val="auto"/>
        </w:rPr>
        <w:t>The Audit Committee of the Board of Directors is responsible for overseeing the Company’s accounting, auditing and financial reporting process, financial risk assessment and management process and for monitoring compliance with certain legal and regulatory compliance matters and for reviewing certain strategic risks and opportunities, on behalf of the Board of Directors.</w:t>
      </w:r>
    </w:p>
    <w:p>
      <w:pPr>
        <w:spacing w:after="0" w:line="9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The Company’s management is responsible for preparing the quarterly and annual consolidated financial statements, the financial reporting process, and maintaining and evaluating disclosure controls and procedures and a system of internal control over financial reporting.</w:t>
      </w:r>
    </w:p>
    <w:p>
      <w:pPr>
        <w:spacing w:after="0" w:line="91" w:lineRule="exact"/>
        <w:rPr>
          <w:sz w:val="20"/>
          <w:szCs w:val="20"/>
          <w:color w:val="auto"/>
        </w:rPr>
      </w:pPr>
    </w:p>
    <w:p>
      <w:pPr>
        <w:ind w:right="320"/>
        <w:spacing w:after="0" w:line="266" w:lineRule="auto"/>
        <w:rPr>
          <w:sz w:val="20"/>
          <w:szCs w:val="20"/>
          <w:color w:val="auto"/>
        </w:rPr>
      </w:pPr>
      <w:r>
        <w:rPr>
          <w:rFonts w:ascii="Arial" w:cs="Arial" w:eastAsia="Arial" w:hAnsi="Arial"/>
          <w:sz w:val="17"/>
          <w:szCs w:val="17"/>
          <w:color w:val="auto"/>
        </w:rPr>
        <w:t>In addition to its oversight of the Company’s internal audit organization, the Audit Committee is directly responsible for the appointment, compensation, retention, oversight and termination of the Company’s independent auditors, Ernst &amp; Young, an independent registered public accounting firm. The independent auditors are responsible for performing an independent audit of the Company’s annual consolidated financial statements and internal control over financial reporting and expressing an opinion on the material conformity of those consolidated financial statements with U.S. generally accepted accounting principles and on the effectiveness of the Company’s internal control over financial reporting.</w:t>
      </w:r>
    </w:p>
    <w:p>
      <w:pPr>
        <w:spacing w:after="0" w:line="99"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In connection with the preparation of the Company’s consolidated financial statements as of and for the year ended December 31, 2021, the Audit Committee reviewed and discussed with management and Ernst &amp; Young the Company’s audited consolidated financial statements, including discussions regarding critical accounting policies, financial accounting and reporting principles and practices, the quality of such principles and practices, the reasonableness of significant judgments and estimates, and the effectiveness of internal control over financial reporting. The Audit Committee also discussed with Ernst &amp; Young, with and without management, the quality of the financial statements, clarity of the related disclosures, effectiveness of internal control over financial reporting and other items required by the applicable requirements of the Public Company Accounting Oversight Board (PCAOB) and the SEC. Additionally, the Audit Committee received and reviewed the written disclosures and letter from Ernst &amp; Young required by applicable requirements of the PCAOB regarding Ernst &amp; Young's communications with the Audit Committee concerning independence, and has discussed with Ernst &amp; Young its independence.</w:t>
      </w:r>
    </w:p>
    <w:p>
      <w:pPr>
        <w:spacing w:after="0" w:line="100"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Based on the Audit Committee’s reviews and discussions described in this report, the Audit Committee recommended to the Board of Directors that the audited consolidated financial statements as of and for the year ended December 31, 2021 be included in Lockheed Martin Company’s Annual Report on Form 10-K for 2021 for filing with the SEC. The Audit Committee also reappointed Ernst &amp; Young to serve as the Company’s independent auditors for 2022, and requested that this appointment be submitted to the Company’s stockholders for ratification at the Annual Meeting. The Board of Directors approved the Audit Committee’s recommendations.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75565</wp:posOffset>
            </wp:positionV>
            <wp:extent cx="6715125" cy="7766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15125" cy="77660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4"/>
          <w:szCs w:val="14"/>
          <w:color w:val="003478"/>
        </w:rPr>
        <w:t>Thomas J. Falk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80"/>
        <w:spacing w:after="0"/>
        <w:rPr>
          <w:sz w:val="20"/>
          <w:szCs w:val="20"/>
          <w:color w:val="auto"/>
        </w:rPr>
      </w:pPr>
      <w:r>
        <w:rPr>
          <w:rFonts w:ascii="Arial" w:cs="Arial" w:eastAsia="Arial" w:hAnsi="Arial"/>
          <w:sz w:val="14"/>
          <w:szCs w:val="14"/>
          <w:color w:val="003478"/>
        </w:rPr>
        <w:t>David B. Burritt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003478"/>
        </w:rPr>
        <w:t>James O. Ellis, Jr.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003478"/>
        </w:rPr>
        <w:t>Ilene S. Gordon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003478"/>
        </w:rPr>
        <w:t>Debra L. Reed-Klages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color w:val="003478"/>
        </w:rPr>
        <w:t>Patricia E. Yarrington</w:t>
      </w:r>
    </w:p>
    <w:p>
      <w:pPr>
        <w:spacing w:after="0" w:line="1" w:lineRule="exact"/>
        <w:rPr>
          <w:sz w:val="20"/>
          <w:szCs w:val="20"/>
          <w:color w:val="auto"/>
        </w:rPr>
      </w:pPr>
    </w:p>
    <w:p>
      <w:pPr>
        <w:sectPr>
          <w:pgSz w:w="11900" w:h="16838" w:orient="portrait"/>
          <w:cols w:equalWidth="0" w:num="6">
            <w:col w:w="1160" w:space="720"/>
            <w:col w:w="1140" w:space="720"/>
            <w:col w:w="1160" w:space="720"/>
            <w:col w:w="1160" w:space="720"/>
            <w:col w:w="1420" w:space="460"/>
            <w:col w:w="1860"/>
          </w:cols>
          <w:pgMar w:left="320" w:top="254" w:right="339" w:bottom="1440" w:gutter="0" w:footer="0" w:header="0"/>
          <w:type w:val="continuous"/>
        </w:sectPr>
      </w:pPr>
    </w:p>
    <w:p>
      <w:pPr>
        <w:ind w:left="20"/>
        <w:spacing w:after="0" w:line="236" w:lineRule="auto"/>
        <w:rPr>
          <w:sz w:val="20"/>
          <w:szCs w:val="20"/>
          <w:color w:val="auto"/>
        </w:rPr>
      </w:pPr>
      <w:r>
        <w:rPr>
          <w:rFonts w:ascii="Arial" w:cs="Arial" w:eastAsia="Arial" w:hAnsi="Arial"/>
          <w:sz w:val="14"/>
          <w:szCs w:val="14"/>
          <w:color w:val="auto"/>
        </w:rPr>
        <w:t>Chairman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35</w:t>
      </w:r>
    </w:p>
    <w:p>
      <w:pPr>
        <w:sectPr>
          <w:pgSz w:w="11900" w:h="16838" w:orient="portrait"/>
          <w:cols w:equalWidth="0" w:num="1">
            <w:col w:w="11240"/>
          </w:cols>
          <w:pgMar w:left="320" w:top="254" w:right="339" w:bottom="1440" w:gutter="0" w:footer="0" w:header="0"/>
          <w:type w:val="continuous"/>
        </w:sectPr>
      </w:pPr>
    </w:p>
    <w:bookmarkStart w:id="41" w:name="page42"/>
    <w:bookmarkEnd w:id="41"/>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43"/>
          <w:szCs w:val="43"/>
          <w:color w:val="003478"/>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156210</wp:posOffset>
            </wp:positionV>
            <wp:extent cx="7132955" cy="70802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955" cy="70802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20" w:right="1540"/>
        <w:spacing w:after="0" w:line="270" w:lineRule="auto"/>
        <w:rPr>
          <w:sz w:val="20"/>
          <w:szCs w:val="20"/>
          <w:color w:val="auto"/>
        </w:rPr>
      </w:pPr>
      <w:r>
        <w:rPr>
          <w:rFonts w:ascii="Arial" w:cs="Arial" w:eastAsia="Arial" w:hAnsi="Arial"/>
          <w:sz w:val="19"/>
          <w:szCs w:val="19"/>
          <w:color w:val="003478"/>
        </w:rPr>
        <w:t>PROPOSAL 3: ADVISORY VOTE TO APPROVE THE COMPENSATION OF OUR NEOs (SAY-ON-PAY)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012E6C"/>
        </w:rPr>
        <w:t xml:space="preserve">The Board unanimously recommends that you vote </w:t>
      </w:r>
      <w:r>
        <w:rPr>
          <w:rFonts w:ascii="Arial" w:cs="Arial" w:eastAsia="Arial" w:hAnsi="Arial"/>
          <w:sz w:val="17"/>
          <w:szCs w:val="17"/>
          <w:b w:val="1"/>
          <w:bCs w:val="1"/>
          <w:color w:val="012E6C"/>
        </w:rPr>
        <w:t xml:space="preserve">FOR </w:t>
      </w:r>
      <w:r>
        <w:rPr>
          <w:rFonts w:ascii="Arial" w:cs="Arial" w:eastAsia="Arial" w:hAnsi="Arial"/>
          <w:sz w:val="17"/>
          <w:szCs w:val="17"/>
          <w:color w:val="012E6C"/>
        </w:rPr>
        <w:t>the advisory vote to approve the compensation of</w:t>
      </w:r>
      <w:r>
        <w:rPr>
          <w:rFonts w:ascii="Arial" w:cs="Arial" w:eastAsia="Arial" w:hAnsi="Arial"/>
          <w:sz w:val="17"/>
          <w:szCs w:val="17"/>
          <w:b w:val="1"/>
          <w:bCs w:val="1"/>
          <w:color w:val="012E6C"/>
        </w:rPr>
        <w:t xml:space="preserve"> </w:t>
      </w:r>
      <w:r>
        <w:rPr>
          <w:rFonts w:ascii="Arial" w:cs="Arial" w:eastAsia="Arial" w:hAnsi="Arial"/>
          <w:sz w:val="17"/>
          <w:szCs w:val="17"/>
          <w:color w:val="012E6C"/>
        </w:rPr>
        <w:t>our named executive officers.</w:t>
      </w:r>
    </w:p>
    <w:p>
      <w:pPr>
        <w:spacing w:after="0" w:line="200" w:lineRule="exact"/>
        <w:rPr>
          <w:sz w:val="20"/>
          <w:szCs w:val="20"/>
          <w:color w:val="auto"/>
        </w:rPr>
      </w:pPr>
    </w:p>
    <w:p>
      <w:pPr>
        <w:sectPr>
          <w:pgSz w:w="11900" w:h="16838" w:orient="portrait"/>
          <w:cols w:equalWidth="0" w:num="2">
            <w:col w:w="6300" w:space="720"/>
            <w:col w:w="4200"/>
          </w:cols>
          <w:pgMar w:left="320" w:top="254" w:right="359" w:bottom="1440" w:gutter="0" w:footer="0" w:header="0"/>
        </w:sectPr>
      </w:pPr>
    </w:p>
    <w:p>
      <w:pPr>
        <w:spacing w:after="0" w:line="286"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As required by Section 14A of the Securities Exchange Act of 1934, as amended, we ask our stockholders to vote annually to approve, on an advisory (non-binding) basis, the compensation of our named executive officers (NEOs) as described in detail in the Compensation Discussion and Analysis (CD&amp;A) and the accompanying tables in the Executive Compensation section of this Proxy Statement. This vote is commonly known as Say-on-Pay.</w:t>
      </w:r>
    </w:p>
    <w:p>
      <w:pPr>
        <w:spacing w:after="0" w:line="98"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Stockholders should review the entire Proxy Statement and, in particular, the CD&amp;A beginning on page 37 and the Executive Compensation Tables beginning on page 54, for information on our executive compensation programs and other important items.</w:t>
      </w:r>
    </w:p>
    <w:p>
      <w:pPr>
        <w:spacing w:after="0" w:line="9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believe that the information provided in this Proxy Statement demonstrates that our executive compensation programs are designed to link pay to performance. Accordingly, the Board recommends that stockholders approve the compensation of our NEOs by approving the following Say-on-Pay resolution:</w:t>
      </w:r>
    </w:p>
    <w:p>
      <w:pPr>
        <w:spacing w:after="0" w:line="95"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RESOLVED, that the stockholders of Lockheed Martin Corporation approve, on an advisory basis, the compensation of the named executive officers identified in the “Summary Compensation Table,” as disclosed in the Lockheed Martin Corporation 2022 Proxy Statement pursuant to Item 402 of Regulation S-K, including the Compensation Discussion and Analysis, the compensation tables and the accompanying footnotes and narratives. This vote is not intended to address any specific item of compensation, but rather our overall compensation policies and procedures related to the NEOs. Although the results of the Say-on-Pay vote do not bind the Company, the Board will, as it does each year, continue to review the results carefully and plans to continue to seek the views of our stockholders throughout the year.</w:t>
      </w:r>
    </w:p>
    <w:p>
      <w:pPr>
        <w:spacing w:after="0" w:line="86" w:lineRule="exact"/>
        <w:rPr>
          <w:sz w:val="20"/>
          <w:szCs w:val="20"/>
          <w:color w:val="auto"/>
        </w:rPr>
      </w:pPr>
    </w:p>
    <w:p>
      <w:pPr>
        <w:spacing w:after="0"/>
        <w:rPr>
          <w:sz w:val="20"/>
          <w:szCs w:val="20"/>
          <w:color w:val="auto"/>
        </w:rPr>
      </w:pPr>
      <w:r>
        <w:rPr>
          <w:rFonts w:ascii="Arial" w:cs="Arial" w:eastAsia="Arial" w:hAnsi="Arial"/>
          <w:sz w:val="29"/>
          <w:szCs w:val="29"/>
          <w:color w:val="003478"/>
        </w:rPr>
        <w:t>Compensation Committee Report</w:t>
      </w:r>
    </w:p>
    <w:p>
      <w:pPr>
        <w:spacing w:after="0" w:line="121"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The Management Development and Compensation Committee makes recommendations to the Board of Directors concerning the compensation of the Company’s NEOs. We have reviewed and discussed with management the Compensation Discussion and Analysis that will be included in the Company’s Schedule 14A Proxy Statement, filed pursuant to Section 14(a) of the Securities Exchange Act of 1934, as amended. Based on that review and discussion, we recommended to the Board of Directors that the Compensation Discussion and Analysis be included in the Proxy Statement. The Board approved our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143510</wp:posOffset>
            </wp:positionV>
            <wp:extent cx="776605" cy="7766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6605" cy="77660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143510</wp:posOffset>
            </wp:positionV>
            <wp:extent cx="776605" cy="7766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6605" cy="776605"/>
                    </a:xfrm>
                    <a:prstGeom prst="rect">
                      <a:avLst/>
                    </a:prstGeom>
                    <a:noFill/>
                  </pic:spPr>
                </pic:pic>
              </a:graphicData>
            </a:graphic>
          </wp:anchor>
        </w:drawing>
        <w:drawing>
          <wp:anchor simplePos="0" relativeHeight="251657728" behindDoc="1" locked="0" layoutInCell="0" allowOverlap="1">
            <wp:simplePos x="0" y="0"/>
            <wp:positionH relativeFrom="column">
              <wp:posOffset>2854325</wp:posOffset>
            </wp:positionH>
            <wp:positionV relativeFrom="paragraph">
              <wp:posOffset>143510</wp:posOffset>
            </wp:positionV>
            <wp:extent cx="776605" cy="7766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6605" cy="776605"/>
                    </a:xfrm>
                    <a:prstGeom prst="rect">
                      <a:avLst/>
                    </a:prstGeom>
                    <a:noFill/>
                  </pic:spPr>
                </pic:pic>
              </a:graphicData>
            </a:graphic>
          </wp:anchor>
        </w:drawing>
        <w:drawing>
          <wp:anchor simplePos="0" relativeHeight="251657728" behindDoc="1" locked="0" layoutInCell="0" allowOverlap="1">
            <wp:simplePos x="0" y="0"/>
            <wp:positionH relativeFrom="column">
              <wp:posOffset>4279265</wp:posOffset>
            </wp:positionH>
            <wp:positionV relativeFrom="paragraph">
              <wp:posOffset>143510</wp:posOffset>
            </wp:positionV>
            <wp:extent cx="776605" cy="7766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76605" cy="776605"/>
                    </a:xfrm>
                    <a:prstGeom prst="rect">
                      <a:avLst/>
                    </a:prstGeom>
                    <a:noFill/>
                  </pic:spPr>
                </pic:pic>
              </a:graphicData>
            </a:graphic>
          </wp:anchor>
        </w:drawing>
        <w:drawing>
          <wp:anchor simplePos="0" relativeHeight="251657728" behindDoc="1" locked="0" layoutInCell="0" allowOverlap="1">
            <wp:simplePos x="0" y="0"/>
            <wp:positionH relativeFrom="column">
              <wp:posOffset>5704205</wp:posOffset>
            </wp:positionH>
            <wp:positionV relativeFrom="paragraph">
              <wp:posOffset>143510</wp:posOffset>
            </wp:positionV>
            <wp:extent cx="776605" cy="7766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6605" cy="776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tabs>
          <w:tab w:leader="none" w:pos="2240" w:val="left"/>
          <w:tab w:leader="none" w:pos="4480" w:val="left"/>
          <w:tab w:leader="none" w:pos="6720" w:val="left"/>
          <w:tab w:leader="none" w:pos="8960" w:val="left"/>
        </w:tabs>
        <w:rPr>
          <w:sz w:val="20"/>
          <w:szCs w:val="20"/>
          <w:color w:val="auto"/>
        </w:rPr>
      </w:pPr>
      <w:r>
        <w:rPr>
          <w:rFonts w:ascii="Arial" w:cs="Arial" w:eastAsia="Arial" w:hAnsi="Arial"/>
          <w:sz w:val="14"/>
          <w:szCs w:val="14"/>
          <w:color w:val="003478"/>
        </w:rPr>
        <w:t>Ilene S. Gordon</w:t>
      </w:r>
      <w:r>
        <w:rPr>
          <w:sz w:val="20"/>
          <w:szCs w:val="20"/>
          <w:color w:val="auto"/>
        </w:rPr>
        <w:tab/>
      </w:r>
      <w:r>
        <w:rPr>
          <w:rFonts w:ascii="Arial" w:cs="Arial" w:eastAsia="Arial" w:hAnsi="Arial"/>
          <w:sz w:val="14"/>
          <w:szCs w:val="14"/>
          <w:color w:val="003478"/>
        </w:rPr>
        <w:t>Thomas J. Falk</w:t>
      </w:r>
      <w:r>
        <w:rPr>
          <w:sz w:val="20"/>
          <w:szCs w:val="20"/>
          <w:color w:val="auto"/>
        </w:rPr>
        <w:tab/>
      </w:r>
      <w:r>
        <w:rPr>
          <w:rFonts w:ascii="Arial" w:cs="Arial" w:eastAsia="Arial" w:hAnsi="Arial"/>
          <w:sz w:val="14"/>
          <w:szCs w:val="14"/>
          <w:color w:val="003478"/>
        </w:rPr>
        <w:t>Vicki A. Hollub</w:t>
      </w:r>
      <w:r>
        <w:rPr>
          <w:sz w:val="20"/>
          <w:szCs w:val="20"/>
          <w:color w:val="auto"/>
        </w:rPr>
        <w:tab/>
      </w:r>
      <w:r>
        <w:rPr>
          <w:rFonts w:ascii="Arial" w:cs="Arial" w:eastAsia="Arial" w:hAnsi="Arial"/>
          <w:sz w:val="14"/>
          <w:szCs w:val="14"/>
          <w:color w:val="003478"/>
        </w:rPr>
        <w:t>Debra L. Reed-Klages</w:t>
      </w:r>
      <w:r>
        <w:rPr>
          <w:sz w:val="20"/>
          <w:szCs w:val="20"/>
          <w:color w:val="auto"/>
        </w:rPr>
        <w:tab/>
      </w:r>
      <w:r>
        <w:rPr>
          <w:rFonts w:ascii="Arial" w:cs="Arial" w:eastAsia="Arial" w:hAnsi="Arial"/>
          <w:sz w:val="14"/>
          <w:szCs w:val="14"/>
          <w:color w:val="003478"/>
        </w:rPr>
        <w:t>Patricia E. Yarrington</w:t>
      </w:r>
    </w:p>
    <w:p>
      <w:pPr>
        <w:ind w:left="20"/>
        <w:spacing w:after="0"/>
        <w:rPr>
          <w:sz w:val="20"/>
          <w:szCs w:val="20"/>
          <w:color w:val="auto"/>
        </w:rPr>
      </w:pPr>
      <w:r>
        <w:rPr>
          <w:rFonts w:ascii="Arial" w:cs="Arial" w:eastAsia="Arial" w:hAnsi="Arial"/>
          <w:sz w:val="14"/>
          <w:szCs w:val="14"/>
          <w:color w:val="auto"/>
        </w:rPr>
        <w:t>Chairman</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36</w:t>
      </w:r>
    </w:p>
    <w:p>
      <w:pPr>
        <w:sectPr>
          <w:pgSz w:w="11900" w:h="16838" w:orient="portrait"/>
          <w:cols w:equalWidth="0" w:num="1">
            <w:col w:w="11220"/>
          </w:cols>
          <w:pgMar w:left="320" w:top="254" w:right="359" w:bottom="1440" w:gutter="0" w:footer="0" w:header="0"/>
          <w:type w:val="continuous"/>
        </w:sectPr>
      </w:pPr>
    </w:p>
    <w:bookmarkStart w:id="42" w:name="page43"/>
    <w:bookmarkEnd w:id="42"/>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9"/>
          <w:szCs w:val="29"/>
          <w:color w:val="003478"/>
        </w:rPr>
        <w:t>Compensation Discussion and Analysis (CD&amp;A)</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This CD&amp;A discusses the compensation decisions for the NEOs listed in the Summary Compensation Table on page 54.</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color w:val="818EB4"/>
        </w:rPr>
        <w:t>2021-2022 Leadership Changes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 2021 and early 2022, there were the following leadership changes affecting the NEOs:</w:t>
      </w:r>
    </w:p>
    <w:p>
      <w:pPr>
        <w:spacing w:after="0" w:line="127" w:lineRule="exact"/>
        <w:rPr>
          <w:sz w:val="20"/>
          <w:szCs w:val="20"/>
          <w:color w:val="auto"/>
        </w:rPr>
      </w:pPr>
    </w:p>
    <w:p>
      <w:pPr>
        <w:ind w:left="240" w:right="780" w:hanging="152"/>
        <w:spacing w:after="0" w:line="274" w:lineRule="auto"/>
        <w:tabs>
          <w:tab w:leader="none" w:pos="205" w:val="left"/>
        </w:tabs>
        <w:numPr>
          <w:ilvl w:val="0"/>
          <w:numId w:val="63"/>
        </w:numPr>
        <w:rPr>
          <w:rFonts w:ascii="Arial" w:cs="Arial" w:eastAsia="Arial" w:hAnsi="Arial"/>
          <w:sz w:val="17"/>
          <w:szCs w:val="17"/>
          <w:color w:val="003478"/>
        </w:rPr>
      </w:pPr>
      <w:r>
        <w:rPr>
          <w:rFonts w:ascii="Arial" w:cs="Arial" w:eastAsia="Arial" w:hAnsi="Arial"/>
          <w:sz w:val="17"/>
          <w:szCs w:val="17"/>
          <w:color w:val="auto"/>
        </w:rPr>
        <w:t>President and CEO James D. Taiclet was elected Chairman effective March 1, 2021, succeeding Marillyn A. Hewson, who was serving as Executive Chairman;</w:t>
      </w:r>
    </w:p>
    <w:p>
      <w:pPr>
        <w:spacing w:after="0" w:line="91" w:lineRule="exact"/>
        <w:rPr>
          <w:rFonts w:ascii="Arial" w:cs="Arial" w:eastAsia="Arial" w:hAnsi="Arial"/>
          <w:sz w:val="17"/>
          <w:szCs w:val="17"/>
          <w:color w:val="003478"/>
        </w:rPr>
      </w:pPr>
    </w:p>
    <w:p>
      <w:pPr>
        <w:ind w:left="220" w:hanging="132"/>
        <w:spacing w:after="0"/>
        <w:tabs>
          <w:tab w:leader="none" w:pos="220" w:val="left"/>
        </w:tabs>
        <w:numPr>
          <w:ilvl w:val="0"/>
          <w:numId w:val="63"/>
        </w:numPr>
        <w:rPr>
          <w:rFonts w:ascii="Arial" w:cs="Arial" w:eastAsia="Arial" w:hAnsi="Arial"/>
          <w:sz w:val="17"/>
          <w:szCs w:val="17"/>
          <w:color w:val="003478"/>
        </w:rPr>
      </w:pPr>
      <w:r>
        <w:rPr>
          <w:rFonts w:ascii="Arial" w:cs="Arial" w:eastAsia="Arial" w:hAnsi="Arial"/>
          <w:sz w:val="17"/>
          <w:szCs w:val="17"/>
          <w:color w:val="auto"/>
        </w:rPr>
        <w:t>Kenneth R. Possenriede retired effective August 3, 2021, after serving as Chief Financial Officer since February 11, 2019;</w:t>
      </w:r>
    </w:p>
    <w:p>
      <w:pPr>
        <w:spacing w:after="0" w:line="127" w:lineRule="exact"/>
        <w:rPr>
          <w:rFonts w:ascii="Arial" w:cs="Arial" w:eastAsia="Arial" w:hAnsi="Arial"/>
          <w:sz w:val="17"/>
          <w:szCs w:val="17"/>
          <w:color w:val="003478"/>
        </w:rPr>
      </w:pPr>
    </w:p>
    <w:p>
      <w:pPr>
        <w:ind w:left="240" w:right="160" w:hanging="152"/>
        <w:spacing w:after="0" w:line="274" w:lineRule="auto"/>
        <w:tabs>
          <w:tab w:leader="none" w:pos="205" w:val="left"/>
        </w:tabs>
        <w:numPr>
          <w:ilvl w:val="0"/>
          <w:numId w:val="63"/>
        </w:numPr>
        <w:rPr>
          <w:rFonts w:ascii="Arial" w:cs="Arial" w:eastAsia="Arial" w:hAnsi="Arial"/>
          <w:sz w:val="17"/>
          <w:szCs w:val="17"/>
          <w:color w:val="auto"/>
        </w:rPr>
      </w:pPr>
      <w:r>
        <w:rPr>
          <w:rFonts w:ascii="Arial" w:cs="Arial" w:eastAsia="Arial" w:hAnsi="Arial"/>
          <w:sz w:val="17"/>
          <w:szCs w:val="17"/>
          <w:color w:val="auto"/>
        </w:rPr>
        <w:t>John W. Mollard, Vice President and Treasurer, served as Acting Chief Financial Officer from August 3, 2021 until Jesus Malave was appointed as Chief Financial Officer on January 31, 2022;</w:t>
      </w:r>
    </w:p>
    <w:p>
      <w:pPr>
        <w:spacing w:after="0" w:line="91" w:lineRule="exact"/>
        <w:rPr>
          <w:rFonts w:ascii="Arial" w:cs="Arial" w:eastAsia="Arial" w:hAnsi="Arial"/>
          <w:sz w:val="17"/>
          <w:szCs w:val="17"/>
          <w:color w:val="auto"/>
        </w:rPr>
      </w:pPr>
    </w:p>
    <w:p>
      <w:pPr>
        <w:ind w:left="240" w:right="260" w:hanging="152"/>
        <w:spacing w:after="0" w:line="274" w:lineRule="auto"/>
        <w:tabs>
          <w:tab w:leader="none" w:pos="205" w:val="left"/>
        </w:tabs>
        <w:numPr>
          <w:ilvl w:val="0"/>
          <w:numId w:val="63"/>
        </w:numPr>
        <w:rPr>
          <w:rFonts w:ascii="Arial" w:cs="Arial" w:eastAsia="Arial" w:hAnsi="Arial"/>
          <w:sz w:val="17"/>
          <w:szCs w:val="17"/>
          <w:color w:val="003478"/>
        </w:rPr>
      </w:pPr>
      <w:r>
        <w:rPr>
          <w:rFonts w:ascii="Arial" w:cs="Arial" w:eastAsia="Arial" w:hAnsi="Arial"/>
          <w:sz w:val="17"/>
          <w:szCs w:val="17"/>
          <w:color w:val="auto"/>
        </w:rPr>
        <w:t>Richard F. Ambrose transitioned to an advisory role effective January 1, 2022 after serving as Executive Vice President, Space, since April 2013, and retired March 1, 2022. Robert M. Lightfoot, Jr., succeeded Mr. Ambrose effective January 1, 2022; and</w:t>
      </w:r>
    </w:p>
    <w:p>
      <w:pPr>
        <w:spacing w:after="0" w:line="91" w:lineRule="exact"/>
        <w:rPr>
          <w:rFonts w:ascii="Arial" w:cs="Arial" w:eastAsia="Arial" w:hAnsi="Arial"/>
          <w:sz w:val="17"/>
          <w:szCs w:val="17"/>
          <w:color w:val="003478"/>
        </w:rPr>
      </w:pPr>
    </w:p>
    <w:p>
      <w:pPr>
        <w:ind w:left="240" w:right="400" w:hanging="152"/>
        <w:spacing w:after="0" w:line="274" w:lineRule="auto"/>
        <w:tabs>
          <w:tab w:leader="none" w:pos="205" w:val="left"/>
        </w:tabs>
        <w:numPr>
          <w:ilvl w:val="0"/>
          <w:numId w:val="63"/>
        </w:numPr>
        <w:rPr>
          <w:rFonts w:ascii="Arial" w:cs="Arial" w:eastAsia="Arial" w:hAnsi="Arial"/>
          <w:sz w:val="17"/>
          <w:szCs w:val="17"/>
          <w:color w:val="003478"/>
        </w:rPr>
      </w:pPr>
      <w:r>
        <w:rPr>
          <w:rFonts w:ascii="Arial" w:cs="Arial" w:eastAsia="Arial" w:hAnsi="Arial"/>
          <w:sz w:val="17"/>
          <w:szCs w:val="17"/>
          <w:color w:val="auto"/>
        </w:rPr>
        <w:t>Marillyn A. Hewson served as Executive Chairman from June 15, 2020 to March 1, 2021 and Strategic Advisor to the CEO from March 1, 2021 through February 28, 2022.</w:t>
      </w:r>
    </w:p>
    <w:p>
      <w:pPr>
        <w:spacing w:after="0" w:line="164" w:lineRule="exact"/>
        <w:rPr>
          <w:sz w:val="20"/>
          <w:szCs w:val="20"/>
          <w:color w:val="auto"/>
        </w:rPr>
      </w:pPr>
    </w:p>
    <w:tbl>
      <w:tblPr>
        <w:tblLayout w:type="fixed"/>
        <w:tblInd w:w="160" w:type="dxa"/>
        <w:tblCellMar>
          <w:top w:w="0" w:type="dxa"/>
          <w:left w:w="0" w:type="dxa"/>
          <w:bottom w:w="0" w:type="dxa"/>
          <w:right w:w="0" w:type="dxa"/>
        </w:tblCellMar>
      </w:tblPr>
      <w:tr>
        <w:trPr>
          <w:trHeight w:val="169"/>
        </w:trPr>
        <w:tc>
          <w:tcPr>
            <w:tcW w:w="2460" w:type="dxa"/>
            <w:vAlign w:val="bottom"/>
            <w:shd w:val="clear" w:color="auto" w:fill="E4E6EF"/>
          </w:tcPr>
          <w:p>
            <w:pPr>
              <w:spacing w:after="0"/>
              <w:rPr>
                <w:sz w:val="14"/>
                <w:szCs w:val="14"/>
                <w:color w:val="auto"/>
              </w:rPr>
            </w:pPr>
          </w:p>
        </w:tc>
        <w:tc>
          <w:tcPr>
            <w:tcW w:w="5040" w:type="dxa"/>
            <w:vAlign w:val="bottom"/>
            <w:shd w:val="clear" w:color="auto" w:fill="E4E6EF"/>
          </w:tcPr>
          <w:p>
            <w:pPr>
              <w:spacing w:after="0"/>
              <w:rPr>
                <w:sz w:val="14"/>
                <w:szCs w:val="14"/>
                <w:color w:val="auto"/>
              </w:rPr>
            </w:pPr>
          </w:p>
        </w:tc>
        <w:tc>
          <w:tcPr>
            <w:tcW w:w="3680" w:type="dxa"/>
            <w:vAlign w:val="bottom"/>
            <w:shd w:val="clear" w:color="auto" w:fill="E4E6EF"/>
          </w:tcPr>
          <w:p>
            <w:pPr>
              <w:jc w:val="right"/>
              <w:spacing w:after="0"/>
              <w:rPr>
                <w:sz w:val="20"/>
                <w:szCs w:val="20"/>
                <w:color w:val="auto"/>
              </w:rPr>
            </w:pPr>
            <w:r>
              <w:rPr>
                <w:rFonts w:ascii="Arial" w:cs="Arial" w:eastAsia="Arial" w:hAnsi="Arial"/>
                <w:sz w:val="13"/>
                <w:szCs w:val="13"/>
                <w:color w:val="auto"/>
              </w:rPr>
              <w:t>Years of Service</w:t>
            </w:r>
          </w:p>
        </w:tc>
      </w:tr>
      <w:tr>
        <w:trPr>
          <w:trHeight w:val="148"/>
        </w:trPr>
        <w:tc>
          <w:tcPr>
            <w:tcW w:w="2460" w:type="dxa"/>
            <w:vAlign w:val="bottom"/>
            <w:shd w:val="clear" w:color="auto" w:fill="E4E6EF"/>
          </w:tcPr>
          <w:p>
            <w:pPr>
              <w:spacing w:after="0"/>
              <w:rPr>
                <w:sz w:val="12"/>
                <w:szCs w:val="12"/>
                <w:color w:val="auto"/>
              </w:rPr>
            </w:pPr>
          </w:p>
        </w:tc>
        <w:tc>
          <w:tcPr>
            <w:tcW w:w="5040" w:type="dxa"/>
            <w:vAlign w:val="bottom"/>
            <w:shd w:val="clear" w:color="auto" w:fill="E4E6EF"/>
          </w:tcPr>
          <w:p>
            <w:pPr>
              <w:spacing w:after="0"/>
              <w:rPr>
                <w:sz w:val="12"/>
                <w:szCs w:val="12"/>
                <w:color w:val="auto"/>
              </w:rPr>
            </w:pPr>
          </w:p>
        </w:tc>
        <w:tc>
          <w:tcPr>
            <w:tcW w:w="3680" w:type="dxa"/>
            <w:vAlign w:val="bottom"/>
            <w:shd w:val="clear" w:color="auto" w:fill="E4E6EF"/>
          </w:tcPr>
          <w:p>
            <w:pPr>
              <w:jc w:val="right"/>
              <w:spacing w:after="0" w:line="148" w:lineRule="exact"/>
              <w:rPr>
                <w:sz w:val="20"/>
                <w:szCs w:val="20"/>
                <w:color w:val="auto"/>
              </w:rPr>
            </w:pPr>
            <w:r>
              <w:rPr>
                <w:rFonts w:ascii="Arial" w:cs="Arial" w:eastAsia="Arial" w:hAnsi="Arial"/>
                <w:sz w:val="13"/>
                <w:szCs w:val="13"/>
                <w:color w:val="auto"/>
              </w:rPr>
              <w:t>At End of 202</w:t>
            </w:r>
          </w:p>
        </w:tc>
      </w:tr>
      <w:tr>
        <w:trPr>
          <w:trHeight w:val="186"/>
        </w:trPr>
        <w:tc>
          <w:tcPr>
            <w:tcW w:w="2460" w:type="dxa"/>
            <w:vAlign w:val="bottom"/>
            <w:tcBorders>
              <w:bottom w:val="single" w:sz="8" w:color="E4E6EF"/>
            </w:tcBorders>
            <w:shd w:val="clear" w:color="auto" w:fill="E4E6EF"/>
          </w:tcPr>
          <w:p>
            <w:pPr>
              <w:ind w:left="180"/>
              <w:spacing w:after="0"/>
              <w:rPr>
                <w:sz w:val="20"/>
                <w:szCs w:val="20"/>
                <w:color w:val="auto"/>
              </w:rPr>
            </w:pPr>
            <w:r>
              <w:rPr>
                <w:rFonts w:ascii="Arial" w:cs="Arial" w:eastAsia="Arial" w:hAnsi="Arial"/>
                <w:sz w:val="13"/>
                <w:szCs w:val="13"/>
                <w:color w:val="auto"/>
              </w:rPr>
              <w:t>NEO</w:t>
            </w:r>
          </w:p>
        </w:tc>
        <w:tc>
          <w:tcPr>
            <w:tcW w:w="5040" w:type="dxa"/>
            <w:vAlign w:val="bottom"/>
            <w:tcBorders>
              <w:bottom w:val="single" w:sz="8" w:color="E4E6EF"/>
            </w:tcBorders>
            <w:shd w:val="clear" w:color="auto" w:fill="E4E6EF"/>
          </w:tcPr>
          <w:p>
            <w:pPr>
              <w:ind w:left="640"/>
              <w:spacing w:after="0"/>
              <w:rPr>
                <w:sz w:val="20"/>
                <w:szCs w:val="20"/>
                <w:color w:val="auto"/>
              </w:rPr>
            </w:pPr>
            <w:r>
              <w:rPr>
                <w:rFonts w:ascii="Arial" w:cs="Arial" w:eastAsia="Arial" w:hAnsi="Arial"/>
                <w:sz w:val="13"/>
                <w:szCs w:val="13"/>
                <w:color w:val="auto"/>
              </w:rPr>
              <w:t>Title</w:t>
            </w:r>
          </w:p>
        </w:tc>
        <w:tc>
          <w:tcPr>
            <w:tcW w:w="3680" w:type="dxa"/>
            <w:vAlign w:val="bottom"/>
            <w:tcBorders>
              <w:bottom w:val="single" w:sz="8" w:color="E4E6EF"/>
            </w:tcBorders>
            <w:shd w:val="clear" w:color="auto" w:fill="E4E6EF"/>
          </w:tcPr>
          <w:p>
            <w:pPr>
              <w:jc w:val="right"/>
              <w:spacing w:after="0"/>
              <w:rPr>
                <w:sz w:val="20"/>
                <w:szCs w:val="20"/>
                <w:color w:val="auto"/>
              </w:rPr>
            </w:pPr>
            <w:r>
              <w:rPr>
                <w:rFonts w:ascii="Arial" w:cs="Arial" w:eastAsia="Arial" w:hAnsi="Arial"/>
                <w:sz w:val="13"/>
                <w:szCs w:val="13"/>
                <w:color w:val="auto"/>
              </w:rPr>
              <w:t>(rounded</w:t>
            </w:r>
          </w:p>
        </w:tc>
      </w:tr>
      <w:tr>
        <w:trPr>
          <w:trHeight w:val="182"/>
        </w:trPr>
        <w:tc>
          <w:tcPr>
            <w:tcW w:w="2460" w:type="dxa"/>
            <w:vAlign w:val="bottom"/>
            <w:tcBorders>
              <w:top w:val="single" w:sz="8" w:color="003478"/>
              <w:bottom w:val="single" w:sz="8" w:color="959595"/>
            </w:tcBorders>
          </w:tcPr>
          <w:p>
            <w:pPr>
              <w:ind w:left="180"/>
              <w:spacing w:after="0"/>
              <w:rPr>
                <w:sz w:val="20"/>
                <w:szCs w:val="20"/>
                <w:color w:val="auto"/>
              </w:rPr>
            </w:pPr>
            <w:r>
              <w:rPr>
                <w:rFonts w:ascii="Arial" w:cs="Arial" w:eastAsia="Arial" w:hAnsi="Arial"/>
                <w:sz w:val="14"/>
                <w:szCs w:val="14"/>
                <w:b w:val="1"/>
                <w:bCs w:val="1"/>
                <w:color w:val="003478"/>
              </w:rPr>
              <w:t>James D. Taiclet</w:t>
            </w:r>
          </w:p>
        </w:tc>
        <w:tc>
          <w:tcPr>
            <w:tcW w:w="5040" w:type="dxa"/>
            <w:vAlign w:val="bottom"/>
            <w:tcBorders>
              <w:top w:val="single" w:sz="8" w:color="003478"/>
              <w:bottom w:val="single" w:sz="8" w:color="959595"/>
            </w:tcBorders>
          </w:tcPr>
          <w:p>
            <w:pPr>
              <w:ind w:left="640"/>
              <w:spacing w:after="0"/>
              <w:rPr>
                <w:sz w:val="20"/>
                <w:szCs w:val="20"/>
                <w:color w:val="auto"/>
              </w:rPr>
            </w:pPr>
            <w:r>
              <w:rPr>
                <w:rFonts w:ascii="Arial" w:cs="Arial" w:eastAsia="Arial" w:hAnsi="Arial"/>
                <w:sz w:val="14"/>
                <w:szCs w:val="14"/>
                <w:color w:val="auto"/>
              </w:rPr>
              <w:t>Chairman, President and Chief Executive Officer</w:t>
            </w:r>
          </w:p>
        </w:tc>
        <w:tc>
          <w:tcPr>
            <w:tcW w:w="3680" w:type="dxa"/>
            <w:vAlign w:val="bottom"/>
            <w:tcBorders>
              <w:top w:val="single" w:sz="8" w:color="003478"/>
              <w:bottom w:val="single" w:sz="8" w:color="959595"/>
            </w:tcBorders>
          </w:tcPr>
          <w:p>
            <w:pPr>
              <w:jc w:val="right"/>
              <w:spacing w:after="0"/>
              <w:rPr>
                <w:sz w:val="20"/>
                <w:szCs w:val="20"/>
                <w:color w:val="auto"/>
              </w:rPr>
            </w:pPr>
            <w:r>
              <w:rPr>
                <w:rFonts w:ascii="Arial" w:cs="Arial" w:eastAsia="Arial" w:hAnsi="Arial"/>
                <w:sz w:val="14"/>
                <w:szCs w:val="14"/>
                <w:color w:val="auto"/>
              </w:rPr>
              <w:t>2 year</w:t>
            </w:r>
          </w:p>
        </w:tc>
      </w:tr>
      <w:tr>
        <w:trPr>
          <w:trHeight w:val="182"/>
        </w:trPr>
        <w:tc>
          <w:tcPr>
            <w:tcW w:w="2460" w:type="dxa"/>
            <w:vAlign w:val="bottom"/>
            <w:tcBorders>
              <w:bottom w:val="single" w:sz="8" w:color="959595"/>
            </w:tcBorders>
          </w:tcPr>
          <w:p>
            <w:pPr>
              <w:ind w:left="180"/>
              <w:spacing w:after="0"/>
              <w:rPr>
                <w:sz w:val="20"/>
                <w:szCs w:val="20"/>
                <w:color w:val="auto"/>
              </w:rPr>
            </w:pPr>
            <w:r>
              <w:rPr>
                <w:rFonts w:ascii="Arial" w:cs="Arial" w:eastAsia="Arial" w:hAnsi="Arial"/>
                <w:sz w:val="14"/>
                <w:szCs w:val="14"/>
                <w:b w:val="1"/>
                <w:bCs w:val="1"/>
                <w:color w:val="003478"/>
              </w:rPr>
              <w:t>John W. Mollard</w:t>
            </w:r>
          </w:p>
        </w:tc>
        <w:tc>
          <w:tcPr>
            <w:tcW w:w="5040" w:type="dxa"/>
            <w:vAlign w:val="bottom"/>
            <w:tcBorders>
              <w:bottom w:val="single" w:sz="8" w:color="959595"/>
            </w:tcBorders>
          </w:tcPr>
          <w:p>
            <w:pPr>
              <w:ind w:left="640"/>
              <w:spacing w:after="0"/>
              <w:rPr>
                <w:sz w:val="20"/>
                <w:szCs w:val="20"/>
                <w:color w:val="auto"/>
              </w:rPr>
            </w:pPr>
            <w:r>
              <w:rPr>
                <w:rFonts w:ascii="Arial" w:cs="Arial" w:eastAsia="Arial" w:hAnsi="Arial"/>
                <w:sz w:val="14"/>
                <w:szCs w:val="14"/>
                <w:color w:val="auto"/>
              </w:rPr>
              <w:t>Vice President and Treasurer; Former Acting Chief Financial Officer</w:t>
            </w:r>
          </w:p>
        </w:tc>
        <w:tc>
          <w:tcPr>
            <w:tcW w:w="3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39 year</w:t>
            </w:r>
          </w:p>
        </w:tc>
      </w:tr>
      <w:tr>
        <w:trPr>
          <w:trHeight w:val="182"/>
        </w:trPr>
        <w:tc>
          <w:tcPr>
            <w:tcW w:w="2460" w:type="dxa"/>
            <w:vAlign w:val="bottom"/>
            <w:tcBorders>
              <w:bottom w:val="single" w:sz="8" w:color="9D9D9C"/>
            </w:tcBorders>
          </w:tcPr>
          <w:p>
            <w:pPr>
              <w:ind w:left="180"/>
              <w:spacing w:after="0"/>
              <w:rPr>
                <w:sz w:val="20"/>
                <w:szCs w:val="20"/>
                <w:color w:val="auto"/>
              </w:rPr>
            </w:pPr>
            <w:r>
              <w:rPr>
                <w:rFonts w:ascii="Arial" w:cs="Arial" w:eastAsia="Arial" w:hAnsi="Arial"/>
                <w:sz w:val="14"/>
                <w:szCs w:val="14"/>
                <w:b w:val="1"/>
                <w:bCs w:val="1"/>
                <w:color w:val="003478"/>
              </w:rPr>
              <w:t>Kenneth R. Possenriede</w:t>
            </w:r>
          </w:p>
        </w:tc>
        <w:tc>
          <w:tcPr>
            <w:tcW w:w="5040" w:type="dxa"/>
            <w:vAlign w:val="bottom"/>
            <w:tcBorders>
              <w:bottom w:val="single" w:sz="8" w:color="9D9D9C"/>
            </w:tcBorders>
          </w:tcPr>
          <w:p>
            <w:pPr>
              <w:ind w:left="640"/>
              <w:spacing w:after="0"/>
              <w:rPr>
                <w:sz w:val="20"/>
                <w:szCs w:val="20"/>
                <w:color w:val="auto"/>
              </w:rPr>
            </w:pPr>
            <w:r>
              <w:rPr>
                <w:rFonts w:ascii="Arial" w:cs="Arial" w:eastAsia="Arial" w:hAnsi="Arial"/>
                <w:sz w:val="14"/>
                <w:szCs w:val="14"/>
                <w:color w:val="auto"/>
              </w:rPr>
              <w:t>Former Chief Financial Officer</w:t>
            </w:r>
          </w:p>
        </w:tc>
        <w:tc>
          <w:tcPr>
            <w:tcW w:w="3680" w:type="dxa"/>
            <w:vAlign w:val="bottom"/>
            <w:tcBorders>
              <w:bottom w:val="single" w:sz="8" w:color="9D9D9C"/>
            </w:tcBorders>
          </w:tcPr>
          <w:p>
            <w:pPr>
              <w:spacing w:after="0"/>
              <w:rPr>
                <w:sz w:val="15"/>
                <w:szCs w:val="15"/>
                <w:color w:val="auto"/>
              </w:rPr>
            </w:pPr>
          </w:p>
        </w:tc>
      </w:tr>
      <w:tr>
        <w:trPr>
          <w:trHeight w:val="182"/>
        </w:trPr>
        <w:tc>
          <w:tcPr>
            <w:tcW w:w="2460" w:type="dxa"/>
            <w:vAlign w:val="bottom"/>
            <w:tcBorders>
              <w:bottom w:val="single" w:sz="8" w:color="9D9D9C"/>
            </w:tcBorders>
          </w:tcPr>
          <w:p>
            <w:pPr>
              <w:ind w:left="180"/>
              <w:spacing w:after="0"/>
              <w:rPr>
                <w:sz w:val="20"/>
                <w:szCs w:val="20"/>
                <w:color w:val="auto"/>
              </w:rPr>
            </w:pPr>
            <w:r>
              <w:rPr>
                <w:rFonts w:ascii="Arial" w:cs="Arial" w:eastAsia="Arial" w:hAnsi="Arial"/>
                <w:sz w:val="14"/>
                <w:szCs w:val="14"/>
                <w:b w:val="1"/>
                <w:bCs w:val="1"/>
                <w:color w:val="003478"/>
              </w:rPr>
              <w:t>Frank A. St. John</w:t>
            </w:r>
          </w:p>
        </w:tc>
        <w:tc>
          <w:tcPr>
            <w:tcW w:w="5040" w:type="dxa"/>
            <w:vAlign w:val="bottom"/>
            <w:tcBorders>
              <w:bottom w:val="single" w:sz="8" w:color="9D9D9C"/>
            </w:tcBorders>
          </w:tcPr>
          <w:p>
            <w:pPr>
              <w:ind w:left="640"/>
              <w:spacing w:after="0"/>
              <w:rPr>
                <w:sz w:val="20"/>
                <w:szCs w:val="20"/>
                <w:color w:val="auto"/>
              </w:rPr>
            </w:pPr>
            <w:r>
              <w:rPr>
                <w:rFonts w:ascii="Arial" w:cs="Arial" w:eastAsia="Arial" w:hAnsi="Arial"/>
                <w:sz w:val="14"/>
                <w:szCs w:val="14"/>
                <w:color w:val="auto"/>
              </w:rPr>
              <w:t>Chief Operating Officer</w:t>
            </w:r>
          </w:p>
        </w:tc>
        <w:tc>
          <w:tcPr>
            <w:tcW w:w="368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35 year</w:t>
            </w:r>
          </w:p>
        </w:tc>
      </w:tr>
      <w:tr>
        <w:trPr>
          <w:trHeight w:val="182"/>
        </w:trPr>
        <w:tc>
          <w:tcPr>
            <w:tcW w:w="2460" w:type="dxa"/>
            <w:vAlign w:val="bottom"/>
            <w:tcBorders>
              <w:bottom w:val="single" w:sz="8" w:color="959595"/>
            </w:tcBorders>
          </w:tcPr>
          <w:p>
            <w:pPr>
              <w:ind w:left="180"/>
              <w:spacing w:after="0"/>
              <w:rPr>
                <w:sz w:val="20"/>
                <w:szCs w:val="20"/>
                <w:color w:val="auto"/>
              </w:rPr>
            </w:pPr>
            <w:r>
              <w:rPr>
                <w:rFonts w:ascii="Arial" w:cs="Arial" w:eastAsia="Arial" w:hAnsi="Arial"/>
                <w:sz w:val="14"/>
                <w:szCs w:val="14"/>
                <w:b w:val="1"/>
                <w:bCs w:val="1"/>
                <w:color w:val="003478"/>
              </w:rPr>
              <w:t>Richard F. Ambrose</w:t>
            </w:r>
          </w:p>
        </w:tc>
        <w:tc>
          <w:tcPr>
            <w:tcW w:w="5040" w:type="dxa"/>
            <w:vAlign w:val="bottom"/>
            <w:tcBorders>
              <w:bottom w:val="single" w:sz="8" w:color="959595"/>
            </w:tcBorders>
          </w:tcPr>
          <w:p>
            <w:pPr>
              <w:ind w:left="640"/>
              <w:spacing w:after="0"/>
              <w:rPr>
                <w:sz w:val="20"/>
                <w:szCs w:val="20"/>
                <w:color w:val="auto"/>
              </w:rPr>
            </w:pPr>
            <w:r>
              <w:rPr>
                <w:rFonts w:ascii="Arial" w:cs="Arial" w:eastAsia="Arial" w:hAnsi="Arial"/>
                <w:sz w:val="14"/>
                <w:szCs w:val="14"/>
                <w:color w:val="auto"/>
              </w:rPr>
              <w:t>Former Executive Vice President, Space</w:t>
            </w:r>
          </w:p>
        </w:tc>
        <w:tc>
          <w:tcPr>
            <w:tcW w:w="368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21 year</w:t>
            </w:r>
          </w:p>
        </w:tc>
      </w:tr>
      <w:tr>
        <w:trPr>
          <w:trHeight w:val="182"/>
        </w:trPr>
        <w:tc>
          <w:tcPr>
            <w:tcW w:w="2460" w:type="dxa"/>
            <w:vAlign w:val="bottom"/>
            <w:tcBorders>
              <w:bottom w:val="single" w:sz="8" w:color="959595"/>
            </w:tcBorders>
          </w:tcPr>
          <w:p>
            <w:pPr>
              <w:ind w:left="180"/>
              <w:spacing w:after="0"/>
              <w:rPr>
                <w:sz w:val="20"/>
                <w:szCs w:val="20"/>
                <w:color w:val="auto"/>
              </w:rPr>
            </w:pPr>
            <w:r>
              <w:rPr>
                <w:rFonts w:ascii="Arial" w:cs="Arial" w:eastAsia="Arial" w:hAnsi="Arial"/>
                <w:sz w:val="14"/>
                <w:szCs w:val="14"/>
                <w:b w:val="1"/>
                <w:bCs w:val="1"/>
                <w:color w:val="003478"/>
              </w:rPr>
              <w:t>Stephanie C. Hill</w:t>
            </w:r>
          </w:p>
        </w:tc>
        <w:tc>
          <w:tcPr>
            <w:tcW w:w="5040" w:type="dxa"/>
            <w:vAlign w:val="bottom"/>
            <w:tcBorders>
              <w:bottom w:val="single" w:sz="8" w:color="959595"/>
            </w:tcBorders>
          </w:tcPr>
          <w:p>
            <w:pPr>
              <w:ind w:left="640"/>
              <w:spacing w:after="0"/>
              <w:rPr>
                <w:sz w:val="20"/>
                <w:szCs w:val="20"/>
                <w:color w:val="auto"/>
              </w:rPr>
            </w:pPr>
            <w:r>
              <w:rPr>
                <w:rFonts w:ascii="Arial" w:cs="Arial" w:eastAsia="Arial" w:hAnsi="Arial"/>
                <w:sz w:val="14"/>
                <w:szCs w:val="14"/>
                <w:color w:val="auto"/>
              </w:rPr>
              <w:t>Executive Vice President, Rotary &amp; Mission Systems</w:t>
            </w:r>
          </w:p>
        </w:tc>
        <w:tc>
          <w:tcPr>
            <w:tcW w:w="368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35 year</w:t>
            </w:r>
          </w:p>
        </w:tc>
      </w:tr>
      <w:tr>
        <w:trPr>
          <w:trHeight w:val="182"/>
        </w:trPr>
        <w:tc>
          <w:tcPr>
            <w:tcW w:w="2460" w:type="dxa"/>
            <w:vAlign w:val="bottom"/>
            <w:tcBorders>
              <w:bottom w:val="single" w:sz="8" w:color="959595"/>
            </w:tcBorders>
          </w:tcPr>
          <w:p>
            <w:pPr>
              <w:ind w:left="180"/>
              <w:spacing w:after="0"/>
              <w:rPr>
                <w:sz w:val="20"/>
                <w:szCs w:val="20"/>
                <w:color w:val="auto"/>
              </w:rPr>
            </w:pPr>
            <w:r>
              <w:rPr>
                <w:rFonts w:ascii="Arial" w:cs="Arial" w:eastAsia="Arial" w:hAnsi="Arial"/>
                <w:sz w:val="14"/>
                <w:szCs w:val="14"/>
                <w:b w:val="1"/>
                <w:bCs w:val="1"/>
                <w:color w:val="003478"/>
              </w:rPr>
              <w:t>Marillyn A. Hewson</w:t>
            </w:r>
          </w:p>
        </w:tc>
        <w:tc>
          <w:tcPr>
            <w:tcW w:w="5040" w:type="dxa"/>
            <w:vAlign w:val="bottom"/>
            <w:tcBorders>
              <w:bottom w:val="single" w:sz="8" w:color="959595"/>
            </w:tcBorders>
          </w:tcPr>
          <w:p>
            <w:pPr>
              <w:ind w:left="640"/>
              <w:spacing w:after="0"/>
              <w:rPr>
                <w:sz w:val="20"/>
                <w:szCs w:val="20"/>
                <w:color w:val="auto"/>
              </w:rPr>
            </w:pPr>
            <w:r>
              <w:rPr>
                <w:rFonts w:ascii="Arial" w:cs="Arial" w:eastAsia="Arial" w:hAnsi="Arial"/>
                <w:sz w:val="14"/>
                <w:szCs w:val="14"/>
                <w:color w:val="auto"/>
              </w:rPr>
              <w:t>Former Executive Chairman; Former President and CEO</w:t>
            </w:r>
          </w:p>
        </w:tc>
        <w:tc>
          <w:tcPr>
            <w:tcW w:w="36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39 year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179070</wp:posOffset>
            </wp:positionV>
            <wp:extent cx="7132955" cy="14592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955" cy="1459230"/>
                    </a:xfrm>
                    <a:prstGeom prst="rect">
                      <a:avLst/>
                    </a:prstGeom>
                    <a:noFill/>
                  </pic:spPr>
                </pic:pic>
              </a:graphicData>
            </a:graphic>
          </wp:anchor>
        </w:drawing>
      </w:r>
    </w:p>
    <w:p>
      <w:pPr>
        <w:sectPr>
          <w:pgSz w:w="11900" w:h="16838" w:orient="portrait"/>
          <w:cols w:equalWidth="0" w:num="1">
            <w:col w:w="11340"/>
          </w:cols>
          <w:pgMar w:left="320" w:top="254" w:right="23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100" w:right="440"/>
        <w:spacing w:after="0" w:line="266" w:lineRule="auto"/>
        <w:rPr>
          <w:sz w:val="20"/>
          <w:szCs w:val="20"/>
          <w:color w:val="auto"/>
        </w:rPr>
      </w:pPr>
      <w:r>
        <w:rPr>
          <w:rFonts w:ascii="Arial" w:cs="Arial" w:eastAsia="Arial" w:hAnsi="Arial"/>
          <w:sz w:val="17"/>
          <w:szCs w:val="17"/>
          <w:color w:val="auto"/>
        </w:rPr>
        <w:t>To assist stockholders in finding important information in the CD&amp;A, sections are highlighted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1235710</wp:posOffset>
            </wp:positionV>
            <wp:extent cx="963930" cy="2216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Page(s)</w:t>
      </w:r>
    </w:p>
    <w:p>
      <w:pPr>
        <w:spacing w:after="0" w:line="20" w:lineRule="exact"/>
        <w:rPr>
          <w:sz w:val="20"/>
          <w:szCs w:val="20"/>
          <w:color w:val="auto"/>
        </w:rPr>
      </w:pPr>
    </w:p>
    <w:p>
      <w:pPr>
        <w:ind w:left="980" w:hanging="767"/>
        <w:spacing w:after="0"/>
        <w:tabs>
          <w:tab w:leader="none" w:pos="980" w:val="left"/>
        </w:tabs>
        <w:numPr>
          <w:ilvl w:val="0"/>
          <w:numId w:val="64"/>
        </w:numPr>
        <w:rPr>
          <w:rFonts w:ascii="Arial" w:cs="Arial" w:eastAsia="Arial" w:hAnsi="Arial"/>
          <w:sz w:val="17"/>
          <w:szCs w:val="17"/>
          <w:b w:val="1"/>
          <w:bCs w:val="1"/>
          <w:color w:val="auto"/>
        </w:rPr>
      </w:pPr>
      <w:r>
        <w:rPr>
          <w:rFonts w:ascii="Arial" w:cs="Arial" w:eastAsia="Arial" w:hAnsi="Arial"/>
          <w:sz w:val="17"/>
          <w:szCs w:val="17"/>
          <w:color w:val="auto"/>
        </w:rPr>
        <w:t>Our 2021 Performance</w:t>
      </w:r>
    </w:p>
    <w:p>
      <w:pPr>
        <w:spacing w:after="0" w:line="19" w:lineRule="exact"/>
        <w:rPr>
          <w:rFonts w:ascii="Arial" w:cs="Arial" w:eastAsia="Arial" w:hAnsi="Arial"/>
          <w:sz w:val="17"/>
          <w:szCs w:val="17"/>
          <w:b w:val="1"/>
          <w:bCs w:val="1"/>
          <w:color w:val="auto"/>
        </w:rPr>
      </w:pPr>
    </w:p>
    <w:p>
      <w:pPr>
        <w:ind w:left="980" w:hanging="767"/>
        <w:spacing w:after="0"/>
        <w:tabs>
          <w:tab w:leader="none" w:pos="980" w:val="left"/>
        </w:tabs>
        <w:numPr>
          <w:ilvl w:val="0"/>
          <w:numId w:val="64"/>
        </w:numPr>
        <w:rPr>
          <w:rFonts w:ascii="Arial" w:cs="Arial" w:eastAsia="Arial" w:hAnsi="Arial"/>
          <w:sz w:val="17"/>
          <w:szCs w:val="17"/>
          <w:b w:val="1"/>
          <w:bCs w:val="1"/>
          <w:color w:val="auto"/>
        </w:rPr>
      </w:pPr>
      <w:r>
        <w:rPr>
          <w:rFonts w:ascii="Arial" w:cs="Arial" w:eastAsia="Arial" w:hAnsi="Arial"/>
          <w:sz w:val="17"/>
          <w:szCs w:val="17"/>
          <w:color w:val="auto"/>
        </w:rPr>
        <w:t>2021 CEO Compensation</w:t>
      </w:r>
    </w:p>
    <w:p>
      <w:pPr>
        <w:spacing w:after="0" w:line="20" w:lineRule="exact"/>
        <w:rPr>
          <w:sz w:val="20"/>
          <w:szCs w:val="20"/>
          <w:color w:val="auto"/>
        </w:rPr>
      </w:pPr>
    </w:p>
    <w:p>
      <w:pPr>
        <w:ind w:left="980" w:hanging="767"/>
        <w:spacing w:after="0"/>
        <w:tabs>
          <w:tab w:leader="none" w:pos="980" w:val="left"/>
        </w:tabs>
        <w:numPr>
          <w:ilvl w:val="0"/>
          <w:numId w:val="65"/>
        </w:numPr>
        <w:rPr>
          <w:rFonts w:ascii="Arial" w:cs="Arial" w:eastAsia="Arial" w:hAnsi="Arial"/>
          <w:sz w:val="17"/>
          <w:szCs w:val="17"/>
          <w:b w:val="1"/>
          <w:bCs w:val="1"/>
          <w:color w:val="auto"/>
        </w:rPr>
      </w:pPr>
      <w:r>
        <w:rPr>
          <w:rFonts w:ascii="Arial" w:cs="Arial" w:eastAsia="Arial" w:hAnsi="Arial"/>
          <w:sz w:val="17"/>
          <w:szCs w:val="17"/>
          <w:color w:val="auto"/>
        </w:rPr>
        <w:t>2021 Comparator Group Companies</w:t>
      </w:r>
    </w:p>
    <w:p>
      <w:pPr>
        <w:spacing w:after="0" w:line="19" w:lineRule="exact"/>
        <w:rPr>
          <w:rFonts w:ascii="Arial" w:cs="Arial" w:eastAsia="Arial" w:hAnsi="Arial"/>
          <w:sz w:val="17"/>
          <w:szCs w:val="17"/>
          <w:b w:val="1"/>
          <w:bCs w:val="1"/>
          <w:color w:val="auto"/>
        </w:rPr>
      </w:pPr>
    </w:p>
    <w:p>
      <w:pPr>
        <w:ind w:left="980" w:hanging="767"/>
        <w:spacing w:after="0"/>
        <w:tabs>
          <w:tab w:leader="none" w:pos="980" w:val="left"/>
        </w:tabs>
        <w:numPr>
          <w:ilvl w:val="0"/>
          <w:numId w:val="66"/>
        </w:numPr>
        <w:rPr>
          <w:rFonts w:ascii="Arial" w:cs="Arial" w:eastAsia="Arial" w:hAnsi="Arial"/>
          <w:sz w:val="17"/>
          <w:szCs w:val="17"/>
          <w:b w:val="1"/>
          <w:bCs w:val="1"/>
          <w:color w:val="auto"/>
        </w:rPr>
      </w:pPr>
      <w:r>
        <w:rPr>
          <w:rFonts w:ascii="Arial" w:cs="Arial" w:eastAsia="Arial" w:hAnsi="Arial"/>
          <w:sz w:val="17"/>
          <w:szCs w:val="17"/>
          <w:color w:val="auto"/>
        </w:rPr>
        <w:t>2021 Compensation Elements</w:t>
      </w:r>
    </w:p>
    <w:p>
      <w:pPr>
        <w:spacing w:after="0" w:line="8" w:lineRule="exact"/>
        <w:rPr>
          <w:sz w:val="20"/>
          <w:szCs w:val="20"/>
          <w:color w:val="auto"/>
        </w:rPr>
      </w:pPr>
    </w:p>
    <w:p>
      <w:pPr>
        <w:ind w:left="80"/>
        <w:spacing w:after="0"/>
        <w:tabs>
          <w:tab w:leader="none" w:pos="960" w:val="left"/>
        </w:tabs>
        <w:rPr>
          <w:sz w:val="20"/>
          <w:szCs w:val="20"/>
          <w:color w:val="auto"/>
        </w:rPr>
      </w:pPr>
      <w:r>
        <w:rPr>
          <w:rFonts w:ascii="Arial" w:cs="Arial" w:eastAsia="Arial" w:hAnsi="Arial"/>
          <w:sz w:val="17"/>
          <w:szCs w:val="17"/>
          <w:b w:val="1"/>
          <w:bCs w:val="1"/>
          <w:color w:val="auto"/>
        </w:rPr>
        <w:t>44-46</w:t>
      </w:r>
      <w:r>
        <w:rPr>
          <w:sz w:val="20"/>
          <w:szCs w:val="20"/>
          <w:color w:val="auto"/>
        </w:rPr>
        <w:tab/>
      </w:r>
      <w:r>
        <w:rPr>
          <w:rFonts w:ascii="Arial" w:cs="Arial" w:eastAsia="Arial" w:hAnsi="Arial"/>
          <w:sz w:val="16"/>
          <w:szCs w:val="16"/>
          <w:color w:val="auto"/>
        </w:rPr>
        <w:t>2021 Annual Incentive</w:t>
      </w:r>
    </w:p>
    <w:p>
      <w:pPr>
        <w:spacing w:after="0" w:line="20" w:lineRule="exact"/>
        <w:rPr>
          <w:sz w:val="20"/>
          <w:szCs w:val="20"/>
          <w:color w:val="auto"/>
        </w:rPr>
      </w:pPr>
    </w:p>
    <w:p>
      <w:pPr>
        <w:ind w:left="80"/>
        <w:spacing w:after="0"/>
        <w:tabs>
          <w:tab w:leader="none" w:pos="960" w:val="left"/>
        </w:tabs>
        <w:rPr>
          <w:sz w:val="20"/>
          <w:szCs w:val="20"/>
          <w:color w:val="auto"/>
        </w:rPr>
      </w:pPr>
      <w:r>
        <w:rPr>
          <w:rFonts w:ascii="Arial" w:cs="Arial" w:eastAsia="Arial" w:hAnsi="Arial"/>
          <w:sz w:val="17"/>
          <w:szCs w:val="17"/>
          <w:b w:val="1"/>
          <w:bCs w:val="1"/>
          <w:color w:val="auto"/>
        </w:rPr>
        <w:t>47-50</w:t>
      </w:r>
      <w:r>
        <w:rPr>
          <w:sz w:val="20"/>
          <w:szCs w:val="20"/>
          <w:color w:val="auto"/>
        </w:rPr>
        <w:tab/>
      </w:r>
      <w:r>
        <w:rPr>
          <w:rFonts w:ascii="Arial" w:cs="Arial" w:eastAsia="Arial" w:hAnsi="Arial"/>
          <w:sz w:val="16"/>
          <w:szCs w:val="16"/>
          <w:color w:val="auto"/>
        </w:rPr>
        <w:t>2021 Long-Term Incentive Compensation</w:t>
      </w:r>
    </w:p>
    <w:p>
      <w:pPr>
        <w:spacing w:after="0" w:line="31" w:lineRule="exact"/>
        <w:rPr>
          <w:sz w:val="20"/>
          <w:szCs w:val="20"/>
          <w:color w:val="auto"/>
        </w:rPr>
      </w:pPr>
    </w:p>
    <w:p>
      <w:pPr>
        <w:ind w:left="980" w:hanging="767"/>
        <w:spacing w:after="0"/>
        <w:tabs>
          <w:tab w:leader="none" w:pos="980" w:val="left"/>
        </w:tabs>
        <w:numPr>
          <w:ilvl w:val="0"/>
          <w:numId w:val="67"/>
        </w:numPr>
        <w:rPr>
          <w:rFonts w:ascii="Arial" w:cs="Arial" w:eastAsia="Arial" w:hAnsi="Arial"/>
          <w:sz w:val="17"/>
          <w:szCs w:val="17"/>
          <w:b w:val="1"/>
          <w:bCs w:val="1"/>
          <w:color w:val="auto"/>
        </w:rPr>
      </w:pPr>
      <w:r>
        <w:rPr>
          <w:rFonts w:ascii="Arial" w:cs="Arial" w:eastAsia="Arial" w:hAnsi="Arial"/>
          <w:sz w:val="17"/>
          <w:szCs w:val="17"/>
          <w:color w:val="auto"/>
        </w:rPr>
        <w:t>2019-2021 LTIP and PSU Awards</w:t>
      </w:r>
    </w:p>
    <w:p>
      <w:pPr>
        <w:spacing w:after="0" w:line="8" w:lineRule="exact"/>
        <w:rPr>
          <w:rFonts w:ascii="Arial" w:cs="Arial" w:eastAsia="Arial" w:hAnsi="Arial"/>
          <w:sz w:val="17"/>
          <w:szCs w:val="17"/>
          <w:b w:val="1"/>
          <w:bCs w:val="1"/>
          <w:color w:val="auto"/>
        </w:rPr>
      </w:pPr>
    </w:p>
    <w:p>
      <w:pPr>
        <w:ind w:left="8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50-51</w:t>
      </w:r>
      <w:r>
        <w:rPr>
          <w:rFonts w:ascii="Arial" w:cs="Arial" w:eastAsia="Arial" w:hAnsi="Arial"/>
          <w:sz w:val="16"/>
          <w:szCs w:val="16"/>
          <w:color w:val="auto"/>
        </w:rPr>
        <w:t>2022 Incentive Opportunities</w:t>
      </w:r>
    </w:p>
    <w:p>
      <w:pPr>
        <w:spacing w:after="0" w:line="19" w:lineRule="exact"/>
        <w:rPr>
          <w:rFonts w:ascii="Arial" w:cs="Arial" w:eastAsia="Arial" w:hAnsi="Arial"/>
          <w:sz w:val="17"/>
          <w:szCs w:val="17"/>
          <w:b w:val="1"/>
          <w:bCs w:val="1"/>
          <w:color w:val="auto"/>
        </w:rPr>
      </w:pPr>
    </w:p>
    <w:p>
      <w:pPr>
        <w:ind w:left="8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51-53</w:t>
      </w:r>
      <w:r>
        <w:rPr>
          <w:rFonts w:ascii="Arial" w:cs="Arial" w:eastAsia="Arial" w:hAnsi="Arial"/>
          <w:sz w:val="16"/>
          <w:szCs w:val="16"/>
          <w:color w:val="auto"/>
        </w:rPr>
        <w:t>Other Compensation Matters</w:t>
      </w:r>
    </w:p>
    <w:p>
      <w:pPr>
        <w:spacing w:after="0" w:line="200" w:lineRule="exact"/>
        <w:rPr>
          <w:sz w:val="20"/>
          <w:szCs w:val="20"/>
          <w:color w:val="auto"/>
        </w:rPr>
      </w:pPr>
    </w:p>
    <w:p>
      <w:pPr>
        <w:sectPr>
          <w:pgSz w:w="11900" w:h="16838" w:orient="portrait"/>
          <w:cols w:equalWidth="0" w:num="2">
            <w:col w:w="2420" w:space="720"/>
            <w:col w:w="8200"/>
          </w:cols>
          <w:pgMar w:left="320" w:top="25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37</w:t>
      </w:r>
    </w:p>
    <w:p>
      <w:pPr>
        <w:sectPr>
          <w:pgSz w:w="11900" w:h="16838" w:orient="portrait"/>
          <w:cols w:equalWidth="0" w:num="1">
            <w:col w:w="11340"/>
          </w:cols>
          <w:pgMar w:left="320" w:top="254" w:right="239" w:bottom="1440" w:gutter="0" w:footer="0" w:header="0"/>
          <w:type w:val="continuous"/>
        </w:sectPr>
      </w:pPr>
    </w:p>
    <w:bookmarkStart w:id="43" w:name="page44"/>
    <w:bookmarkEnd w:id="43"/>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5"/>
          <w:szCs w:val="25"/>
          <w:color w:val="818EB4"/>
        </w:rPr>
        <w:t>Executive Summary</w:t>
      </w: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818EB4"/>
        </w:rPr>
        <w:t>2021 Say-on-Pay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4125595</wp:posOffset>
            </wp:positionH>
            <wp:positionV relativeFrom="paragraph">
              <wp:posOffset>55245</wp:posOffset>
            </wp:positionV>
            <wp:extent cx="301180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011805" cy="8255"/>
                    </a:xfrm>
                    <a:prstGeom prst="rect">
                      <a:avLst/>
                    </a:prstGeom>
                    <a:noFill/>
                  </pic:spPr>
                </pic:pic>
              </a:graphicData>
            </a:graphic>
          </wp:anchor>
        </w:drawing>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6360" w:type="dxa"/>
            <w:vAlign w:val="bottom"/>
          </w:tcPr>
          <w:p>
            <w:pPr>
              <w:spacing w:after="0"/>
              <w:rPr>
                <w:sz w:val="20"/>
                <w:szCs w:val="20"/>
                <w:color w:val="auto"/>
              </w:rPr>
            </w:pPr>
            <w:r>
              <w:rPr>
                <w:rFonts w:ascii="Arial" w:cs="Arial" w:eastAsia="Arial" w:hAnsi="Arial"/>
                <w:sz w:val="17"/>
                <w:szCs w:val="17"/>
                <w:color w:val="auto"/>
              </w:rPr>
              <w:t>At our 2021 annual meeting, more than 92% of the votes cast by our stockholders</w:t>
            </w:r>
          </w:p>
        </w:tc>
        <w:tc>
          <w:tcPr>
            <w:tcW w:w="1500" w:type="dxa"/>
            <w:vAlign w:val="bottom"/>
          </w:tcPr>
          <w:p>
            <w:pPr>
              <w:ind w:left="140"/>
              <w:spacing w:after="0"/>
              <w:rPr>
                <w:sz w:val="20"/>
                <w:szCs w:val="20"/>
                <w:color w:val="auto"/>
              </w:rPr>
            </w:pPr>
            <w:r>
              <w:rPr>
                <w:rFonts w:ascii="Arial" w:cs="Arial" w:eastAsia="Arial" w:hAnsi="Arial"/>
                <w:sz w:val="16"/>
                <w:szCs w:val="16"/>
                <w:color w:val="003478"/>
                <w:w w:val="98"/>
              </w:rPr>
              <w:t>3-Year Say-on-Pay</w:t>
            </w:r>
          </w:p>
        </w:tc>
      </w:tr>
      <w:tr>
        <w:trPr>
          <w:trHeight w:val="188"/>
        </w:trPr>
        <w:tc>
          <w:tcPr>
            <w:tcW w:w="6360" w:type="dxa"/>
            <w:vAlign w:val="bottom"/>
          </w:tcPr>
          <w:p>
            <w:pPr>
              <w:spacing w:after="0" w:line="188" w:lineRule="exact"/>
              <w:rPr>
                <w:sz w:val="20"/>
                <w:szCs w:val="20"/>
                <w:color w:val="auto"/>
              </w:rPr>
            </w:pPr>
            <w:r>
              <w:rPr>
                <w:rFonts w:ascii="Arial" w:cs="Arial" w:eastAsia="Arial" w:hAnsi="Arial"/>
                <w:sz w:val="17"/>
                <w:szCs w:val="17"/>
                <w:color w:val="auto"/>
              </w:rPr>
              <w:t>approved our Say-on-Pay proposal. We meet with our key investors throughout the</w:t>
            </w:r>
          </w:p>
        </w:tc>
        <w:tc>
          <w:tcPr>
            <w:tcW w:w="1500" w:type="dxa"/>
            <w:vAlign w:val="bottom"/>
          </w:tcPr>
          <w:p>
            <w:pPr>
              <w:spacing w:after="0"/>
              <w:rPr>
                <w:sz w:val="16"/>
                <w:szCs w:val="16"/>
                <w:color w:val="auto"/>
              </w:rPr>
            </w:pPr>
          </w:p>
        </w:tc>
      </w:tr>
      <w:tr>
        <w:trPr>
          <w:trHeight w:val="188"/>
        </w:trPr>
        <w:tc>
          <w:tcPr>
            <w:tcW w:w="6360" w:type="dxa"/>
            <w:vAlign w:val="bottom"/>
          </w:tcPr>
          <w:p>
            <w:pPr>
              <w:spacing w:after="0" w:line="188" w:lineRule="exact"/>
              <w:rPr>
                <w:sz w:val="20"/>
                <w:szCs w:val="20"/>
                <w:color w:val="auto"/>
              </w:rPr>
            </w:pPr>
            <w:r>
              <w:rPr>
                <w:rFonts w:ascii="Arial" w:cs="Arial" w:eastAsia="Arial" w:hAnsi="Arial"/>
                <w:sz w:val="17"/>
                <w:szCs w:val="17"/>
                <w:color w:val="auto"/>
              </w:rPr>
              <w:t>year to understand the topics that matter most to them as they relate to executive</w:t>
            </w:r>
          </w:p>
        </w:tc>
        <w:tc>
          <w:tcPr>
            <w:tcW w:w="1500" w:type="dxa"/>
            <w:vAlign w:val="bottom"/>
          </w:tcPr>
          <w:p>
            <w:pPr>
              <w:spacing w:after="0"/>
              <w:rPr>
                <w:sz w:val="16"/>
                <w:szCs w:val="16"/>
                <w:color w:val="auto"/>
              </w:rPr>
            </w:pPr>
          </w:p>
        </w:tc>
      </w:tr>
      <w:tr>
        <w:trPr>
          <w:trHeight w:val="188"/>
        </w:trPr>
        <w:tc>
          <w:tcPr>
            <w:tcW w:w="6360" w:type="dxa"/>
            <w:vAlign w:val="bottom"/>
          </w:tcPr>
          <w:p>
            <w:pPr>
              <w:spacing w:after="0" w:line="188" w:lineRule="exact"/>
              <w:rPr>
                <w:sz w:val="20"/>
                <w:szCs w:val="20"/>
                <w:color w:val="auto"/>
              </w:rPr>
            </w:pPr>
            <w:r>
              <w:rPr>
                <w:rFonts w:ascii="Arial" w:cs="Arial" w:eastAsia="Arial" w:hAnsi="Arial"/>
                <w:sz w:val="17"/>
                <w:szCs w:val="17"/>
                <w:color w:val="auto"/>
              </w:rPr>
              <w:t>compensation. In these meetings, we seek the views of our stockholders with</w:t>
            </w:r>
          </w:p>
        </w:tc>
        <w:tc>
          <w:tcPr>
            <w:tcW w:w="1500" w:type="dxa"/>
            <w:vAlign w:val="bottom"/>
          </w:tcPr>
          <w:p>
            <w:pPr>
              <w:spacing w:after="0"/>
              <w:rPr>
                <w:sz w:val="16"/>
                <w:szCs w:val="16"/>
                <w:color w:val="auto"/>
              </w:rPr>
            </w:pPr>
          </w:p>
        </w:tc>
      </w:tr>
      <w:tr>
        <w:trPr>
          <w:trHeight w:val="188"/>
        </w:trPr>
        <w:tc>
          <w:tcPr>
            <w:tcW w:w="6360" w:type="dxa"/>
            <w:vAlign w:val="bottom"/>
          </w:tcPr>
          <w:p>
            <w:pPr>
              <w:spacing w:after="0" w:line="188" w:lineRule="exact"/>
              <w:rPr>
                <w:sz w:val="20"/>
                <w:szCs w:val="20"/>
                <w:color w:val="auto"/>
              </w:rPr>
            </w:pPr>
            <w:r>
              <w:rPr>
                <w:rFonts w:ascii="Arial" w:cs="Arial" w:eastAsia="Arial" w:hAnsi="Arial"/>
                <w:sz w:val="17"/>
                <w:szCs w:val="17"/>
                <w:color w:val="auto"/>
              </w:rPr>
              <w:t>respect to our existing policies and practices. (Please see “Our Stockholder</w:t>
            </w:r>
          </w:p>
        </w:tc>
        <w:tc>
          <w:tcPr>
            <w:tcW w:w="1500" w:type="dxa"/>
            <w:vAlign w:val="bottom"/>
          </w:tcPr>
          <w:p>
            <w:pPr>
              <w:spacing w:after="0"/>
              <w:rPr>
                <w:sz w:val="16"/>
                <w:szCs w:val="16"/>
                <w:color w:val="auto"/>
              </w:rPr>
            </w:pPr>
          </w:p>
        </w:tc>
      </w:tr>
      <w:tr>
        <w:trPr>
          <w:trHeight w:val="188"/>
        </w:trPr>
        <w:tc>
          <w:tcPr>
            <w:tcW w:w="6360" w:type="dxa"/>
            <w:vAlign w:val="bottom"/>
          </w:tcPr>
          <w:p>
            <w:pPr>
              <w:spacing w:after="0" w:line="188" w:lineRule="exact"/>
              <w:rPr>
                <w:sz w:val="20"/>
                <w:szCs w:val="20"/>
                <w:color w:val="auto"/>
              </w:rPr>
            </w:pPr>
            <w:r>
              <w:rPr>
                <w:rFonts w:ascii="Arial" w:cs="Arial" w:eastAsia="Arial" w:hAnsi="Arial"/>
                <w:sz w:val="17"/>
                <w:szCs w:val="17"/>
                <w:color w:val="auto"/>
              </w:rPr>
              <w:t>Engagement Program” on page 26 for more specific details). Investors we</w:t>
            </w:r>
          </w:p>
        </w:tc>
        <w:tc>
          <w:tcPr>
            <w:tcW w:w="1500" w:type="dxa"/>
            <w:vAlign w:val="bottom"/>
          </w:tcPr>
          <w:p>
            <w:pPr>
              <w:spacing w:after="0"/>
              <w:rPr>
                <w:sz w:val="16"/>
                <w:szCs w:val="16"/>
                <w:color w:val="auto"/>
              </w:rPr>
            </w:pPr>
          </w:p>
        </w:tc>
      </w:tr>
      <w:tr>
        <w:trPr>
          <w:trHeight w:val="188"/>
        </w:trPr>
        <w:tc>
          <w:tcPr>
            <w:tcW w:w="6360" w:type="dxa"/>
            <w:vAlign w:val="bottom"/>
          </w:tcPr>
          <w:p>
            <w:pPr>
              <w:spacing w:after="0" w:line="188" w:lineRule="exact"/>
              <w:rPr>
                <w:sz w:val="20"/>
                <w:szCs w:val="20"/>
                <w:color w:val="auto"/>
              </w:rPr>
            </w:pPr>
            <w:r>
              <w:rPr>
                <w:rFonts w:ascii="Arial" w:cs="Arial" w:eastAsia="Arial" w:hAnsi="Arial"/>
                <w:sz w:val="17"/>
                <w:szCs w:val="17"/>
                <w:color w:val="auto"/>
              </w:rPr>
              <w:t>engaged with during 2021 reacted positively to our pay governance and executive</w:t>
            </w:r>
          </w:p>
        </w:tc>
        <w:tc>
          <w:tcPr>
            <w:tcW w:w="1500" w:type="dxa"/>
            <w:vAlign w:val="bottom"/>
          </w:tcPr>
          <w:p>
            <w:pPr>
              <w:spacing w:after="0"/>
              <w:rPr>
                <w:sz w:val="16"/>
                <w:szCs w:val="16"/>
                <w:color w:val="auto"/>
              </w:rPr>
            </w:pPr>
          </w:p>
        </w:tc>
      </w:tr>
      <w:tr>
        <w:trPr>
          <w:trHeight w:val="188"/>
        </w:trPr>
        <w:tc>
          <w:tcPr>
            <w:tcW w:w="6360" w:type="dxa"/>
            <w:vAlign w:val="bottom"/>
          </w:tcPr>
          <w:p>
            <w:pPr>
              <w:spacing w:after="0" w:line="188" w:lineRule="exact"/>
              <w:rPr>
                <w:sz w:val="20"/>
                <w:szCs w:val="20"/>
                <w:color w:val="auto"/>
              </w:rPr>
            </w:pPr>
            <w:r>
              <w:rPr>
                <w:rFonts w:ascii="Arial" w:cs="Arial" w:eastAsia="Arial" w:hAnsi="Arial"/>
                <w:sz w:val="17"/>
                <w:szCs w:val="17"/>
                <w:color w:val="auto"/>
              </w:rPr>
              <w:t>compensation programs. These investors overall indicated that they appreciate our</w:t>
            </w:r>
          </w:p>
        </w:tc>
        <w:tc>
          <w:tcPr>
            <w:tcW w:w="1500" w:type="dxa"/>
            <w:vAlign w:val="bottom"/>
          </w:tcPr>
          <w:p>
            <w:pPr>
              <w:spacing w:after="0"/>
              <w:rPr>
                <w:sz w:val="16"/>
                <w:szCs w:val="16"/>
                <w:color w:val="auto"/>
              </w:rPr>
            </w:pPr>
          </w:p>
        </w:tc>
      </w:tr>
      <w:tr>
        <w:trPr>
          <w:trHeight w:val="188"/>
        </w:trPr>
        <w:tc>
          <w:tcPr>
            <w:tcW w:w="6360" w:type="dxa"/>
            <w:vAlign w:val="bottom"/>
          </w:tcPr>
          <w:p>
            <w:pPr>
              <w:spacing w:after="0" w:line="188" w:lineRule="exact"/>
              <w:rPr>
                <w:sz w:val="20"/>
                <w:szCs w:val="20"/>
                <w:color w:val="auto"/>
              </w:rPr>
            </w:pPr>
            <w:r>
              <w:rPr>
                <w:rFonts w:ascii="Arial" w:cs="Arial" w:eastAsia="Arial" w:hAnsi="Arial"/>
                <w:sz w:val="17"/>
                <w:szCs w:val="17"/>
                <w:color w:val="auto"/>
              </w:rPr>
              <w:t>current compensation structure, including our pay mix, and transparency as</w:t>
            </w:r>
          </w:p>
        </w:tc>
        <w:tc>
          <w:tcPr>
            <w:tcW w:w="1500" w:type="dxa"/>
            <w:vAlign w:val="bottom"/>
          </w:tcPr>
          <w:p>
            <w:pPr>
              <w:spacing w:after="0"/>
              <w:rPr>
                <w:sz w:val="16"/>
                <w:szCs w:val="16"/>
                <w:color w:val="auto"/>
              </w:rPr>
            </w:pPr>
          </w:p>
        </w:tc>
      </w:tr>
      <w:tr>
        <w:trPr>
          <w:trHeight w:val="188"/>
        </w:trPr>
        <w:tc>
          <w:tcPr>
            <w:tcW w:w="6360" w:type="dxa"/>
            <w:vAlign w:val="bottom"/>
          </w:tcPr>
          <w:p>
            <w:pPr>
              <w:spacing w:after="0" w:line="188" w:lineRule="exact"/>
              <w:rPr>
                <w:sz w:val="20"/>
                <w:szCs w:val="20"/>
                <w:color w:val="auto"/>
              </w:rPr>
            </w:pPr>
            <w:r>
              <w:rPr>
                <w:rFonts w:ascii="Arial" w:cs="Arial" w:eastAsia="Arial" w:hAnsi="Arial"/>
                <w:sz w:val="17"/>
                <w:szCs w:val="17"/>
                <w:color w:val="auto"/>
              </w:rPr>
              <w:t>manifested in our Proxy disclosures. We consider the input of our stockholders,</w:t>
            </w:r>
          </w:p>
        </w:tc>
        <w:tc>
          <w:tcPr>
            <w:tcW w:w="1500" w:type="dxa"/>
            <w:vAlign w:val="bottom"/>
          </w:tcPr>
          <w:p>
            <w:pPr>
              <w:spacing w:after="0"/>
              <w:rPr>
                <w:sz w:val="16"/>
                <w:szCs w:val="16"/>
                <w:color w:val="auto"/>
              </w:rPr>
            </w:pPr>
          </w:p>
        </w:tc>
      </w:tr>
      <w:tr>
        <w:trPr>
          <w:trHeight w:val="188"/>
        </w:trPr>
        <w:tc>
          <w:tcPr>
            <w:tcW w:w="6360" w:type="dxa"/>
            <w:vAlign w:val="bottom"/>
          </w:tcPr>
          <w:p>
            <w:pPr>
              <w:spacing w:after="0" w:line="188" w:lineRule="exact"/>
              <w:rPr>
                <w:sz w:val="20"/>
                <w:szCs w:val="20"/>
                <w:color w:val="auto"/>
              </w:rPr>
            </w:pPr>
            <w:r>
              <w:rPr>
                <w:rFonts w:ascii="Arial" w:cs="Arial" w:eastAsia="Arial" w:hAnsi="Arial"/>
                <w:sz w:val="17"/>
                <w:szCs w:val="17"/>
                <w:color w:val="auto"/>
              </w:rPr>
              <w:t>along with emerging best practices, to ensure alignment with our executive pay</w:t>
            </w:r>
          </w:p>
        </w:tc>
        <w:tc>
          <w:tcPr>
            <w:tcW w:w="1500" w:type="dxa"/>
            <w:vAlign w:val="bottom"/>
          </w:tcPr>
          <w:p>
            <w:pPr>
              <w:spacing w:after="0"/>
              <w:rPr>
                <w:sz w:val="16"/>
                <w:szCs w:val="16"/>
                <w:color w:val="auto"/>
              </w:rPr>
            </w:pPr>
          </w:p>
        </w:tc>
      </w:tr>
      <w:tr>
        <w:trPr>
          <w:trHeight w:val="188"/>
        </w:trPr>
        <w:tc>
          <w:tcPr>
            <w:tcW w:w="6360" w:type="dxa"/>
            <w:vAlign w:val="bottom"/>
          </w:tcPr>
          <w:p>
            <w:pPr>
              <w:spacing w:after="0" w:line="188" w:lineRule="exact"/>
              <w:rPr>
                <w:sz w:val="20"/>
                <w:szCs w:val="20"/>
                <w:color w:val="auto"/>
              </w:rPr>
            </w:pPr>
            <w:r>
              <w:rPr>
                <w:rFonts w:ascii="Arial" w:cs="Arial" w:eastAsia="Arial" w:hAnsi="Arial"/>
                <w:sz w:val="17"/>
                <w:szCs w:val="17"/>
                <w:color w:val="auto"/>
              </w:rPr>
              <w:t>programs. We welcome feedback regarding our executive compensation programs</w:t>
            </w:r>
          </w:p>
        </w:tc>
        <w:tc>
          <w:tcPr>
            <w:tcW w:w="1500" w:type="dxa"/>
            <w:vAlign w:val="bottom"/>
          </w:tcPr>
          <w:p>
            <w:pPr>
              <w:spacing w:after="0"/>
              <w:rPr>
                <w:sz w:val="16"/>
                <w:szCs w:val="16"/>
                <w:color w:val="auto"/>
              </w:rPr>
            </w:pPr>
          </w:p>
        </w:tc>
      </w:tr>
      <w:tr>
        <w:trPr>
          <w:trHeight w:val="204"/>
        </w:trPr>
        <w:tc>
          <w:tcPr>
            <w:tcW w:w="6360" w:type="dxa"/>
            <w:vAlign w:val="bottom"/>
          </w:tcPr>
          <w:p>
            <w:pPr>
              <w:spacing w:after="0"/>
              <w:rPr>
                <w:sz w:val="20"/>
                <w:szCs w:val="20"/>
                <w:color w:val="auto"/>
              </w:rPr>
            </w:pPr>
            <w:r>
              <w:rPr>
                <w:rFonts w:ascii="Arial" w:cs="Arial" w:eastAsia="Arial" w:hAnsi="Arial"/>
                <w:sz w:val="17"/>
                <w:szCs w:val="17"/>
                <w:color w:val="auto"/>
              </w:rPr>
              <w:t>and will continue to engage with our stockholders in 2022.</w:t>
            </w:r>
          </w:p>
        </w:tc>
        <w:tc>
          <w:tcPr>
            <w:tcW w:w="15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-1353820</wp:posOffset>
            </wp:positionV>
            <wp:extent cx="1536065" cy="153606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536065" cy="153606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818EB4"/>
        </w:rPr>
        <w:t>Our 2021 Performance</w:t>
      </w:r>
    </w:p>
    <w:p>
      <w:pPr>
        <w:spacing w:after="0" w:line="175" w:lineRule="exact"/>
        <w:rPr>
          <w:sz w:val="20"/>
          <w:szCs w:val="20"/>
          <w:color w:val="auto"/>
        </w:rPr>
      </w:pPr>
    </w:p>
    <w:p>
      <w:pPr>
        <w:ind w:left="20"/>
        <w:spacing w:after="0" w:line="232" w:lineRule="auto"/>
        <w:rPr>
          <w:sz w:val="20"/>
          <w:szCs w:val="20"/>
          <w:color w:val="auto"/>
        </w:rPr>
      </w:pPr>
      <w:r>
        <w:rPr>
          <w:rFonts w:ascii="Arial" w:cs="Arial" w:eastAsia="Arial" w:hAnsi="Arial"/>
          <w:sz w:val="17"/>
          <w:szCs w:val="17"/>
          <w:color w:val="auto"/>
        </w:rPr>
        <w:t>In 2021, Lockheed Martin built on our vision to transform the future of the defense enterprise. We continued to demonstrate agility and resilience despite the ongoing challenges presented by the effects of COVID-19. Financially, we delivered strong results across our key financial metrics, including sales of $67.0 billion, segment operating profit* of $7.4 billion and record cash from operations of $9.2 billion. While supply chain disruptions adversely affected our 2021 revenues, we took swift actions to address these challenges, and continued to accelerate payments to our suppliers, prioritizing small- and medium-sized businesses as well as large business that have been negatively affected by the pandemic. Orders and backlog in 2021 were also impacted by some delays in international orders; however, we ended 2021 with a year-end backlog of $135.4 billion.</w:t>
      </w:r>
    </w:p>
    <w:p>
      <w:pPr>
        <w:spacing w:after="0" w:line="58" w:lineRule="exact"/>
        <w:rPr>
          <w:sz w:val="20"/>
          <w:szCs w:val="20"/>
          <w:color w:val="auto"/>
        </w:rPr>
      </w:pPr>
    </w:p>
    <w:p>
      <w:pPr>
        <w:ind w:left="20"/>
        <w:spacing w:after="0" w:line="232" w:lineRule="auto"/>
        <w:rPr>
          <w:sz w:val="20"/>
          <w:szCs w:val="20"/>
          <w:color w:val="auto"/>
        </w:rPr>
      </w:pPr>
      <w:r>
        <w:rPr>
          <w:rFonts w:ascii="Arial" w:cs="Arial" w:eastAsia="Arial" w:hAnsi="Arial"/>
          <w:sz w:val="17"/>
          <w:szCs w:val="17"/>
          <w:color w:val="auto"/>
        </w:rPr>
        <w:t>From a strategic and operational perspective, thanks to our team members’ dedication and resolve, we continued to produce world-class products and services across all business areas. Lockheed Martin’s largest program, the F-35 Lightning II, continued to mature and expand around the globe with the delivery of 142 aircraft. The F-35 program also celebrated several international milestones with Switzerland and Finland joining the program and several other nations expressing interest in joining as well. We also had strategic and operational accomplishments across our other business areas in 2021. In March, we were awarded a $3.7 billion contract to develop the Next Generation Interceptor (NGI) – America’s most advanced missile defense system. Also in March, the Army renewed their commitment to the Guided Multiple Launch Rocket System (GMLRS) program by awarding us a $1.12 billion contract. The CH-53K King Stallion heavy-lift helicopter continues to impress customers and in June, U.S. Naval Air Systems Command awarded us a contract for $878.7 million. Throughout the year we showed the power and potential of One Lockheed Martin, drawing upon the breadth and depth of our industry-leading portfolio to enable customers’ Joint All-Domain Operations. We also delivered more customer capabilities through our integration of emerging technologies such as autonomy, artificial intelligence, and directed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2300" w:type="dxa"/>
            <w:vAlign w:val="bottom"/>
          </w:tcPr>
          <w:p>
            <w:pPr>
              <w:ind w:left="20"/>
              <w:spacing w:after="0"/>
              <w:rPr>
                <w:sz w:val="20"/>
                <w:szCs w:val="20"/>
                <w:color w:val="auto"/>
              </w:rPr>
            </w:pPr>
            <w:r>
              <w:rPr>
                <w:rFonts w:ascii="Arial" w:cs="Arial" w:eastAsia="Arial" w:hAnsi="Arial"/>
                <w:sz w:val="16"/>
                <w:szCs w:val="16"/>
                <w:color w:val="003478"/>
              </w:rPr>
              <w:t>2021 Financial Performance</w:t>
            </w:r>
          </w:p>
        </w:tc>
        <w:tc>
          <w:tcPr>
            <w:tcW w:w="1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300" w:type="dxa"/>
            <w:vAlign w:val="bottom"/>
            <w:shd w:val="clear" w:color="auto" w:fill="003478"/>
          </w:tcPr>
          <w:p>
            <w:pPr>
              <w:spacing w:after="0"/>
              <w:rPr>
                <w:sz w:val="9"/>
                <w:szCs w:val="9"/>
                <w:color w:val="auto"/>
              </w:rPr>
            </w:pPr>
          </w:p>
        </w:tc>
        <w:tc>
          <w:tcPr>
            <w:tcW w:w="140" w:type="dxa"/>
            <w:vAlign w:val="bottom"/>
          </w:tcPr>
          <w:p>
            <w:pPr>
              <w:spacing w:after="0"/>
              <w:rPr>
                <w:sz w:val="9"/>
                <w:szCs w:val="9"/>
                <w:color w:val="auto"/>
              </w:rPr>
            </w:pPr>
          </w:p>
        </w:tc>
        <w:tc>
          <w:tcPr>
            <w:tcW w:w="2300" w:type="dxa"/>
            <w:vAlign w:val="bottom"/>
            <w:shd w:val="clear" w:color="auto" w:fill="003478"/>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2300" w:type="dxa"/>
            <w:vAlign w:val="bottom"/>
            <w:shd w:val="clear" w:color="auto" w:fill="E4E6EF"/>
          </w:tcPr>
          <w:p>
            <w:pPr>
              <w:ind w:left="20"/>
              <w:spacing w:after="0"/>
              <w:rPr>
                <w:sz w:val="20"/>
                <w:szCs w:val="20"/>
                <w:color w:val="auto"/>
              </w:rPr>
            </w:pPr>
            <w:r>
              <w:rPr>
                <w:rFonts w:ascii="Arial" w:cs="Arial" w:eastAsia="Arial" w:hAnsi="Arial"/>
                <w:sz w:val="17"/>
                <w:szCs w:val="17"/>
                <w:color w:val="auto"/>
              </w:rPr>
              <w:t>Sales of</w:t>
            </w:r>
          </w:p>
        </w:tc>
        <w:tc>
          <w:tcPr>
            <w:tcW w:w="140" w:type="dxa"/>
            <w:vAlign w:val="bottom"/>
          </w:tcPr>
          <w:p>
            <w:pPr>
              <w:spacing w:after="0"/>
              <w:rPr>
                <w:sz w:val="20"/>
                <w:szCs w:val="20"/>
                <w:color w:val="auto"/>
              </w:rPr>
            </w:pPr>
          </w:p>
        </w:tc>
        <w:tc>
          <w:tcPr>
            <w:tcW w:w="2300" w:type="dxa"/>
            <w:vAlign w:val="bottom"/>
            <w:shd w:val="clear" w:color="auto" w:fill="E4E6EF"/>
          </w:tcPr>
          <w:p>
            <w:pPr>
              <w:ind w:left="20"/>
              <w:spacing w:after="0"/>
              <w:rPr>
                <w:sz w:val="20"/>
                <w:szCs w:val="20"/>
                <w:color w:val="auto"/>
              </w:rPr>
            </w:pPr>
            <w:r>
              <w:rPr>
                <w:rFonts w:ascii="Arial" w:cs="Arial" w:eastAsia="Arial" w:hAnsi="Arial"/>
                <w:sz w:val="17"/>
                <w:szCs w:val="17"/>
                <w:color w:val="auto"/>
              </w:rPr>
              <w:t>Segment</w:t>
            </w:r>
          </w:p>
        </w:tc>
        <w:tc>
          <w:tcPr>
            <w:tcW w:w="0" w:type="dxa"/>
            <w:vAlign w:val="bottom"/>
          </w:tcPr>
          <w:p>
            <w:pPr>
              <w:spacing w:after="0"/>
              <w:rPr>
                <w:sz w:val="1"/>
                <w:szCs w:val="1"/>
                <w:color w:val="auto"/>
              </w:rPr>
            </w:pPr>
          </w:p>
        </w:tc>
      </w:tr>
      <w:tr>
        <w:trPr>
          <w:trHeight w:val="215"/>
        </w:trPr>
        <w:tc>
          <w:tcPr>
            <w:tcW w:w="2300" w:type="dxa"/>
            <w:vAlign w:val="bottom"/>
            <w:vMerge w:val="restart"/>
            <w:shd w:val="clear" w:color="auto" w:fill="E4E6EF"/>
          </w:tcPr>
          <w:p>
            <w:pPr>
              <w:ind w:left="20"/>
              <w:spacing w:after="0"/>
              <w:rPr>
                <w:sz w:val="20"/>
                <w:szCs w:val="20"/>
                <w:color w:val="auto"/>
              </w:rPr>
            </w:pPr>
            <w:r>
              <w:rPr>
                <w:rFonts w:ascii="Arial" w:cs="Arial" w:eastAsia="Arial" w:hAnsi="Arial"/>
                <w:sz w:val="29"/>
                <w:szCs w:val="29"/>
                <w:color w:val="003478"/>
              </w:rPr>
              <w:t>$67.0B</w:t>
            </w:r>
          </w:p>
        </w:tc>
        <w:tc>
          <w:tcPr>
            <w:tcW w:w="140" w:type="dxa"/>
            <w:vAlign w:val="bottom"/>
          </w:tcPr>
          <w:p>
            <w:pPr>
              <w:spacing w:after="0"/>
              <w:rPr>
                <w:sz w:val="18"/>
                <w:szCs w:val="18"/>
                <w:color w:val="auto"/>
              </w:rPr>
            </w:pPr>
          </w:p>
        </w:tc>
        <w:tc>
          <w:tcPr>
            <w:tcW w:w="2300" w:type="dxa"/>
            <w:vAlign w:val="bottom"/>
            <w:shd w:val="clear" w:color="auto" w:fill="E4E6EF"/>
          </w:tcPr>
          <w:p>
            <w:pPr>
              <w:ind w:left="20"/>
              <w:spacing w:after="0"/>
              <w:rPr>
                <w:sz w:val="20"/>
                <w:szCs w:val="20"/>
                <w:color w:val="auto"/>
              </w:rPr>
            </w:pPr>
            <w:r>
              <w:rPr>
                <w:rFonts w:ascii="Arial" w:cs="Arial" w:eastAsia="Arial" w:hAnsi="Arial"/>
                <w:sz w:val="17"/>
                <w:szCs w:val="17"/>
                <w:color w:val="auto"/>
              </w:rPr>
              <w:t>Operating Profit*</w:t>
            </w:r>
          </w:p>
        </w:tc>
        <w:tc>
          <w:tcPr>
            <w:tcW w:w="0" w:type="dxa"/>
            <w:vAlign w:val="bottom"/>
          </w:tcPr>
          <w:p>
            <w:pPr>
              <w:spacing w:after="0"/>
              <w:rPr>
                <w:sz w:val="1"/>
                <w:szCs w:val="1"/>
                <w:color w:val="auto"/>
              </w:rPr>
            </w:pPr>
          </w:p>
        </w:tc>
      </w:tr>
      <w:tr>
        <w:trPr>
          <w:trHeight w:val="143"/>
        </w:trPr>
        <w:tc>
          <w:tcPr>
            <w:tcW w:w="2300" w:type="dxa"/>
            <w:vAlign w:val="bottom"/>
            <w:vMerge w:val="continue"/>
            <w:shd w:val="clear" w:color="auto" w:fill="E4E6EF"/>
          </w:tcPr>
          <w:p>
            <w:pPr>
              <w:spacing w:after="0"/>
              <w:rPr>
                <w:sz w:val="12"/>
                <w:szCs w:val="12"/>
                <w:color w:val="auto"/>
              </w:rPr>
            </w:pPr>
          </w:p>
        </w:tc>
        <w:tc>
          <w:tcPr>
            <w:tcW w:w="140" w:type="dxa"/>
            <w:vAlign w:val="bottom"/>
          </w:tcPr>
          <w:p>
            <w:pPr>
              <w:spacing w:after="0"/>
              <w:rPr>
                <w:sz w:val="12"/>
                <w:szCs w:val="12"/>
                <w:color w:val="auto"/>
              </w:rPr>
            </w:pPr>
          </w:p>
        </w:tc>
        <w:tc>
          <w:tcPr>
            <w:tcW w:w="2300" w:type="dxa"/>
            <w:vAlign w:val="bottom"/>
            <w:vMerge w:val="restart"/>
            <w:shd w:val="clear" w:color="auto" w:fill="E4E6EF"/>
          </w:tcPr>
          <w:p>
            <w:pPr>
              <w:ind w:left="20"/>
              <w:spacing w:after="0"/>
              <w:rPr>
                <w:sz w:val="20"/>
                <w:szCs w:val="20"/>
                <w:color w:val="auto"/>
              </w:rPr>
            </w:pPr>
            <w:r>
              <w:rPr>
                <w:rFonts w:ascii="Arial" w:cs="Arial" w:eastAsia="Arial" w:hAnsi="Arial"/>
                <w:sz w:val="17"/>
                <w:szCs w:val="17"/>
                <w:color w:val="auto"/>
              </w:rPr>
              <w:t>of</w:t>
            </w:r>
          </w:p>
        </w:tc>
        <w:tc>
          <w:tcPr>
            <w:tcW w:w="0" w:type="dxa"/>
            <w:vAlign w:val="bottom"/>
          </w:tcPr>
          <w:p>
            <w:pPr>
              <w:spacing w:after="0"/>
              <w:rPr>
                <w:sz w:val="1"/>
                <w:szCs w:val="1"/>
                <w:color w:val="auto"/>
              </w:rPr>
            </w:pPr>
          </w:p>
        </w:tc>
      </w:tr>
      <w:tr>
        <w:trPr>
          <w:trHeight w:val="71"/>
        </w:trPr>
        <w:tc>
          <w:tcPr>
            <w:tcW w:w="2300" w:type="dxa"/>
            <w:vAlign w:val="bottom"/>
            <w:shd w:val="clear" w:color="auto" w:fill="E4E6EF"/>
          </w:tcPr>
          <w:p>
            <w:pPr>
              <w:spacing w:after="0"/>
              <w:rPr>
                <w:sz w:val="6"/>
                <w:szCs w:val="6"/>
                <w:color w:val="auto"/>
              </w:rPr>
            </w:pPr>
          </w:p>
        </w:tc>
        <w:tc>
          <w:tcPr>
            <w:tcW w:w="140" w:type="dxa"/>
            <w:vAlign w:val="bottom"/>
          </w:tcPr>
          <w:p>
            <w:pPr>
              <w:spacing w:after="0"/>
              <w:rPr>
                <w:sz w:val="6"/>
                <w:szCs w:val="6"/>
                <w:color w:val="auto"/>
              </w:rPr>
            </w:pPr>
          </w:p>
        </w:tc>
        <w:tc>
          <w:tcPr>
            <w:tcW w:w="2300" w:type="dxa"/>
            <w:vAlign w:val="bottom"/>
            <w:vMerge w:val="continue"/>
            <w:shd w:val="clear" w:color="auto" w:fill="E4E6EF"/>
          </w:tcPr>
          <w:p>
            <w:pPr>
              <w:spacing w:after="0"/>
              <w:rPr>
                <w:sz w:val="6"/>
                <w:szCs w:val="6"/>
                <w:color w:val="auto"/>
              </w:rPr>
            </w:pPr>
          </w:p>
        </w:tc>
        <w:tc>
          <w:tcPr>
            <w:tcW w:w="0" w:type="dxa"/>
            <w:vAlign w:val="bottom"/>
          </w:tcPr>
          <w:p>
            <w:pPr>
              <w:spacing w:after="0"/>
              <w:rPr>
                <w:sz w:val="1"/>
                <w:szCs w:val="1"/>
                <w:color w:val="auto"/>
              </w:rPr>
            </w:pPr>
          </w:p>
        </w:tc>
      </w:tr>
      <w:tr>
        <w:trPr>
          <w:trHeight w:val="387"/>
        </w:trPr>
        <w:tc>
          <w:tcPr>
            <w:tcW w:w="2300" w:type="dxa"/>
            <w:vAlign w:val="bottom"/>
            <w:tcBorders>
              <w:bottom w:val="single" w:sz="8" w:color="E4E6EF"/>
            </w:tcBorders>
            <w:shd w:val="clear" w:color="auto" w:fill="E4E6EF"/>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Borders>
              <w:bottom w:val="single" w:sz="8" w:color="E4E6EF"/>
            </w:tcBorders>
            <w:shd w:val="clear" w:color="auto" w:fill="E4E6EF"/>
          </w:tcPr>
          <w:p>
            <w:pPr>
              <w:ind w:left="20"/>
              <w:spacing w:after="0"/>
              <w:rPr>
                <w:sz w:val="20"/>
                <w:szCs w:val="20"/>
                <w:color w:val="auto"/>
              </w:rPr>
            </w:pPr>
            <w:r>
              <w:rPr>
                <w:rFonts w:ascii="Arial" w:cs="Arial" w:eastAsia="Arial" w:hAnsi="Arial"/>
                <w:sz w:val="29"/>
                <w:szCs w:val="29"/>
                <w:color w:val="003478"/>
              </w:rPr>
              <w:t>$7.4B</w:t>
            </w:r>
          </w:p>
        </w:tc>
        <w:tc>
          <w:tcPr>
            <w:tcW w:w="0" w:type="dxa"/>
            <w:vAlign w:val="bottom"/>
          </w:tcPr>
          <w:p>
            <w:pPr>
              <w:spacing w:after="0"/>
              <w:rPr>
                <w:sz w:val="1"/>
                <w:szCs w:val="1"/>
                <w:color w:val="auto"/>
              </w:rPr>
            </w:pPr>
          </w:p>
        </w:tc>
      </w:tr>
      <w:tr>
        <w:trPr>
          <w:trHeight w:val="107"/>
        </w:trPr>
        <w:tc>
          <w:tcPr>
            <w:tcW w:w="2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300" w:type="dxa"/>
            <w:vAlign w:val="bottom"/>
            <w:shd w:val="clear" w:color="auto" w:fill="003478"/>
          </w:tcPr>
          <w:p>
            <w:pPr>
              <w:spacing w:after="0"/>
              <w:rPr>
                <w:sz w:val="9"/>
                <w:szCs w:val="9"/>
                <w:color w:val="auto"/>
              </w:rPr>
            </w:pPr>
          </w:p>
        </w:tc>
        <w:tc>
          <w:tcPr>
            <w:tcW w:w="140" w:type="dxa"/>
            <w:vAlign w:val="bottom"/>
          </w:tcPr>
          <w:p>
            <w:pPr>
              <w:spacing w:after="0"/>
              <w:rPr>
                <w:sz w:val="9"/>
                <w:szCs w:val="9"/>
                <w:color w:val="auto"/>
              </w:rPr>
            </w:pPr>
          </w:p>
        </w:tc>
        <w:tc>
          <w:tcPr>
            <w:tcW w:w="2300" w:type="dxa"/>
            <w:vAlign w:val="bottom"/>
            <w:shd w:val="clear" w:color="auto" w:fill="003478"/>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2300" w:type="dxa"/>
            <w:vAlign w:val="bottom"/>
            <w:shd w:val="clear" w:color="auto" w:fill="E4E6EF"/>
          </w:tcPr>
          <w:p>
            <w:pPr>
              <w:ind w:left="20"/>
              <w:spacing w:after="0"/>
              <w:rPr>
                <w:sz w:val="20"/>
                <w:szCs w:val="20"/>
                <w:color w:val="auto"/>
              </w:rPr>
            </w:pPr>
            <w:r>
              <w:rPr>
                <w:rFonts w:ascii="Arial" w:cs="Arial" w:eastAsia="Arial" w:hAnsi="Arial"/>
                <w:sz w:val="17"/>
                <w:szCs w:val="17"/>
                <w:color w:val="auto"/>
              </w:rPr>
              <w:t>Cash from</w:t>
            </w:r>
          </w:p>
        </w:tc>
        <w:tc>
          <w:tcPr>
            <w:tcW w:w="140" w:type="dxa"/>
            <w:vAlign w:val="bottom"/>
          </w:tcPr>
          <w:p>
            <w:pPr>
              <w:spacing w:after="0"/>
              <w:rPr>
                <w:sz w:val="20"/>
                <w:szCs w:val="20"/>
                <w:color w:val="auto"/>
              </w:rPr>
            </w:pPr>
          </w:p>
        </w:tc>
        <w:tc>
          <w:tcPr>
            <w:tcW w:w="2300" w:type="dxa"/>
            <w:vAlign w:val="bottom"/>
            <w:shd w:val="clear" w:color="auto" w:fill="E4E6EF"/>
          </w:tcPr>
          <w:p>
            <w:pPr>
              <w:ind w:left="20"/>
              <w:spacing w:after="0"/>
              <w:rPr>
                <w:sz w:val="20"/>
                <w:szCs w:val="20"/>
                <w:color w:val="auto"/>
              </w:rPr>
            </w:pPr>
            <w:r>
              <w:rPr>
                <w:rFonts w:ascii="Arial" w:cs="Arial" w:eastAsia="Arial" w:hAnsi="Arial"/>
                <w:sz w:val="17"/>
                <w:szCs w:val="17"/>
                <w:color w:val="auto"/>
              </w:rPr>
              <w:t>Earnings</w:t>
            </w:r>
          </w:p>
        </w:tc>
        <w:tc>
          <w:tcPr>
            <w:tcW w:w="0" w:type="dxa"/>
            <w:vAlign w:val="bottom"/>
          </w:tcPr>
          <w:p>
            <w:pPr>
              <w:spacing w:after="0"/>
              <w:rPr>
                <w:sz w:val="1"/>
                <w:szCs w:val="1"/>
                <w:color w:val="auto"/>
              </w:rPr>
            </w:pPr>
          </w:p>
        </w:tc>
      </w:tr>
      <w:tr>
        <w:trPr>
          <w:trHeight w:val="215"/>
        </w:trPr>
        <w:tc>
          <w:tcPr>
            <w:tcW w:w="2300" w:type="dxa"/>
            <w:vAlign w:val="bottom"/>
            <w:shd w:val="clear" w:color="auto" w:fill="E4E6EF"/>
          </w:tcPr>
          <w:p>
            <w:pPr>
              <w:ind w:left="20"/>
              <w:spacing w:after="0"/>
              <w:rPr>
                <w:sz w:val="20"/>
                <w:szCs w:val="20"/>
                <w:color w:val="auto"/>
              </w:rPr>
            </w:pPr>
            <w:r>
              <w:rPr>
                <w:rFonts w:ascii="Arial" w:cs="Arial" w:eastAsia="Arial" w:hAnsi="Arial"/>
                <w:sz w:val="17"/>
                <w:szCs w:val="17"/>
                <w:color w:val="auto"/>
              </w:rPr>
              <w:t>Operations</w:t>
            </w:r>
          </w:p>
        </w:tc>
        <w:tc>
          <w:tcPr>
            <w:tcW w:w="140" w:type="dxa"/>
            <w:vAlign w:val="bottom"/>
          </w:tcPr>
          <w:p>
            <w:pPr>
              <w:spacing w:after="0"/>
              <w:rPr>
                <w:sz w:val="18"/>
                <w:szCs w:val="18"/>
                <w:color w:val="auto"/>
              </w:rPr>
            </w:pPr>
          </w:p>
        </w:tc>
        <w:tc>
          <w:tcPr>
            <w:tcW w:w="2300" w:type="dxa"/>
            <w:vAlign w:val="bottom"/>
            <w:shd w:val="clear" w:color="auto" w:fill="E4E6EF"/>
          </w:tcPr>
          <w:p>
            <w:pPr>
              <w:ind w:left="20"/>
              <w:spacing w:after="0"/>
              <w:rPr>
                <w:sz w:val="20"/>
                <w:szCs w:val="20"/>
                <w:color w:val="auto"/>
              </w:rPr>
            </w:pPr>
            <w:r>
              <w:rPr>
                <w:rFonts w:ascii="Arial" w:cs="Arial" w:eastAsia="Arial" w:hAnsi="Arial"/>
                <w:sz w:val="17"/>
                <w:szCs w:val="17"/>
                <w:color w:val="auto"/>
              </w:rPr>
              <w:t>per Share of</w:t>
            </w:r>
          </w:p>
        </w:tc>
        <w:tc>
          <w:tcPr>
            <w:tcW w:w="0" w:type="dxa"/>
            <w:vAlign w:val="bottom"/>
          </w:tcPr>
          <w:p>
            <w:pPr>
              <w:spacing w:after="0"/>
              <w:rPr>
                <w:sz w:val="1"/>
                <w:szCs w:val="1"/>
                <w:color w:val="auto"/>
              </w:rPr>
            </w:pPr>
          </w:p>
        </w:tc>
      </w:tr>
      <w:tr>
        <w:trPr>
          <w:trHeight w:val="373"/>
        </w:trPr>
        <w:tc>
          <w:tcPr>
            <w:tcW w:w="2300" w:type="dxa"/>
            <w:vAlign w:val="bottom"/>
            <w:tcBorders>
              <w:bottom w:val="single" w:sz="8" w:color="E4E6EF"/>
            </w:tcBorders>
            <w:shd w:val="clear" w:color="auto" w:fill="E4E6EF"/>
          </w:tcPr>
          <w:p>
            <w:pPr>
              <w:ind w:left="20"/>
              <w:spacing w:after="0"/>
              <w:rPr>
                <w:sz w:val="20"/>
                <w:szCs w:val="20"/>
                <w:color w:val="auto"/>
              </w:rPr>
            </w:pPr>
            <w:r>
              <w:rPr>
                <w:rFonts w:ascii="Arial" w:cs="Arial" w:eastAsia="Arial" w:hAnsi="Arial"/>
                <w:sz w:val="29"/>
                <w:szCs w:val="29"/>
                <w:color w:val="003478"/>
              </w:rPr>
              <w:t>$9.2B</w:t>
            </w:r>
          </w:p>
        </w:tc>
        <w:tc>
          <w:tcPr>
            <w:tcW w:w="140" w:type="dxa"/>
            <w:vAlign w:val="bottom"/>
          </w:tcPr>
          <w:p>
            <w:pPr>
              <w:spacing w:after="0"/>
              <w:rPr>
                <w:sz w:val="24"/>
                <w:szCs w:val="24"/>
                <w:color w:val="auto"/>
              </w:rPr>
            </w:pPr>
          </w:p>
        </w:tc>
        <w:tc>
          <w:tcPr>
            <w:tcW w:w="2300" w:type="dxa"/>
            <w:vAlign w:val="bottom"/>
            <w:tcBorders>
              <w:bottom w:val="single" w:sz="8" w:color="E4E6EF"/>
            </w:tcBorders>
            <w:shd w:val="clear" w:color="auto" w:fill="E4E6EF"/>
          </w:tcPr>
          <w:p>
            <w:pPr>
              <w:ind w:left="20"/>
              <w:spacing w:after="0"/>
              <w:rPr>
                <w:sz w:val="20"/>
                <w:szCs w:val="20"/>
                <w:color w:val="auto"/>
              </w:rPr>
            </w:pPr>
            <w:r>
              <w:rPr>
                <w:rFonts w:ascii="Arial" w:cs="Arial" w:eastAsia="Arial" w:hAnsi="Arial"/>
                <w:sz w:val="29"/>
                <w:szCs w:val="29"/>
                <w:color w:val="003478"/>
              </w:rPr>
              <w:t>$22.76</w:t>
            </w:r>
          </w:p>
        </w:tc>
        <w:tc>
          <w:tcPr>
            <w:tcW w:w="0" w:type="dxa"/>
            <w:vAlign w:val="bottom"/>
          </w:tcPr>
          <w:p>
            <w:pPr>
              <w:spacing w:after="0"/>
              <w:rPr>
                <w:sz w:val="1"/>
                <w:szCs w:val="1"/>
                <w:color w:val="auto"/>
              </w:rPr>
            </w:pPr>
          </w:p>
        </w:tc>
      </w:tr>
      <w:tr>
        <w:trPr>
          <w:trHeight w:val="107"/>
        </w:trPr>
        <w:tc>
          <w:tcPr>
            <w:tcW w:w="2300" w:type="dxa"/>
            <w:vAlign w:val="bottom"/>
            <w:tcBorders>
              <w:bottom w:val="single" w:sz="8" w:color="003478"/>
            </w:tcBorders>
          </w:tcPr>
          <w:p>
            <w:pPr>
              <w:spacing w:after="0"/>
              <w:rPr>
                <w:sz w:val="9"/>
                <w:szCs w:val="9"/>
                <w:color w:val="auto"/>
              </w:rPr>
            </w:pPr>
          </w:p>
        </w:tc>
        <w:tc>
          <w:tcPr>
            <w:tcW w:w="140" w:type="dxa"/>
            <w:vAlign w:val="bottom"/>
            <w:tcBorders>
              <w:bottom w:val="single" w:sz="8" w:color="003478"/>
            </w:tcBorders>
          </w:tcPr>
          <w:p>
            <w:pPr>
              <w:spacing w:after="0"/>
              <w:rPr>
                <w:sz w:val="9"/>
                <w:szCs w:val="9"/>
                <w:color w:val="auto"/>
              </w:rPr>
            </w:pPr>
          </w:p>
        </w:tc>
        <w:tc>
          <w:tcPr>
            <w:tcW w:w="2300" w:type="dxa"/>
            <w:vAlign w:val="bottom"/>
            <w:tcBorders>
              <w:bottom w:val="single" w:sz="8" w:color="003478"/>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20"/>
              <w:spacing w:after="0"/>
              <w:rPr>
                <w:sz w:val="20"/>
                <w:szCs w:val="20"/>
                <w:color w:val="auto"/>
              </w:rPr>
            </w:pPr>
            <w:r>
              <w:rPr>
                <w:rFonts w:ascii="Arial" w:cs="Arial" w:eastAsia="Arial" w:hAnsi="Arial"/>
                <w:sz w:val="16"/>
                <w:szCs w:val="16"/>
                <w:color w:val="003478"/>
              </w:rPr>
              <w:t>3-Year TSR</w:t>
            </w:r>
          </w:p>
        </w:tc>
        <w:tc>
          <w:tcPr>
            <w:tcW w:w="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-1881505</wp:posOffset>
            </wp:positionV>
            <wp:extent cx="3011805" cy="39503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011805" cy="3950335"/>
                    </a:xfrm>
                    <a:prstGeom prst="rect">
                      <a:avLst/>
                    </a:prstGeom>
                    <a:noFill/>
                  </pic:spPr>
                </pic:pic>
              </a:graphicData>
            </a:graphic>
          </wp:anchor>
        </w:drawing>
      </w:r>
    </w:p>
    <w:p>
      <w:pPr>
        <w:spacing w:after="0" w:line="2861" w:lineRule="exact"/>
        <w:rPr>
          <w:sz w:val="20"/>
          <w:szCs w:val="20"/>
          <w:color w:val="auto"/>
        </w:rPr>
      </w:pPr>
    </w:p>
    <w:p>
      <w:pPr>
        <w:sectPr>
          <w:pgSz w:w="11900" w:h="16838" w:orient="portrait"/>
          <w:cols w:equalWidth="0" w:num="2">
            <w:col w:w="6280" w:space="220"/>
            <w:col w:w="4740"/>
          </w:cols>
          <w:pgMar w:left="320" w:top="254" w:right="339" w:bottom="1440" w:gutter="0" w:footer="0" w:header="0"/>
          <w:type w:val="continuous"/>
        </w:sectPr>
      </w:pPr>
    </w:p>
    <w:p>
      <w:pPr>
        <w:spacing w:after="0" w:line="200" w:lineRule="exact"/>
        <w:rPr>
          <w:sz w:val="20"/>
          <w:szCs w:val="20"/>
          <w:color w:val="auto"/>
        </w:rPr>
      </w:pPr>
    </w:p>
    <w:p>
      <w:pPr>
        <w:spacing w:after="0" w:line="378" w:lineRule="exact"/>
        <w:rPr>
          <w:sz w:val="20"/>
          <w:szCs w:val="20"/>
          <w:color w:val="auto"/>
        </w:rPr>
      </w:pPr>
    </w:p>
    <w:p>
      <w:pPr>
        <w:ind w:left="20" w:right="200"/>
        <w:spacing w:after="0" w:line="234" w:lineRule="auto"/>
        <w:rPr>
          <w:sz w:val="20"/>
          <w:szCs w:val="20"/>
          <w:color w:val="auto"/>
        </w:rPr>
      </w:pPr>
      <w:r>
        <w:rPr>
          <w:rFonts w:ascii="Arial" w:cs="Arial" w:eastAsia="Arial" w:hAnsi="Arial"/>
          <w:sz w:val="17"/>
          <w:szCs w:val="17"/>
          <w:color w:val="auto"/>
        </w:rPr>
        <w:t>We also made progress on our goals to attract, develop and retain the workforce needed to deliver our commitments to customers, employees and stockholders. Additionally, we continued our efforts to return cash to stockholders through dividends and share repurchases. During 2021, we returned $7.0 billion of cash to our stockholders, with $4.1 billion in share repurchases and $2.9 billion paid in cash dividends. We have increased our quarterly cash dividend for 20 consecutive years, reflecting the long-term strength of our cash flow generation and our commitment to stockholders.</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4"/>
          <w:szCs w:val="14"/>
          <w:color w:val="auto"/>
        </w:rPr>
        <w:t>* See Appendix A for an explanation of Non-GAAP measures.</w:t>
      </w:r>
    </w:p>
    <w:p>
      <w:pPr>
        <w:sectPr>
          <w:pgSz w:w="11900" w:h="16838" w:orient="portrait"/>
          <w:cols w:equalWidth="0" w:num="1">
            <w:col w:w="11240"/>
          </w:cols>
          <w:pgMar w:left="320" w:top="25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38</w:t>
      </w:r>
    </w:p>
    <w:p>
      <w:pPr>
        <w:sectPr>
          <w:pgSz w:w="11900" w:h="16838" w:orient="portrait"/>
          <w:cols w:equalWidth="0" w:num="1">
            <w:col w:w="11240"/>
          </w:cols>
          <w:pgMar w:left="320" w:top="254" w:right="339" w:bottom="1440" w:gutter="0" w:footer="0" w:header="0"/>
          <w:type w:val="continuous"/>
        </w:sectPr>
      </w:pPr>
    </w:p>
    <w:bookmarkStart w:id="44" w:name="page45"/>
    <w:bookmarkEnd w:id="44"/>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1"/>
          <w:szCs w:val="21"/>
          <w:color w:val="818EB4"/>
        </w:rPr>
        <w:t>Compensation Overview</w:t>
      </w:r>
    </w:p>
    <w:p>
      <w:pPr>
        <w:spacing w:after="0" w:line="12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Our executive compensation programs covering our NEOs are designed to attract and retain critical executive talent, to motivate behaviors that align with stockholders’ interests and to pay for performance. The majority of our NEOs’ pay is variable and contingent on performance with over two-thirds in the form of long-term incentives (LTI). To ensure pay is competitive with market practices, we conduct a benchmarking analysis each year when establishing base salary, annual incentive target opportunities and LTI target opportunities. Each element of compensation is evaluated against the 50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which we refer to as “market rate,” of our comparator group of companies, as shown on page 41. Although target incentive opportunities are set by reference to the market rate, incentive plan terms provide for actual payouts to be based upon actual performance that can result in payouts above or below targeted levels. Based on actual results relative to our pre-established goals under our incentive programs, the 2021 annual incentive program paid out at 125% of target and the 2019-2021 Long-Term Incentive Performance awards (LTIP) and Performance Stock Units (PSUs) paid out at 167.9% of target for all NEOs.</w:t>
      </w:r>
    </w:p>
    <w:p>
      <w:pPr>
        <w:sectPr>
          <w:pgSz w:w="11900" w:h="16838" w:orient="portrait"/>
          <w:cols w:equalWidth="0" w:num="1">
            <w:col w:w="11220"/>
          </w:cols>
          <w:pgMar w:left="320" w:top="254" w:right="359" w:bottom="1440" w:gutter="0" w:footer="0" w:header="0"/>
        </w:sectPr>
      </w:pPr>
    </w:p>
    <w:p>
      <w:pPr>
        <w:spacing w:after="0" w:line="273" w:lineRule="exact"/>
        <w:rPr>
          <w:sz w:val="20"/>
          <w:szCs w:val="20"/>
          <w:color w:val="auto"/>
        </w:rPr>
      </w:pPr>
    </w:p>
    <w:p>
      <w:pPr>
        <w:spacing w:after="0"/>
        <w:rPr>
          <w:sz w:val="20"/>
          <w:szCs w:val="20"/>
          <w:color w:val="auto"/>
        </w:rPr>
      </w:pPr>
      <w:r>
        <w:rPr>
          <w:rFonts w:ascii="Arial" w:cs="Arial" w:eastAsia="Arial" w:hAnsi="Arial"/>
          <w:sz w:val="21"/>
          <w:szCs w:val="21"/>
          <w:color w:val="818EB4"/>
        </w:rPr>
        <w:t>2021 CEO Compensation</w:t>
      </w:r>
    </w:p>
    <w:p>
      <w:pPr>
        <w:spacing w:after="0" w:line="263" w:lineRule="exact"/>
        <w:rPr>
          <w:sz w:val="20"/>
          <w:szCs w:val="20"/>
          <w:color w:val="auto"/>
        </w:rPr>
      </w:pPr>
    </w:p>
    <w:p>
      <w:pPr>
        <w:ind w:left="20" w:right="40"/>
        <w:spacing w:after="0" w:line="289" w:lineRule="auto"/>
        <w:rPr>
          <w:sz w:val="20"/>
          <w:szCs w:val="20"/>
          <w:color w:val="auto"/>
        </w:rPr>
      </w:pPr>
      <w:r>
        <w:rPr>
          <w:rFonts w:ascii="Arial" w:cs="Arial" w:eastAsia="Arial" w:hAnsi="Arial"/>
          <w:sz w:val="16"/>
          <w:szCs w:val="16"/>
          <w:b w:val="1"/>
          <w:bCs w:val="1"/>
          <w:color w:val="auto"/>
        </w:rPr>
        <w:t xml:space="preserve">2021 CEO Target Pay Mix. </w:t>
      </w:r>
      <w:r>
        <w:rPr>
          <w:rFonts w:ascii="Arial" w:cs="Arial" w:eastAsia="Arial" w:hAnsi="Arial"/>
          <w:sz w:val="16"/>
          <w:szCs w:val="16"/>
          <w:color w:val="auto"/>
        </w:rPr>
        <w:t>We believe that the compensation opportunities</w:t>
      </w:r>
      <w:r>
        <w:rPr>
          <w:rFonts w:ascii="Arial" w:cs="Arial" w:eastAsia="Arial" w:hAnsi="Arial"/>
          <w:sz w:val="16"/>
          <w:szCs w:val="16"/>
          <w:b w:val="1"/>
          <w:bCs w:val="1"/>
          <w:color w:val="auto"/>
        </w:rPr>
        <w:t xml:space="preserve"> </w:t>
      </w:r>
      <w:r>
        <w:rPr>
          <w:rFonts w:ascii="Arial" w:cs="Arial" w:eastAsia="Arial" w:hAnsi="Arial"/>
          <w:sz w:val="16"/>
          <w:szCs w:val="16"/>
          <w:color w:val="auto"/>
        </w:rPr>
        <w:t>of our CEO should be predominantly variable, and the variable elements of the compensation package should tie to the Company’s long-term success and the achievement of sustainable long-term total returns to our stockholders. As shown in the chart to the right, a significant portion of our CEO’s target compensation is variable and in the form of LTI with more than half of total target pay in the form of equity-based incentives.</w:t>
      </w:r>
    </w:p>
    <w:p>
      <w:pPr>
        <w:spacing w:after="0" w:line="62" w:lineRule="exact"/>
        <w:rPr>
          <w:sz w:val="20"/>
          <w:szCs w:val="20"/>
          <w:color w:val="auto"/>
        </w:rPr>
      </w:pPr>
    </w:p>
    <w:p>
      <w:pPr>
        <w:ind w:left="20" w:right="860"/>
        <w:spacing w:after="0" w:line="298" w:lineRule="auto"/>
        <w:rPr>
          <w:sz w:val="20"/>
          <w:szCs w:val="20"/>
          <w:color w:val="auto"/>
        </w:rPr>
      </w:pPr>
      <w:r>
        <w:rPr>
          <w:rFonts w:ascii="Arial" w:cs="Arial" w:eastAsia="Arial" w:hAnsi="Arial"/>
          <w:sz w:val="17"/>
          <w:szCs w:val="17"/>
          <w:b w:val="1"/>
          <w:bCs w:val="1"/>
          <w:color w:val="auto"/>
        </w:rPr>
        <w:t xml:space="preserve">Base Salary. </w:t>
      </w:r>
      <w:r>
        <w:rPr>
          <w:rFonts w:ascii="Arial" w:cs="Arial" w:eastAsia="Arial" w:hAnsi="Arial"/>
          <w:sz w:val="17"/>
          <w:szCs w:val="17"/>
          <w:color w:val="auto"/>
        </w:rPr>
        <w:t>In 2021, Mr. Taiclet’s annual base salary was set at</w:t>
      </w:r>
      <w:r>
        <w:rPr>
          <w:rFonts w:ascii="Arial" w:cs="Arial" w:eastAsia="Arial" w:hAnsi="Arial"/>
          <w:sz w:val="17"/>
          <w:szCs w:val="17"/>
          <w:b w:val="1"/>
          <w:bCs w:val="1"/>
          <w:color w:val="auto"/>
        </w:rPr>
        <w:t xml:space="preserve"> </w:t>
      </w:r>
      <w:r>
        <w:rPr>
          <w:rFonts w:ascii="Arial" w:cs="Arial" w:eastAsia="Arial" w:hAnsi="Arial"/>
          <w:sz w:val="17"/>
          <w:szCs w:val="17"/>
          <w:color w:val="auto"/>
        </w:rPr>
        <w:t>$1,751,000.</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2021 Annual Incentive. </w:t>
      </w:r>
      <w:r>
        <w:rPr>
          <w:rFonts w:ascii="Arial" w:cs="Arial" w:eastAsia="Arial" w:hAnsi="Arial"/>
          <w:sz w:val="17"/>
          <w:szCs w:val="17"/>
          <w:color w:val="auto"/>
        </w:rPr>
        <w:t>Mr. Taiclet’s target annual incentive amount for</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7"/>
          <w:szCs w:val="17"/>
          <w:color w:val="auto"/>
        </w:rPr>
        <w:t>2021 was 185% of salary or $3,239,350.</w:t>
      </w:r>
    </w:p>
    <w:p>
      <w:pPr>
        <w:spacing w:after="0" w:line="107" w:lineRule="exact"/>
        <w:rPr>
          <w:sz w:val="20"/>
          <w:szCs w:val="20"/>
          <w:color w:val="auto"/>
        </w:rPr>
      </w:pPr>
    </w:p>
    <w:p>
      <w:pPr>
        <w:ind w:left="20" w:right="20"/>
        <w:spacing w:after="0" w:line="270" w:lineRule="auto"/>
        <w:rPr>
          <w:sz w:val="20"/>
          <w:szCs w:val="20"/>
          <w:color w:val="auto"/>
        </w:rPr>
      </w:pPr>
      <w:r>
        <w:rPr>
          <w:rFonts w:ascii="Arial" w:cs="Arial" w:eastAsia="Arial" w:hAnsi="Arial"/>
          <w:sz w:val="17"/>
          <w:szCs w:val="17"/>
          <w:b w:val="1"/>
          <w:bCs w:val="1"/>
          <w:color w:val="auto"/>
        </w:rPr>
        <w:t xml:space="preserve">2021-2023 Long-Term Incentives. </w:t>
      </w:r>
      <w:r>
        <w:rPr>
          <w:rFonts w:ascii="Arial" w:cs="Arial" w:eastAsia="Arial" w:hAnsi="Arial"/>
          <w:sz w:val="17"/>
          <w:szCs w:val="17"/>
          <w:color w:val="auto"/>
        </w:rPr>
        <w:t>In 2021, Mr. Taiclet was granted an</w:t>
      </w:r>
      <w:r>
        <w:rPr>
          <w:rFonts w:ascii="Arial" w:cs="Arial" w:eastAsia="Arial" w:hAnsi="Arial"/>
          <w:sz w:val="17"/>
          <w:szCs w:val="17"/>
          <w:b w:val="1"/>
          <w:bCs w:val="1"/>
          <w:color w:val="auto"/>
        </w:rPr>
        <w:t xml:space="preserve"> </w:t>
      </w:r>
      <w:r>
        <w:rPr>
          <w:rFonts w:ascii="Arial" w:cs="Arial" w:eastAsia="Arial" w:hAnsi="Arial"/>
          <w:sz w:val="17"/>
          <w:szCs w:val="17"/>
          <w:color w:val="auto"/>
        </w:rPr>
        <w:t>annual LTI award of approximately $14 million, which was allocated 50% in PSUs, 30% in RSUs, and 20% in the cash-based LTIP. RSUs will cliff-vest after three years, while the payout of PSUs and LTIP will be based upon our results at the end of the three-year performance period relative to the three-year performance goals that were established in the beginning of 2021.</w:t>
      </w:r>
    </w:p>
    <w:p>
      <w:pPr>
        <w:spacing w:after="0" w:line="78" w:lineRule="exact"/>
        <w:rPr>
          <w:sz w:val="20"/>
          <w:szCs w:val="20"/>
          <w:color w:val="auto"/>
        </w:rPr>
      </w:pPr>
    </w:p>
    <w:p>
      <w:pPr>
        <w:ind w:left="20"/>
        <w:spacing w:after="0" w:line="269" w:lineRule="auto"/>
        <w:rPr>
          <w:sz w:val="20"/>
          <w:szCs w:val="20"/>
          <w:color w:val="auto"/>
        </w:rPr>
      </w:pPr>
      <w:r>
        <w:rPr>
          <w:rFonts w:ascii="Arial" w:cs="Arial" w:eastAsia="Arial" w:hAnsi="Arial"/>
          <w:sz w:val="17"/>
          <w:szCs w:val="17"/>
          <w:b w:val="1"/>
          <w:bCs w:val="1"/>
          <w:color w:val="auto"/>
        </w:rPr>
        <w:t xml:space="preserve">Benefit and Retirement Plans. </w:t>
      </w:r>
      <w:r>
        <w:rPr>
          <w:rFonts w:ascii="Arial" w:cs="Arial" w:eastAsia="Arial" w:hAnsi="Arial"/>
          <w:sz w:val="17"/>
          <w:szCs w:val="17"/>
          <w:color w:val="auto"/>
        </w:rPr>
        <w:t>Mr. Taiclet is eligible for benefit and</w:t>
      </w:r>
      <w:r>
        <w:rPr>
          <w:rFonts w:ascii="Arial" w:cs="Arial" w:eastAsia="Arial" w:hAnsi="Arial"/>
          <w:sz w:val="17"/>
          <w:szCs w:val="17"/>
          <w:b w:val="1"/>
          <w:bCs w:val="1"/>
          <w:color w:val="auto"/>
        </w:rPr>
        <w:t xml:space="preserve"> </w:t>
      </w:r>
      <w:r>
        <w:rPr>
          <w:rFonts w:ascii="Arial" w:cs="Arial" w:eastAsia="Arial" w:hAnsi="Arial"/>
          <w:sz w:val="17"/>
          <w:szCs w:val="17"/>
          <w:color w:val="auto"/>
        </w:rPr>
        <w:t>retirement programs, similar to other salaried employees. None of our NEOs received additional years of service credits or other forms of formula enhancements under our benefit or retirement plans. Mr. Taiclet does not participate in our pension plan, as the salaried pension plan was closed to employees hired after December 31, 2005 and fully frozen effective January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1517015</wp:posOffset>
            </wp:positionV>
            <wp:extent cx="963930" cy="2216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
        <w:spacing w:after="0"/>
        <w:rPr>
          <w:sz w:val="20"/>
          <w:szCs w:val="20"/>
          <w:color w:val="auto"/>
        </w:rPr>
      </w:pPr>
      <w:r>
        <w:rPr>
          <w:rFonts w:ascii="Arial" w:cs="Arial" w:eastAsia="Arial" w:hAnsi="Arial"/>
          <w:sz w:val="16"/>
          <w:szCs w:val="16"/>
          <w:color w:val="475C90"/>
        </w:rPr>
        <w:t>CEO Target Opportunity Mix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-142875</wp:posOffset>
            </wp:positionV>
            <wp:extent cx="3319145" cy="376301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19145"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68" w:right="80" w:hanging="168"/>
        <w:spacing w:after="0" w:line="244" w:lineRule="auto"/>
        <w:tabs>
          <w:tab w:leader="none" w:pos="102" w:val="left"/>
        </w:tabs>
        <w:numPr>
          <w:ilvl w:val="0"/>
          <w:numId w:val="68"/>
        </w:numPr>
        <w:rPr>
          <w:rFonts w:ascii="Arial" w:cs="Arial" w:eastAsia="Arial" w:hAnsi="Arial"/>
          <w:sz w:val="14"/>
          <w:szCs w:val="14"/>
          <w:color w:val="auto"/>
        </w:rPr>
      </w:pPr>
      <w:r>
        <w:rPr>
          <w:rFonts w:ascii="Arial" w:cs="Arial" w:eastAsia="Arial" w:hAnsi="Arial"/>
          <w:sz w:val="14"/>
          <w:szCs w:val="14"/>
          <w:color w:val="auto"/>
        </w:rPr>
        <w:t>Fixed vs. variable and cash vs. equity components are designated in the Compensation Elements table on page 43. We consider base salary and annual incentives as short-term pay and PSUs, LTIP and RSUs as long-term pay. Cash represents base salary, annual incentive target and LTIP target. We do not include retirement or other compensation components in the chart.</w:t>
      </w:r>
    </w:p>
    <w:p>
      <w:pPr>
        <w:spacing w:after="0" w:line="200" w:lineRule="exact"/>
        <w:rPr>
          <w:sz w:val="20"/>
          <w:szCs w:val="20"/>
          <w:color w:val="auto"/>
        </w:rPr>
      </w:pPr>
    </w:p>
    <w:p>
      <w:pPr>
        <w:sectPr>
          <w:pgSz w:w="11900" w:h="16838" w:orient="portrait"/>
          <w:cols w:equalWidth="0" w:num="2">
            <w:col w:w="5760" w:space="272"/>
            <w:col w:w="5188"/>
          </w:cols>
          <w:pgMar w:left="320" w:top="25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39</w:t>
      </w:r>
    </w:p>
    <w:p>
      <w:pPr>
        <w:sectPr>
          <w:pgSz w:w="11900" w:h="16838" w:orient="portrait"/>
          <w:cols w:equalWidth="0" w:num="1">
            <w:col w:w="11220"/>
          </w:cols>
          <w:pgMar w:left="320" w:top="254" w:right="359" w:bottom="1440" w:gutter="0" w:footer="0" w:header="0"/>
          <w:type w:val="continuous"/>
        </w:sectPr>
      </w:pPr>
    </w:p>
    <w:bookmarkStart w:id="45" w:name="page46"/>
    <w:bookmarkEnd w:id="45"/>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Executive Compensation</w:t>
      </w:r>
    </w:p>
    <w:p>
      <w:pPr>
        <w:sectPr>
          <w:pgSz w:w="11900" w:h="16838" w:orient="portrait"/>
          <w:cols w:equalWidth="0" w:num="1">
            <w:col w:w="11240"/>
          </w:cols>
          <w:pgMar w:left="320" w:top="254"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5"/>
          <w:szCs w:val="25"/>
          <w:color w:val="818EB4"/>
        </w:rPr>
        <w:t>Summary of Compensation Approach</w:t>
      </w:r>
    </w:p>
    <w:p>
      <w:pPr>
        <w:spacing w:after="0" w:line="108" w:lineRule="exact"/>
        <w:rPr>
          <w:sz w:val="20"/>
          <w:szCs w:val="20"/>
          <w:color w:val="auto"/>
        </w:rPr>
      </w:pPr>
    </w:p>
    <w:p>
      <w:pPr>
        <w:spacing w:after="0"/>
        <w:rPr>
          <w:sz w:val="20"/>
          <w:szCs w:val="20"/>
          <w:color w:val="auto"/>
        </w:rPr>
      </w:pPr>
      <w:r>
        <w:rPr>
          <w:rFonts w:ascii="Arial" w:cs="Arial" w:eastAsia="Arial" w:hAnsi="Arial"/>
          <w:sz w:val="21"/>
          <w:szCs w:val="21"/>
          <w:color w:val="818EB4"/>
        </w:rPr>
        <w:t>Guiding Pay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2752090</wp:posOffset>
            </wp:positionH>
            <wp:positionV relativeFrom="paragraph">
              <wp:posOffset>89535</wp:posOffset>
            </wp:positionV>
            <wp:extent cx="136525" cy="679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36525" cy="67945"/>
                    </a:xfrm>
                    <a:prstGeom prst="rect">
                      <a:avLst/>
                    </a:prstGeom>
                    <a:noFill/>
                  </pic:spPr>
                </pic:pic>
              </a:graphicData>
            </a:graphic>
          </wp:anchor>
        </w:drawing>
        <w:drawing>
          <wp:anchor simplePos="0" relativeHeight="251657728" behindDoc="1" locked="0" layoutInCell="0" allowOverlap="1">
            <wp:simplePos x="0" y="0"/>
            <wp:positionH relativeFrom="column">
              <wp:posOffset>1292860</wp:posOffset>
            </wp:positionH>
            <wp:positionV relativeFrom="paragraph">
              <wp:posOffset>89535</wp:posOffset>
            </wp:positionV>
            <wp:extent cx="136525" cy="679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36525" cy="67945"/>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040" w:type="dxa"/>
            <w:vAlign w:val="bottom"/>
            <w:shd w:val="clear" w:color="auto" w:fill="003478"/>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shd w:val="clear" w:color="auto" w:fill="003478"/>
          </w:tcPr>
          <w:p>
            <w:pPr>
              <w:spacing w:after="0"/>
              <w:rPr>
                <w:sz w:val="9"/>
                <w:szCs w:val="9"/>
                <w:color w:val="auto"/>
              </w:rPr>
            </w:pPr>
          </w:p>
        </w:tc>
        <w:tc>
          <w:tcPr>
            <w:tcW w:w="200" w:type="dxa"/>
            <w:vAlign w:val="bottom"/>
          </w:tcPr>
          <w:p>
            <w:pPr>
              <w:spacing w:after="0"/>
              <w:rPr>
                <w:sz w:val="9"/>
                <w:szCs w:val="9"/>
                <w:color w:val="auto"/>
              </w:rPr>
            </w:pPr>
          </w:p>
        </w:tc>
        <w:tc>
          <w:tcPr>
            <w:tcW w:w="2080" w:type="dxa"/>
            <w:vAlign w:val="bottom"/>
            <w:shd w:val="clear" w:color="auto" w:fill="003478"/>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shd w:val="clear" w:color="auto" w:fill="003478"/>
          </w:tcPr>
          <w:p>
            <w:pPr>
              <w:spacing w:after="0"/>
              <w:rPr>
                <w:sz w:val="9"/>
                <w:szCs w:val="9"/>
                <w:color w:val="auto"/>
              </w:rPr>
            </w:pPr>
          </w:p>
        </w:tc>
      </w:tr>
      <w:tr>
        <w:trPr>
          <w:trHeight w:val="283"/>
        </w:trPr>
        <w:tc>
          <w:tcPr>
            <w:tcW w:w="2040" w:type="dxa"/>
            <w:vAlign w:val="bottom"/>
            <w:shd w:val="clear" w:color="auto" w:fill="E4E6EF"/>
          </w:tcPr>
          <w:p>
            <w:pPr>
              <w:ind w:left="60"/>
              <w:spacing w:after="0"/>
              <w:rPr>
                <w:sz w:val="20"/>
                <w:szCs w:val="20"/>
                <w:color w:val="auto"/>
              </w:rPr>
            </w:pPr>
            <w:r>
              <w:rPr>
                <w:rFonts w:ascii="Arial" w:cs="Arial" w:eastAsia="Arial" w:hAnsi="Arial"/>
                <w:sz w:val="17"/>
                <w:szCs w:val="17"/>
                <w:b w:val="1"/>
                <w:bCs w:val="1"/>
                <w:color w:val="002E6D"/>
              </w:rPr>
              <w:t>Attract, motivate and</w:t>
            </w:r>
          </w:p>
        </w:tc>
        <w:tc>
          <w:tcPr>
            <w:tcW w:w="200" w:type="dxa"/>
            <w:vAlign w:val="bottom"/>
          </w:tcPr>
          <w:p>
            <w:pPr>
              <w:spacing w:after="0"/>
              <w:rPr>
                <w:sz w:val="24"/>
                <w:szCs w:val="24"/>
                <w:color w:val="auto"/>
              </w:rPr>
            </w:pPr>
          </w:p>
        </w:tc>
        <w:tc>
          <w:tcPr>
            <w:tcW w:w="2100" w:type="dxa"/>
            <w:vAlign w:val="bottom"/>
            <w:shd w:val="clear" w:color="auto" w:fill="E4E6EF"/>
          </w:tcPr>
          <w:p>
            <w:pPr>
              <w:ind w:left="60"/>
              <w:spacing w:after="0"/>
              <w:rPr>
                <w:sz w:val="20"/>
                <w:szCs w:val="20"/>
                <w:color w:val="auto"/>
              </w:rPr>
            </w:pPr>
            <w:r>
              <w:rPr>
                <w:rFonts w:ascii="Arial" w:cs="Arial" w:eastAsia="Arial" w:hAnsi="Arial"/>
                <w:sz w:val="17"/>
                <w:szCs w:val="17"/>
                <w:b w:val="1"/>
                <w:bCs w:val="1"/>
                <w:color w:val="002E6D"/>
              </w:rPr>
              <w:t>Market-based 50</w:t>
            </w:r>
            <w:r>
              <w:rPr>
                <w:rFonts w:ascii="Arial" w:cs="Arial" w:eastAsia="Arial" w:hAnsi="Arial"/>
                <w:sz w:val="22"/>
                <w:szCs w:val="22"/>
                <w:b w:val="1"/>
                <w:bCs w:val="1"/>
                <w:color w:val="002E6D"/>
                <w:vertAlign w:val="superscript"/>
              </w:rPr>
              <w:t>th</w:t>
            </w:r>
          </w:p>
        </w:tc>
        <w:tc>
          <w:tcPr>
            <w:tcW w:w="200" w:type="dxa"/>
            <w:vAlign w:val="bottom"/>
          </w:tcPr>
          <w:p>
            <w:pPr>
              <w:spacing w:after="0"/>
              <w:rPr>
                <w:sz w:val="24"/>
                <w:szCs w:val="24"/>
                <w:color w:val="auto"/>
              </w:rPr>
            </w:pPr>
          </w:p>
        </w:tc>
        <w:tc>
          <w:tcPr>
            <w:tcW w:w="2080" w:type="dxa"/>
            <w:vAlign w:val="bottom"/>
            <w:shd w:val="clear" w:color="auto" w:fill="E4E6EF"/>
          </w:tcPr>
          <w:p>
            <w:pPr>
              <w:ind w:left="60"/>
              <w:spacing w:after="0"/>
              <w:rPr>
                <w:sz w:val="20"/>
                <w:szCs w:val="20"/>
                <w:color w:val="auto"/>
              </w:rPr>
            </w:pPr>
            <w:r>
              <w:rPr>
                <w:rFonts w:ascii="Arial" w:cs="Arial" w:eastAsia="Arial" w:hAnsi="Arial"/>
                <w:sz w:val="17"/>
                <w:szCs w:val="17"/>
                <w:b w:val="1"/>
                <w:bCs w:val="1"/>
                <w:color w:val="002E6D"/>
              </w:rPr>
              <w:t xml:space="preserve">Link executive pay </w:t>
            </w:r>
            <w:r>
              <w:rPr>
                <w:rFonts w:ascii="Arial" w:cs="Arial" w:eastAsia="Arial" w:hAnsi="Arial"/>
                <w:sz w:val="17"/>
                <w:szCs w:val="17"/>
                <w:color w:val="000000"/>
              </w:rPr>
              <w:t>to</w:t>
            </w:r>
          </w:p>
        </w:tc>
        <w:tc>
          <w:tcPr>
            <w:tcW w:w="200" w:type="dxa"/>
            <w:vAlign w:val="bottom"/>
          </w:tcPr>
          <w:p>
            <w:pPr>
              <w:spacing w:after="0"/>
              <w:rPr>
                <w:sz w:val="24"/>
                <w:szCs w:val="24"/>
                <w:color w:val="auto"/>
              </w:rPr>
            </w:pPr>
          </w:p>
        </w:tc>
        <w:tc>
          <w:tcPr>
            <w:tcW w:w="2100" w:type="dxa"/>
            <w:vAlign w:val="bottom"/>
            <w:shd w:val="clear" w:color="auto" w:fill="E4E6EF"/>
          </w:tcPr>
          <w:p>
            <w:pPr>
              <w:ind w:left="60"/>
              <w:spacing w:after="0"/>
              <w:rPr>
                <w:sz w:val="20"/>
                <w:szCs w:val="20"/>
                <w:color w:val="auto"/>
              </w:rPr>
            </w:pPr>
            <w:r>
              <w:rPr>
                <w:rFonts w:ascii="Arial" w:cs="Arial" w:eastAsia="Arial" w:hAnsi="Arial"/>
                <w:sz w:val="17"/>
                <w:szCs w:val="17"/>
                <w:b w:val="1"/>
                <w:bCs w:val="1"/>
                <w:color w:val="002E6D"/>
              </w:rPr>
              <w:t>Provide an appropriate</w:t>
            </w:r>
          </w:p>
        </w:tc>
      </w:tr>
      <w:tr>
        <w:trPr>
          <w:trHeight w:val="224"/>
        </w:trPr>
        <w:tc>
          <w:tcPr>
            <w:tcW w:w="2040" w:type="dxa"/>
            <w:vAlign w:val="bottom"/>
            <w:shd w:val="clear" w:color="auto" w:fill="E4E6EF"/>
          </w:tcPr>
          <w:p>
            <w:pPr>
              <w:ind w:left="60"/>
              <w:spacing w:after="0"/>
              <w:rPr>
                <w:sz w:val="20"/>
                <w:szCs w:val="20"/>
                <w:color w:val="auto"/>
              </w:rPr>
            </w:pPr>
            <w:r>
              <w:rPr>
                <w:rFonts w:ascii="Arial" w:cs="Arial" w:eastAsia="Arial" w:hAnsi="Arial"/>
                <w:sz w:val="17"/>
                <w:szCs w:val="17"/>
                <w:b w:val="1"/>
                <w:bCs w:val="1"/>
                <w:color w:val="002E6D"/>
              </w:rPr>
              <w:t xml:space="preserve">retain </w:t>
            </w:r>
            <w:r>
              <w:rPr>
                <w:rFonts w:ascii="Arial" w:cs="Arial" w:eastAsia="Arial" w:hAnsi="Arial"/>
                <w:sz w:val="17"/>
                <w:szCs w:val="17"/>
                <w:color w:val="000000"/>
              </w:rPr>
              <w:t>executive talent</w:t>
            </w:r>
          </w:p>
        </w:tc>
        <w:tc>
          <w:tcPr>
            <w:tcW w:w="200" w:type="dxa"/>
            <w:vAlign w:val="bottom"/>
          </w:tcPr>
          <w:p>
            <w:pPr>
              <w:spacing w:after="0"/>
              <w:rPr>
                <w:sz w:val="19"/>
                <w:szCs w:val="19"/>
                <w:color w:val="auto"/>
              </w:rPr>
            </w:pPr>
          </w:p>
        </w:tc>
        <w:tc>
          <w:tcPr>
            <w:tcW w:w="2100" w:type="dxa"/>
            <w:vAlign w:val="bottom"/>
            <w:shd w:val="clear" w:color="auto" w:fill="E4E6EF"/>
          </w:tcPr>
          <w:p>
            <w:pPr>
              <w:ind w:left="60"/>
              <w:spacing w:after="0"/>
              <w:rPr>
                <w:sz w:val="20"/>
                <w:szCs w:val="20"/>
                <w:color w:val="auto"/>
              </w:rPr>
            </w:pPr>
            <w:r>
              <w:rPr>
                <w:rFonts w:ascii="Arial" w:cs="Arial" w:eastAsia="Arial" w:hAnsi="Arial"/>
                <w:sz w:val="17"/>
                <w:szCs w:val="17"/>
                <w:b w:val="1"/>
                <w:bCs w:val="1"/>
                <w:color w:val="002E6D"/>
              </w:rPr>
              <w:t xml:space="preserve">percentile approach </w:t>
            </w:r>
            <w:r>
              <w:rPr>
                <w:rFonts w:ascii="Arial" w:cs="Arial" w:eastAsia="Arial" w:hAnsi="Arial"/>
                <w:sz w:val="17"/>
                <w:szCs w:val="17"/>
                <w:color w:val="000000"/>
              </w:rPr>
              <w:t>to</w:t>
            </w:r>
          </w:p>
        </w:tc>
        <w:tc>
          <w:tcPr>
            <w:tcW w:w="200" w:type="dxa"/>
            <w:vAlign w:val="bottom"/>
          </w:tcPr>
          <w:p>
            <w:pPr>
              <w:spacing w:after="0"/>
              <w:rPr>
                <w:sz w:val="19"/>
                <w:szCs w:val="19"/>
                <w:color w:val="auto"/>
              </w:rPr>
            </w:pPr>
          </w:p>
        </w:tc>
        <w:tc>
          <w:tcPr>
            <w:tcW w:w="2080" w:type="dxa"/>
            <w:vAlign w:val="bottom"/>
            <w:shd w:val="clear" w:color="auto" w:fill="E4E6EF"/>
          </w:tcPr>
          <w:p>
            <w:pPr>
              <w:ind w:left="60"/>
              <w:spacing w:after="0"/>
              <w:rPr>
                <w:sz w:val="20"/>
                <w:szCs w:val="20"/>
                <w:color w:val="auto"/>
              </w:rPr>
            </w:pPr>
            <w:r>
              <w:rPr>
                <w:rFonts w:ascii="Arial" w:cs="Arial" w:eastAsia="Arial" w:hAnsi="Arial"/>
                <w:sz w:val="17"/>
                <w:szCs w:val="17"/>
                <w:color w:val="auto"/>
              </w:rPr>
              <w:t>enterprise performance</w:t>
            </w:r>
          </w:p>
        </w:tc>
        <w:tc>
          <w:tcPr>
            <w:tcW w:w="200" w:type="dxa"/>
            <w:vAlign w:val="bottom"/>
          </w:tcPr>
          <w:p>
            <w:pPr>
              <w:spacing w:after="0"/>
              <w:rPr>
                <w:sz w:val="19"/>
                <w:szCs w:val="19"/>
                <w:color w:val="auto"/>
              </w:rPr>
            </w:pPr>
          </w:p>
        </w:tc>
        <w:tc>
          <w:tcPr>
            <w:tcW w:w="2100" w:type="dxa"/>
            <w:vAlign w:val="bottom"/>
            <w:shd w:val="clear" w:color="auto" w:fill="E4E6EF"/>
          </w:tcPr>
          <w:p>
            <w:pPr>
              <w:ind w:left="60"/>
              <w:spacing w:after="0"/>
              <w:rPr>
                <w:sz w:val="20"/>
                <w:szCs w:val="20"/>
                <w:color w:val="auto"/>
              </w:rPr>
            </w:pPr>
            <w:r>
              <w:rPr>
                <w:rFonts w:ascii="Arial" w:cs="Arial" w:eastAsia="Arial" w:hAnsi="Arial"/>
                <w:sz w:val="17"/>
                <w:szCs w:val="17"/>
                <w:b w:val="1"/>
                <w:bCs w:val="1"/>
                <w:color w:val="002E6D"/>
              </w:rPr>
              <w:t xml:space="preserve">mix </w:t>
            </w:r>
            <w:r>
              <w:rPr>
                <w:rFonts w:ascii="Arial" w:cs="Arial" w:eastAsia="Arial" w:hAnsi="Arial"/>
                <w:sz w:val="17"/>
                <w:szCs w:val="17"/>
                <w:color w:val="000000"/>
              </w:rPr>
              <w:t>of short-term vs. long-</w:t>
            </w:r>
          </w:p>
        </w:tc>
      </w:tr>
      <w:tr>
        <w:trPr>
          <w:trHeight w:val="215"/>
        </w:trPr>
        <w:tc>
          <w:tcPr>
            <w:tcW w:w="2040" w:type="dxa"/>
            <w:vAlign w:val="bottom"/>
            <w:shd w:val="clear" w:color="auto" w:fill="E4E6EF"/>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shd w:val="clear" w:color="auto" w:fill="E4E6EF"/>
          </w:tcPr>
          <w:p>
            <w:pPr>
              <w:ind w:left="60"/>
              <w:spacing w:after="0"/>
              <w:rPr>
                <w:sz w:val="20"/>
                <w:szCs w:val="20"/>
                <w:color w:val="auto"/>
              </w:rPr>
            </w:pPr>
            <w:r>
              <w:rPr>
                <w:rFonts w:ascii="Arial" w:cs="Arial" w:eastAsia="Arial" w:hAnsi="Arial"/>
                <w:sz w:val="17"/>
                <w:szCs w:val="17"/>
                <w:color w:val="auto"/>
              </w:rPr>
              <w:t>target all compensation</w:t>
            </w:r>
          </w:p>
        </w:tc>
        <w:tc>
          <w:tcPr>
            <w:tcW w:w="200" w:type="dxa"/>
            <w:vAlign w:val="bottom"/>
          </w:tcPr>
          <w:p>
            <w:pPr>
              <w:spacing w:after="0"/>
              <w:rPr>
                <w:sz w:val="18"/>
                <w:szCs w:val="18"/>
                <w:color w:val="auto"/>
              </w:rPr>
            </w:pPr>
          </w:p>
        </w:tc>
        <w:tc>
          <w:tcPr>
            <w:tcW w:w="2080" w:type="dxa"/>
            <w:vAlign w:val="bottom"/>
            <w:shd w:val="clear" w:color="auto" w:fill="E4E6EF"/>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shd w:val="clear" w:color="auto" w:fill="E4E6EF"/>
          </w:tcPr>
          <w:p>
            <w:pPr>
              <w:ind w:left="60"/>
              <w:spacing w:after="0"/>
              <w:rPr>
                <w:sz w:val="20"/>
                <w:szCs w:val="20"/>
                <w:color w:val="auto"/>
              </w:rPr>
            </w:pPr>
            <w:r>
              <w:rPr>
                <w:rFonts w:ascii="Arial" w:cs="Arial" w:eastAsia="Arial" w:hAnsi="Arial"/>
                <w:sz w:val="17"/>
                <w:szCs w:val="17"/>
                <w:color w:val="auto"/>
              </w:rPr>
              <w:t>term pay and fixed vs.</w:t>
            </w:r>
          </w:p>
        </w:tc>
      </w:tr>
      <w:tr>
        <w:trPr>
          <w:trHeight w:val="215"/>
        </w:trPr>
        <w:tc>
          <w:tcPr>
            <w:tcW w:w="2040" w:type="dxa"/>
            <w:vAlign w:val="bottom"/>
            <w:shd w:val="clear" w:color="auto" w:fill="E4E6EF"/>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shd w:val="clear" w:color="auto" w:fill="E4E6EF"/>
          </w:tcPr>
          <w:p>
            <w:pPr>
              <w:ind w:left="60"/>
              <w:spacing w:after="0"/>
              <w:rPr>
                <w:sz w:val="20"/>
                <w:szCs w:val="20"/>
                <w:color w:val="auto"/>
              </w:rPr>
            </w:pPr>
            <w:r>
              <w:rPr>
                <w:rFonts w:ascii="Arial" w:cs="Arial" w:eastAsia="Arial" w:hAnsi="Arial"/>
                <w:sz w:val="17"/>
                <w:szCs w:val="17"/>
                <w:color w:val="auto"/>
              </w:rPr>
              <w:t>elements</w:t>
            </w:r>
          </w:p>
        </w:tc>
        <w:tc>
          <w:tcPr>
            <w:tcW w:w="200" w:type="dxa"/>
            <w:vAlign w:val="bottom"/>
          </w:tcPr>
          <w:p>
            <w:pPr>
              <w:spacing w:after="0"/>
              <w:rPr>
                <w:sz w:val="18"/>
                <w:szCs w:val="18"/>
                <w:color w:val="auto"/>
              </w:rPr>
            </w:pPr>
          </w:p>
        </w:tc>
        <w:tc>
          <w:tcPr>
            <w:tcW w:w="2080" w:type="dxa"/>
            <w:vAlign w:val="bottom"/>
            <w:shd w:val="clear" w:color="auto" w:fill="E4E6EF"/>
          </w:tcPr>
          <w:p>
            <w:pPr>
              <w:spacing w:after="0"/>
              <w:rPr>
                <w:sz w:val="18"/>
                <w:szCs w:val="18"/>
                <w:color w:val="auto"/>
              </w:rPr>
            </w:pPr>
          </w:p>
        </w:tc>
        <w:tc>
          <w:tcPr>
            <w:tcW w:w="200" w:type="dxa"/>
            <w:vAlign w:val="bottom"/>
          </w:tcPr>
          <w:p>
            <w:pPr>
              <w:spacing w:after="0"/>
              <w:rPr>
                <w:sz w:val="18"/>
                <w:szCs w:val="18"/>
                <w:color w:val="auto"/>
              </w:rPr>
            </w:pPr>
          </w:p>
        </w:tc>
        <w:tc>
          <w:tcPr>
            <w:tcW w:w="2100" w:type="dxa"/>
            <w:vAlign w:val="bottom"/>
            <w:shd w:val="clear" w:color="auto" w:fill="E4E6EF"/>
          </w:tcPr>
          <w:p>
            <w:pPr>
              <w:ind w:left="60"/>
              <w:spacing w:after="0"/>
              <w:rPr>
                <w:sz w:val="20"/>
                <w:szCs w:val="20"/>
                <w:color w:val="auto"/>
              </w:rPr>
            </w:pPr>
            <w:r>
              <w:rPr>
                <w:rFonts w:ascii="Arial" w:cs="Arial" w:eastAsia="Arial" w:hAnsi="Arial"/>
                <w:sz w:val="17"/>
                <w:szCs w:val="17"/>
                <w:color w:val="auto"/>
              </w:rPr>
              <w:t>variable pay</w:t>
            </w:r>
          </w:p>
        </w:tc>
      </w:tr>
      <w:tr>
        <w:trPr>
          <w:trHeight w:val="84"/>
        </w:trPr>
        <w:tc>
          <w:tcPr>
            <w:tcW w:w="2040" w:type="dxa"/>
            <w:vAlign w:val="bottom"/>
            <w:shd w:val="clear" w:color="auto" w:fill="E4E6EF"/>
          </w:tcPr>
          <w:p>
            <w:pPr>
              <w:spacing w:after="0"/>
              <w:rPr>
                <w:sz w:val="7"/>
                <w:szCs w:val="7"/>
                <w:color w:val="auto"/>
              </w:rPr>
            </w:pPr>
          </w:p>
        </w:tc>
        <w:tc>
          <w:tcPr>
            <w:tcW w:w="200" w:type="dxa"/>
            <w:vAlign w:val="bottom"/>
          </w:tcPr>
          <w:p>
            <w:pPr>
              <w:spacing w:after="0"/>
              <w:rPr>
                <w:sz w:val="7"/>
                <w:szCs w:val="7"/>
                <w:color w:val="auto"/>
              </w:rPr>
            </w:pPr>
          </w:p>
        </w:tc>
        <w:tc>
          <w:tcPr>
            <w:tcW w:w="2100" w:type="dxa"/>
            <w:vAlign w:val="bottom"/>
            <w:shd w:val="clear" w:color="auto" w:fill="E4E6EF"/>
          </w:tcPr>
          <w:p>
            <w:pPr>
              <w:spacing w:after="0"/>
              <w:rPr>
                <w:sz w:val="7"/>
                <w:szCs w:val="7"/>
                <w:color w:val="auto"/>
              </w:rPr>
            </w:pPr>
          </w:p>
        </w:tc>
        <w:tc>
          <w:tcPr>
            <w:tcW w:w="200" w:type="dxa"/>
            <w:vAlign w:val="bottom"/>
          </w:tcPr>
          <w:p>
            <w:pPr>
              <w:spacing w:after="0"/>
              <w:rPr>
                <w:sz w:val="7"/>
                <w:szCs w:val="7"/>
                <w:color w:val="auto"/>
              </w:rPr>
            </w:pPr>
          </w:p>
        </w:tc>
        <w:tc>
          <w:tcPr>
            <w:tcW w:w="2080" w:type="dxa"/>
            <w:vAlign w:val="bottom"/>
            <w:shd w:val="clear" w:color="auto" w:fill="E4E6EF"/>
          </w:tcPr>
          <w:p>
            <w:pPr>
              <w:spacing w:after="0"/>
              <w:rPr>
                <w:sz w:val="7"/>
                <w:szCs w:val="7"/>
                <w:color w:val="auto"/>
              </w:rPr>
            </w:pPr>
          </w:p>
        </w:tc>
        <w:tc>
          <w:tcPr>
            <w:tcW w:w="200" w:type="dxa"/>
            <w:vAlign w:val="bottom"/>
          </w:tcPr>
          <w:p>
            <w:pPr>
              <w:spacing w:after="0"/>
              <w:rPr>
                <w:sz w:val="7"/>
                <w:szCs w:val="7"/>
                <w:color w:val="auto"/>
              </w:rPr>
            </w:pPr>
          </w:p>
        </w:tc>
        <w:tc>
          <w:tcPr>
            <w:tcW w:w="2100" w:type="dxa"/>
            <w:vAlign w:val="bottom"/>
            <w:shd w:val="clear" w:color="auto" w:fill="E4E6EF"/>
          </w:tcPr>
          <w:p>
            <w:pPr>
              <w:spacing w:after="0"/>
              <w:rPr>
                <w:sz w:val="7"/>
                <w:szCs w:val="7"/>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320"/>
        <w:spacing w:after="0" w:line="281" w:lineRule="auto"/>
        <w:rPr>
          <w:sz w:val="20"/>
          <w:szCs w:val="20"/>
          <w:color w:val="auto"/>
        </w:rPr>
      </w:pPr>
      <w:r>
        <w:rPr>
          <w:rFonts w:ascii="Arial" w:cs="Arial" w:eastAsia="Arial" w:hAnsi="Arial"/>
          <w:sz w:val="17"/>
          <w:szCs w:val="17"/>
          <w:b w:val="1"/>
          <w:bCs w:val="1"/>
          <w:color w:val="002E6D"/>
        </w:rPr>
        <w:t xml:space="preserve">Align </w:t>
      </w:r>
      <w:r>
        <w:rPr>
          <w:rFonts w:ascii="Arial" w:cs="Arial" w:eastAsia="Arial" w:hAnsi="Arial"/>
          <w:sz w:val="17"/>
          <w:szCs w:val="17"/>
          <w:color w:val="000000"/>
        </w:rPr>
        <w:t>to stockholder</w:t>
      </w:r>
      <w:r>
        <w:rPr>
          <w:rFonts w:ascii="Arial" w:cs="Arial" w:eastAsia="Arial" w:hAnsi="Arial"/>
          <w:sz w:val="17"/>
          <w:szCs w:val="17"/>
          <w:b w:val="1"/>
          <w:bCs w:val="1"/>
          <w:color w:val="002E6D"/>
        </w:rPr>
        <w:t xml:space="preserve"> </w:t>
      </w:r>
      <w:r>
        <w:rPr>
          <w:rFonts w:ascii="Arial" w:cs="Arial" w:eastAsia="Arial" w:hAnsi="Arial"/>
          <w:sz w:val="17"/>
          <w:szCs w:val="17"/>
          <w:color w:val="000000"/>
        </w:rPr>
        <w:t>interests and long-term Company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-546735</wp:posOffset>
            </wp:positionV>
            <wp:extent cx="1339850" cy="7169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39850" cy="716915"/>
                    </a:xfrm>
                    <a:prstGeom prst="rect">
                      <a:avLst/>
                    </a:prstGeom>
                    <a:noFill/>
                  </pic:spPr>
                </pic:pic>
              </a:graphicData>
            </a:graphic>
          </wp:anchor>
        </w:drawing>
      </w:r>
    </w:p>
    <w:p>
      <w:pPr>
        <w:spacing w:after="0" w:line="466" w:lineRule="exact"/>
        <w:rPr>
          <w:sz w:val="20"/>
          <w:szCs w:val="20"/>
          <w:color w:val="auto"/>
        </w:rPr>
      </w:pPr>
    </w:p>
    <w:p>
      <w:pPr>
        <w:sectPr>
          <w:pgSz w:w="11900" w:h="16838" w:orient="portrait"/>
          <w:cols w:equalWidth="0" w:num="2">
            <w:col w:w="8920" w:space="260"/>
            <w:col w:w="2060"/>
          </w:cols>
          <w:pgMar w:left="320" w:top="254" w:right="3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21"/>
          <w:szCs w:val="21"/>
          <w:color w:val="818EB4"/>
        </w:rPr>
        <w:t>Our Decision-Making Process</w:t>
      </w:r>
    </w:p>
    <w:p>
      <w:pPr>
        <w:spacing w:after="0" w:line="122"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color w:val="auto"/>
        </w:rPr>
        <w:t>The Compensation Committee seeks input from our CEO and other members of our management team as well as input and advice from an independent compensation consultant to ensure the Company’s compensation philosophy and information relevant to individual compensation decisions are taken into account. Mr. Taiclet did not participate in the Board’s and Compensation Committee’s deliberations on his compensation.</w:t>
      </w:r>
    </w:p>
    <w:p>
      <w:pPr>
        <w:spacing w:after="0" w:line="78" w:lineRule="exact"/>
        <w:rPr>
          <w:sz w:val="20"/>
          <w:szCs w:val="20"/>
          <w:color w:val="auto"/>
        </w:rPr>
      </w:pPr>
    </w:p>
    <w:p>
      <w:pPr>
        <w:spacing w:after="0"/>
        <w:rPr>
          <w:sz w:val="20"/>
          <w:szCs w:val="20"/>
          <w:color w:val="auto"/>
        </w:rPr>
      </w:pPr>
      <w:r>
        <w:rPr>
          <w:rFonts w:ascii="Arial" w:cs="Arial" w:eastAsia="Arial" w:hAnsi="Arial"/>
          <w:sz w:val="21"/>
          <w:szCs w:val="21"/>
          <w:color w:val="818EB4"/>
        </w:rPr>
        <w:t>Independent Pay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89535</wp:posOffset>
            </wp:positionV>
            <wp:extent cx="7132955" cy="18853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955" cy="188531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type w:val="continuous"/>
        </w:sectPr>
      </w:pPr>
    </w:p>
    <w:p>
      <w:pPr>
        <w:spacing w:after="0" w:line="200" w:lineRule="exact"/>
        <w:rPr>
          <w:sz w:val="20"/>
          <w:szCs w:val="20"/>
          <w:color w:val="auto"/>
        </w:rPr>
      </w:pPr>
    </w:p>
    <w:p>
      <w:pPr>
        <w:spacing w:after="0" w:line="325" w:lineRule="exact"/>
        <w:rPr>
          <w:sz w:val="20"/>
          <w:szCs w:val="20"/>
          <w:color w:val="auto"/>
        </w:rPr>
      </w:pPr>
    </w:p>
    <w:p>
      <w:pPr>
        <w:ind w:left="840" w:right="160"/>
        <w:spacing w:after="0" w:line="257" w:lineRule="auto"/>
        <w:rPr>
          <w:sz w:val="20"/>
          <w:szCs w:val="20"/>
          <w:color w:val="auto"/>
        </w:rPr>
      </w:pPr>
      <w:r>
        <w:rPr>
          <w:rFonts w:ascii="Arial" w:cs="Arial" w:eastAsia="Arial" w:hAnsi="Arial"/>
          <w:sz w:val="17"/>
          <w:szCs w:val="17"/>
          <w:color w:val="003478"/>
        </w:rPr>
        <w:t>INDEPENDENT BOARD MEMBERS</w:t>
      </w:r>
    </w:p>
    <w:p>
      <w:pPr>
        <w:spacing w:after="0" w:line="200" w:lineRule="exact"/>
        <w:rPr>
          <w:sz w:val="20"/>
          <w:szCs w:val="20"/>
          <w:color w:val="auto"/>
        </w:rPr>
      </w:pPr>
    </w:p>
    <w:p>
      <w:pPr>
        <w:spacing w:after="0" w:line="38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Review and approve compensation of the CEO and review and ratify compensation of other NEOs. Review with management, at least annually, the succession plan for the CEO and other senior positions.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4" w:lineRule="exact"/>
        <w:rPr>
          <w:sz w:val="20"/>
          <w:szCs w:val="20"/>
          <w:color w:val="auto"/>
        </w:rPr>
      </w:pPr>
    </w:p>
    <w:p>
      <w:pPr>
        <w:ind w:left="740" w:right="320"/>
        <w:spacing w:after="0" w:line="252" w:lineRule="auto"/>
        <w:rPr>
          <w:sz w:val="20"/>
          <w:szCs w:val="20"/>
          <w:color w:val="auto"/>
        </w:rPr>
      </w:pPr>
      <w:r>
        <w:rPr>
          <w:rFonts w:ascii="Arial" w:cs="Arial" w:eastAsia="Arial" w:hAnsi="Arial"/>
          <w:sz w:val="17"/>
          <w:szCs w:val="17"/>
          <w:color w:val="003478"/>
        </w:rPr>
        <w:t>INDEPENDENT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116205</wp:posOffset>
            </wp:positionV>
            <wp:extent cx="1629410" cy="1160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629410" cy="1160145"/>
                    </a:xfrm>
                    <a:prstGeom prst="rect">
                      <a:avLst/>
                    </a:prstGeom>
                    <a:noFill/>
                  </pic:spPr>
                </pic:pic>
              </a:graphicData>
            </a:graphic>
          </wp:anchor>
        </w:drawing>
      </w:r>
    </w:p>
    <w:p>
      <w:pPr>
        <w:spacing w:after="0" w:line="197"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Reviews and approves incentive goals relevant to NEO compensation. Reviews and approves the compensation for each NEO. Recommends CEO compensation to the independent members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740" w:right="240"/>
        <w:spacing w:after="0" w:line="252" w:lineRule="auto"/>
        <w:rPr>
          <w:sz w:val="20"/>
          <w:szCs w:val="20"/>
          <w:color w:val="auto"/>
        </w:rPr>
      </w:pPr>
      <w:r>
        <w:rPr>
          <w:rFonts w:ascii="Arial" w:cs="Arial" w:eastAsia="Arial" w:hAnsi="Arial"/>
          <w:sz w:val="17"/>
          <w:szCs w:val="17"/>
          <w:color w:val="003478"/>
        </w:rPr>
        <w:t>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150495</wp:posOffset>
            </wp:positionV>
            <wp:extent cx="1629410" cy="1160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629410" cy="1160145"/>
                    </a:xfrm>
                    <a:prstGeom prst="rect">
                      <a:avLst/>
                    </a:prstGeom>
                    <a:noFill/>
                  </pic:spPr>
                </pic:pic>
              </a:graphicData>
            </a:graphic>
          </wp:anchor>
        </w:drawing>
      </w:r>
    </w:p>
    <w:p>
      <w:pPr>
        <w:spacing w:after="0" w:line="25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Provides advice on executive pay programs, pay levels and best practices. Provides design advice for annual LTI vehicles and other compensation programs.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ind w:left="760" w:right="240"/>
        <w:spacing w:after="0" w:line="252" w:lineRule="auto"/>
        <w:rPr>
          <w:sz w:val="20"/>
          <w:szCs w:val="20"/>
          <w:color w:val="auto"/>
        </w:rPr>
      </w:pPr>
      <w:r>
        <w:rPr>
          <w:rFonts w:ascii="Arial" w:cs="Arial" w:eastAsia="Arial" w:hAnsi="Arial"/>
          <w:sz w:val="17"/>
          <w:szCs w:val="17"/>
          <w:color w:val="003478"/>
        </w:rPr>
        <w:t>STOCKHOLDERS &amp; OTHER KEY STAKEHOLDERS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150495</wp:posOffset>
            </wp:positionV>
            <wp:extent cx="1638300" cy="1160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638300" cy="1160145"/>
                    </a:xfrm>
                    <a:prstGeom prst="rect">
                      <a:avLst/>
                    </a:prstGeom>
                    <a:noFill/>
                  </pic:spPr>
                </pic:pic>
              </a:graphicData>
            </a:graphic>
          </wp:anchor>
        </w:drawing>
      </w:r>
    </w:p>
    <w:p>
      <w:pPr>
        <w:spacing w:after="0" w:line="251" w:lineRule="exact"/>
        <w:rPr>
          <w:sz w:val="20"/>
          <w:szCs w:val="20"/>
          <w:color w:val="auto"/>
        </w:rPr>
      </w:pPr>
    </w:p>
    <w:p>
      <w:pPr>
        <w:ind w:right="180"/>
        <w:spacing w:after="0" w:line="265" w:lineRule="auto"/>
        <w:rPr>
          <w:sz w:val="20"/>
          <w:szCs w:val="20"/>
          <w:color w:val="auto"/>
        </w:rPr>
      </w:pPr>
      <w:r>
        <w:rPr>
          <w:rFonts w:ascii="Arial" w:cs="Arial" w:eastAsia="Arial" w:hAnsi="Arial"/>
          <w:sz w:val="17"/>
          <w:szCs w:val="17"/>
          <w:color w:val="auto"/>
        </w:rPr>
        <w:t>Provide feedback on various executive pay practices and governance during periodic meetings with management, which then is reviewed by and discussed with our independent Board members.</w:t>
      </w:r>
    </w:p>
    <w:p>
      <w:pPr>
        <w:spacing w:after="0" w:line="428" w:lineRule="exact"/>
        <w:rPr>
          <w:sz w:val="20"/>
          <w:szCs w:val="20"/>
          <w:color w:val="auto"/>
        </w:rPr>
      </w:pPr>
    </w:p>
    <w:p>
      <w:pPr>
        <w:sectPr>
          <w:pgSz w:w="11900" w:h="16838" w:orient="portrait"/>
          <w:cols w:equalWidth="0" w:num="4">
            <w:col w:w="2520" w:space="440"/>
            <w:col w:w="2440" w:space="420"/>
            <w:col w:w="2360" w:space="500"/>
            <w:col w:w="2560"/>
          </w:cols>
          <w:pgMar w:left="320" w:top="254" w:right="339" w:bottom="1440" w:gutter="0" w:footer="0" w:header="0"/>
          <w:type w:val="continuous"/>
        </w:sectPr>
      </w:pP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0" w:type="dxa"/>
            <w:vAlign w:val="bottom"/>
            <w:shd w:val="clear" w:color="auto" w:fill="E4E6EF"/>
          </w:tcPr>
          <w:p>
            <w:pPr>
              <w:spacing w:after="0"/>
              <w:rPr>
                <w:sz w:val="14"/>
                <w:szCs w:val="14"/>
                <w:color w:val="auto"/>
              </w:rPr>
            </w:pPr>
          </w:p>
        </w:tc>
        <w:tc>
          <w:tcPr>
            <w:tcW w:w="3060" w:type="dxa"/>
            <w:vAlign w:val="bottom"/>
            <w:shd w:val="clear" w:color="auto" w:fill="E4E6EF"/>
          </w:tcPr>
          <w:p>
            <w:pPr>
              <w:spacing w:after="0"/>
              <w:rPr>
                <w:sz w:val="14"/>
                <w:szCs w:val="14"/>
                <w:color w:val="auto"/>
              </w:rPr>
            </w:pPr>
          </w:p>
        </w:tc>
        <w:tc>
          <w:tcPr>
            <w:tcW w:w="1080" w:type="dxa"/>
            <w:vAlign w:val="bottom"/>
            <w:shd w:val="clear" w:color="auto" w:fill="E4E6EF"/>
          </w:tcPr>
          <w:p>
            <w:pPr>
              <w:spacing w:after="0"/>
              <w:rPr>
                <w:sz w:val="14"/>
                <w:szCs w:val="14"/>
                <w:color w:val="auto"/>
              </w:rPr>
            </w:pPr>
          </w:p>
        </w:tc>
        <w:tc>
          <w:tcPr>
            <w:tcW w:w="1400" w:type="dxa"/>
            <w:vAlign w:val="bottom"/>
            <w:shd w:val="clear" w:color="auto" w:fill="E4E6EF"/>
          </w:tcPr>
          <w:p>
            <w:pPr>
              <w:spacing w:after="0"/>
              <w:rPr>
                <w:sz w:val="14"/>
                <w:szCs w:val="14"/>
                <w:color w:val="auto"/>
              </w:rPr>
            </w:pPr>
          </w:p>
        </w:tc>
        <w:tc>
          <w:tcPr>
            <w:tcW w:w="1280" w:type="dxa"/>
            <w:vAlign w:val="bottom"/>
            <w:shd w:val="clear" w:color="auto" w:fill="E4E6EF"/>
          </w:tcPr>
          <w:p>
            <w:pPr>
              <w:ind w:left="220"/>
              <w:spacing w:after="0"/>
              <w:rPr>
                <w:sz w:val="20"/>
                <w:szCs w:val="20"/>
                <w:color w:val="auto"/>
              </w:rPr>
            </w:pPr>
            <w:r>
              <w:rPr>
                <w:rFonts w:ascii="Arial" w:cs="Arial" w:eastAsia="Arial" w:hAnsi="Arial"/>
                <w:sz w:val="13"/>
                <w:szCs w:val="13"/>
                <w:color w:val="auto"/>
              </w:rPr>
              <w:t>Management</w:t>
            </w:r>
          </w:p>
        </w:tc>
        <w:tc>
          <w:tcPr>
            <w:tcW w:w="1320" w:type="dxa"/>
            <w:vAlign w:val="bottom"/>
            <w:shd w:val="clear" w:color="auto" w:fill="E4E6EF"/>
          </w:tcPr>
          <w:p>
            <w:pPr>
              <w:ind w:left="240"/>
              <w:spacing w:after="0"/>
              <w:rPr>
                <w:sz w:val="20"/>
                <w:szCs w:val="20"/>
                <w:color w:val="auto"/>
              </w:rPr>
            </w:pPr>
            <w:r>
              <w:rPr>
                <w:rFonts w:ascii="Arial" w:cs="Arial" w:eastAsia="Arial" w:hAnsi="Arial"/>
                <w:sz w:val="13"/>
                <w:szCs w:val="13"/>
                <w:color w:val="auto"/>
              </w:rPr>
              <w:t>Independent</w:t>
            </w:r>
          </w:p>
        </w:tc>
        <w:tc>
          <w:tcPr>
            <w:tcW w:w="1340" w:type="dxa"/>
            <w:vAlign w:val="bottom"/>
            <w:shd w:val="clear" w:color="auto" w:fill="E4E6EF"/>
          </w:tcPr>
          <w:p>
            <w:pPr>
              <w:ind w:left="240"/>
              <w:spacing w:after="0"/>
              <w:rPr>
                <w:sz w:val="20"/>
                <w:szCs w:val="20"/>
                <w:color w:val="auto"/>
              </w:rPr>
            </w:pPr>
            <w:r>
              <w:rPr>
                <w:rFonts w:ascii="Arial" w:cs="Arial" w:eastAsia="Arial" w:hAnsi="Arial"/>
                <w:sz w:val="13"/>
                <w:szCs w:val="13"/>
                <w:color w:val="auto"/>
              </w:rPr>
              <w:t>Independent</w:t>
            </w:r>
          </w:p>
        </w:tc>
        <w:tc>
          <w:tcPr>
            <w:tcW w:w="1520" w:type="dxa"/>
            <w:vAlign w:val="bottom"/>
            <w:shd w:val="clear" w:color="auto" w:fill="E4E6EF"/>
          </w:tcPr>
          <w:p>
            <w:pPr>
              <w:ind w:left="220"/>
              <w:spacing w:after="0"/>
              <w:rPr>
                <w:sz w:val="20"/>
                <w:szCs w:val="20"/>
                <w:color w:val="auto"/>
              </w:rPr>
            </w:pPr>
            <w:r>
              <w:rPr>
                <w:rFonts w:ascii="Arial" w:cs="Arial" w:eastAsia="Arial" w:hAnsi="Arial"/>
                <w:sz w:val="13"/>
                <w:szCs w:val="13"/>
                <w:color w:val="auto"/>
              </w:rPr>
              <w:t>Independent</w:t>
            </w:r>
          </w:p>
        </w:tc>
      </w:tr>
      <w:tr>
        <w:trPr>
          <w:trHeight w:val="134"/>
        </w:trPr>
        <w:tc>
          <w:tcPr>
            <w:tcW w:w="200" w:type="dxa"/>
            <w:vAlign w:val="bottom"/>
            <w:shd w:val="clear" w:color="auto" w:fill="E4E6EF"/>
          </w:tcPr>
          <w:p>
            <w:pPr>
              <w:spacing w:after="0"/>
              <w:rPr>
                <w:sz w:val="11"/>
                <w:szCs w:val="11"/>
                <w:color w:val="auto"/>
              </w:rPr>
            </w:pPr>
          </w:p>
        </w:tc>
        <w:tc>
          <w:tcPr>
            <w:tcW w:w="3060" w:type="dxa"/>
            <w:vAlign w:val="bottom"/>
            <w:shd w:val="clear" w:color="auto" w:fill="E4E6EF"/>
          </w:tcPr>
          <w:p>
            <w:pPr>
              <w:spacing w:after="0"/>
              <w:rPr>
                <w:sz w:val="11"/>
                <w:szCs w:val="11"/>
                <w:color w:val="auto"/>
              </w:rPr>
            </w:pPr>
          </w:p>
        </w:tc>
        <w:tc>
          <w:tcPr>
            <w:tcW w:w="1080" w:type="dxa"/>
            <w:vAlign w:val="bottom"/>
            <w:shd w:val="clear" w:color="auto" w:fill="E4E6EF"/>
          </w:tcPr>
          <w:p>
            <w:pPr>
              <w:spacing w:after="0"/>
              <w:rPr>
                <w:sz w:val="11"/>
                <w:szCs w:val="11"/>
                <w:color w:val="auto"/>
              </w:rPr>
            </w:pPr>
          </w:p>
        </w:tc>
        <w:tc>
          <w:tcPr>
            <w:tcW w:w="1400" w:type="dxa"/>
            <w:vAlign w:val="bottom"/>
            <w:shd w:val="clear" w:color="auto" w:fill="E4E6EF"/>
          </w:tcPr>
          <w:p>
            <w:pPr>
              <w:spacing w:after="0"/>
              <w:rPr>
                <w:sz w:val="11"/>
                <w:szCs w:val="11"/>
                <w:color w:val="auto"/>
              </w:rPr>
            </w:pPr>
          </w:p>
        </w:tc>
        <w:tc>
          <w:tcPr>
            <w:tcW w:w="1280" w:type="dxa"/>
            <w:vAlign w:val="bottom"/>
            <w:shd w:val="clear" w:color="auto" w:fill="E4E6EF"/>
          </w:tcPr>
          <w:p>
            <w:pPr>
              <w:ind w:left="220"/>
              <w:spacing w:after="0" w:line="134" w:lineRule="exact"/>
              <w:rPr>
                <w:sz w:val="20"/>
                <w:szCs w:val="20"/>
                <w:color w:val="auto"/>
              </w:rPr>
            </w:pPr>
            <w:r>
              <w:rPr>
                <w:rFonts w:ascii="Arial" w:cs="Arial" w:eastAsia="Arial" w:hAnsi="Arial"/>
                <w:sz w:val="13"/>
                <w:szCs w:val="13"/>
                <w:color w:val="auto"/>
              </w:rPr>
              <w:t>Compensation</w:t>
            </w:r>
          </w:p>
        </w:tc>
        <w:tc>
          <w:tcPr>
            <w:tcW w:w="1320" w:type="dxa"/>
            <w:vAlign w:val="bottom"/>
            <w:shd w:val="clear" w:color="auto" w:fill="E4E6EF"/>
          </w:tcPr>
          <w:p>
            <w:pPr>
              <w:ind w:left="240"/>
              <w:spacing w:after="0" w:line="134" w:lineRule="exact"/>
              <w:rPr>
                <w:sz w:val="20"/>
                <w:szCs w:val="20"/>
                <w:color w:val="auto"/>
              </w:rPr>
            </w:pPr>
            <w:r>
              <w:rPr>
                <w:rFonts w:ascii="Arial" w:cs="Arial" w:eastAsia="Arial" w:hAnsi="Arial"/>
                <w:sz w:val="13"/>
                <w:szCs w:val="13"/>
                <w:color w:val="auto"/>
              </w:rPr>
              <w:t>Compensation</w:t>
            </w:r>
          </w:p>
        </w:tc>
        <w:tc>
          <w:tcPr>
            <w:tcW w:w="1340" w:type="dxa"/>
            <w:vAlign w:val="bottom"/>
            <w:shd w:val="clear" w:color="auto" w:fill="E4E6EF"/>
          </w:tcPr>
          <w:p>
            <w:pPr>
              <w:ind w:left="240"/>
              <w:spacing w:after="0" w:line="134" w:lineRule="exact"/>
              <w:rPr>
                <w:sz w:val="20"/>
                <w:szCs w:val="20"/>
                <w:color w:val="auto"/>
              </w:rPr>
            </w:pPr>
            <w:r>
              <w:rPr>
                <w:rFonts w:ascii="Arial" w:cs="Arial" w:eastAsia="Arial" w:hAnsi="Arial"/>
                <w:sz w:val="13"/>
                <w:szCs w:val="13"/>
                <w:color w:val="auto"/>
              </w:rPr>
              <w:t>Compensation</w:t>
            </w:r>
          </w:p>
        </w:tc>
        <w:tc>
          <w:tcPr>
            <w:tcW w:w="1520" w:type="dxa"/>
            <w:vAlign w:val="bottom"/>
            <w:shd w:val="clear" w:color="auto" w:fill="E4E6EF"/>
          </w:tcPr>
          <w:p>
            <w:pPr>
              <w:ind w:left="220"/>
              <w:spacing w:after="0" w:line="134" w:lineRule="exact"/>
              <w:rPr>
                <w:sz w:val="20"/>
                <w:szCs w:val="20"/>
                <w:color w:val="auto"/>
              </w:rPr>
            </w:pPr>
            <w:r>
              <w:rPr>
                <w:rFonts w:ascii="Arial" w:cs="Arial" w:eastAsia="Arial" w:hAnsi="Arial"/>
                <w:sz w:val="13"/>
                <w:szCs w:val="13"/>
                <w:color w:val="auto"/>
              </w:rPr>
              <w:t>Board</w:t>
            </w:r>
          </w:p>
        </w:tc>
      </w:tr>
      <w:tr>
        <w:trPr>
          <w:trHeight w:val="195"/>
        </w:trPr>
        <w:tc>
          <w:tcPr>
            <w:tcW w:w="3260" w:type="dxa"/>
            <w:vAlign w:val="bottom"/>
            <w:tcBorders>
              <w:bottom w:val="single" w:sz="8" w:color="003478"/>
            </w:tcBorders>
            <w:gridSpan w:val="2"/>
            <w:shd w:val="clear" w:color="auto" w:fill="E4E6EF"/>
          </w:tcPr>
          <w:p>
            <w:pPr>
              <w:ind w:left="20"/>
              <w:spacing w:after="0"/>
              <w:rPr>
                <w:sz w:val="20"/>
                <w:szCs w:val="20"/>
                <w:color w:val="auto"/>
              </w:rPr>
            </w:pPr>
            <w:r>
              <w:rPr>
                <w:rFonts w:ascii="Arial" w:cs="Arial" w:eastAsia="Arial" w:hAnsi="Arial"/>
                <w:sz w:val="13"/>
                <w:szCs w:val="13"/>
                <w:color w:val="auto"/>
              </w:rPr>
              <w:t>Role</w:t>
            </w:r>
          </w:p>
        </w:tc>
        <w:tc>
          <w:tcPr>
            <w:tcW w:w="1080" w:type="dxa"/>
            <w:vAlign w:val="bottom"/>
            <w:tcBorders>
              <w:bottom w:val="single" w:sz="8" w:color="003478"/>
            </w:tcBorders>
            <w:shd w:val="clear" w:color="auto" w:fill="E4E6EF"/>
          </w:tcPr>
          <w:p>
            <w:pPr>
              <w:ind w:left="60"/>
              <w:spacing w:after="0"/>
              <w:rPr>
                <w:sz w:val="20"/>
                <w:szCs w:val="20"/>
                <w:color w:val="auto"/>
              </w:rPr>
            </w:pPr>
            <w:r>
              <w:rPr>
                <w:rFonts w:ascii="Arial" w:cs="Arial" w:eastAsia="Arial" w:hAnsi="Arial"/>
                <w:sz w:val="13"/>
                <w:szCs w:val="13"/>
                <w:color w:val="auto"/>
              </w:rPr>
              <w:t>Management</w:t>
            </w:r>
          </w:p>
        </w:tc>
        <w:tc>
          <w:tcPr>
            <w:tcW w:w="1400" w:type="dxa"/>
            <w:vAlign w:val="bottom"/>
            <w:tcBorders>
              <w:bottom w:val="single" w:sz="8" w:color="003478"/>
            </w:tcBorders>
            <w:shd w:val="clear" w:color="auto" w:fill="E4E6EF"/>
          </w:tcPr>
          <w:p>
            <w:pPr>
              <w:ind w:left="300"/>
              <w:spacing w:after="0"/>
              <w:rPr>
                <w:sz w:val="20"/>
                <w:szCs w:val="20"/>
                <w:color w:val="auto"/>
              </w:rPr>
            </w:pPr>
            <w:r>
              <w:rPr>
                <w:rFonts w:ascii="Arial" w:cs="Arial" w:eastAsia="Arial" w:hAnsi="Arial"/>
                <w:sz w:val="13"/>
                <w:szCs w:val="13"/>
                <w:color w:val="auto"/>
              </w:rPr>
              <w:t>CEO</w:t>
            </w:r>
          </w:p>
        </w:tc>
        <w:tc>
          <w:tcPr>
            <w:tcW w:w="1280" w:type="dxa"/>
            <w:vAlign w:val="bottom"/>
            <w:tcBorders>
              <w:bottom w:val="single" w:sz="8" w:color="003478"/>
            </w:tcBorders>
            <w:shd w:val="clear" w:color="auto" w:fill="E4E6EF"/>
          </w:tcPr>
          <w:p>
            <w:pPr>
              <w:ind w:left="220"/>
              <w:spacing w:after="0"/>
              <w:rPr>
                <w:sz w:val="20"/>
                <w:szCs w:val="20"/>
                <w:color w:val="auto"/>
              </w:rPr>
            </w:pPr>
            <w:r>
              <w:rPr>
                <w:rFonts w:ascii="Arial" w:cs="Arial" w:eastAsia="Arial" w:hAnsi="Arial"/>
                <w:sz w:val="13"/>
                <w:szCs w:val="13"/>
                <w:color w:val="auto"/>
              </w:rPr>
              <w:t>Consultant</w:t>
            </w:r>
            <w:r>
              <w:rPr>
                <w:rFonts w:ascii="Arial" w:cs="Arial" w:eastAsia="Arial" w:hAnsi="Arial"/>
                <w:sz w:val="16"/>
                <w:szCs w:val="16"/>
                <w:color w:val="auto"/>
                <w:vertAlign w:val="superscript"/>
              </w:rPr>
              <w:t>(1)</w:t>
            </w:r>
          </w:p>
        </w:tc>
        <w:tc>
          <w:tcPr>
            <w:tcW w:w="1320" w:type="dxa"/>
            <w:vAlign w:val="bottom"/>
            <w:tcBorders>
              <w:bottom w:val="single" w:sz="8" w:color="003478"/>
            </w:tcBorders>
            <w:shd w:val="clear" w:color="auto" w:fill="E4E6EF"/>
          </w:tcPr>
          <w:p>
            <w:pPr>
              <w:ind w:left="240"/>
              <w:spacing w:after="0"/>
              <w:rPr>
                <w:sz w:val="20"/>
                <w:szCs w:val="20"/>
                <w:color w:val="auto"/>
              </w:rPr>
            </w:pPr>
            <w:r>
              <w:rPr>
                <w:rFonts w:ascii="Arial" w:cs="Arial" w:eastAsia="Arial" w:hAnsi="Arial"/>
                <w:sz w:val="13"/>
                <w:szCs w:val="13"/>
                <w:color w:val="auto"/>
              </w:rPr>
              <w:t>Consultant</w:t>
            </w:r>
            <w:r>
              <w:rPr>
                <w:rFonts w:ascii="Arial" w:cs="Arial" w:eastAsia="Arial" w:hAnsi="Arial"/>
                <w:sz w:val="16"/>
                <w:szCs w:val="16"/>
                <w:color w:val="auto"/>
                <w:vertAlign w:val="superscript"/>
              </w:rPr>
              <w:t>(2)</w:t>
            </w:r>
          </w:p>
        </w:tc>
        <w:tc>
          <w:tcPr>
            <w:tcW w:w="1340" w:type="dxa"/>
            <w:vAlign w:val="bottom"/>
            <w:tcBorders>
              <w:bottom w:val="single" w:sz="8" w:color="003478"/>
            </w:tcBorders>
            <w:shd w:val="clear" w:color="auto" w:fill="E4E6EF"/>
          </w:tcPr>
          <w:p>
            <w:pPr>
              <w:ind w:left="240"/>
              <w:spacing w:after="0"/>
              <w:rPr>
                <w:sz w:val="20"/>
                <w:szCs w:val="20"/>
                <w:color w:val="auto"/>
              </w:rPr>
            </w:pPr>
            <w:r>
              <w:rPr>
                <w:rFonts w:ascii="Arial" w:cs="Arial" w:eastAsia="Arial" w:hAnsi="Arial"/>
                <w:sz w:val="13"/>
                <w:szCs w:val="13"/>
                <w:color w:val="auto"/>
              </w:rPr>
              <w:t>Committee</w:t>
            </w:r>
          </w:p>
        </w:tc>
        <w:tc>
          <w:tcPr>
            <w:tcW w:w="1520" w:type="dxa"/>
            <w:vAlign w:val="bottom"/>
            <w:tcBorders>
              <w:bottom w:val="single" w:sz="8" w:color="003478"/>
            </w:tcBorders>
            <w:shd w:val="clear" w:color="auto" w:fill="E4E6EF"/>
          </w:tcPr>
          <w:p>
            <w:pPr>
              <w:ind w:left="220"/>
              <w:spacing w:after="0"/>
              <w:rPr>
                <w:sz w:val="20"/>
                <w:szCs w:val="20"/>
                <w:color w:val="auto"/>
              </w:rPr>
            </w:pPr>
            <w:r>
              <w:rPr>
                <w:rFonts w:ascii="Arial" w:cs="Arial" w:eastAsia="Arial" w:hAnsi="Arial"/>
                <w:sz w:val="13"/>
                <w:szCs w:val="13"/>
                <w:color w:val="auto"/>
              </w:rPr>
              <w:t>Members</w:t>
            </w:r>
          </w:p>
        </w:tc>
      </w:tr>
      <w:tr>
        <w:trPr>
          <w:trHeight w:val="146"/>
        </w:trPr>
        <w:tc>
          <w:tcPr>
            <w:tcW w:w="3260" w:type="dxa"/>
            <w:vAlign w:val="bottom"/>
            <w:gridSpan w:val="2"/>
          </w:tcPr>
          <w:p>
            <w:pPr>
              <w:ind w:left="20"/>
              <w:spacing w:after="0" w:line="146" w:lineRule="exact"/>
              <w:rPr>
                <w:sz w:val="20"/>
                <w:szCs w:val="20"/>
                <w:color w:val="auto"/>
              </w:rPr>
            </w:pPr>
            <w:r>
              <w:rPr>
                <w:rFonts w:ascii="Arial" w:cs="Arial" w:eastAsia="Arial" w:hAnsi="Arial"/>
                <w:sz w:val="14"/>
                <w:szCs w:val="14"/>
                <w:color w:val="auto"/>
              </w:rPr>
              <w:t>Peer Group / External Market Data and Best</w:t>
            </w:r>
          </w:p>
        </w:tc>
        <w:tc>
          <w:tcPr>
            <w:tcW w:w="1080" w:type="dxa"/>
            <w:vAlign w:val="bottom"/>
          </w:tcPr>
          <w:p>
            <w:pPr>
              <w:ind w:left="60"/>
              <w:spacing w:after="0" w:line="146" w:lineRule="exact"/>
              <w:rPr>
                <w:sz w:val="20"/>
                <w:szCs w:val="20"/>
                <w:color w:val="auto"/>
              </w:rPr>
            </w:pPr>
            <w:r>
              <w:rPr>
                <w:rFonts w:ascii="Arial" w:cs="Arial" w:eastAsia="Arial" w:hAnsi="Arial"/>
                <w:sz w:val="14"/>
                <w:szCs w:val="14"/>
                <w:color w:val="auto"/>
              </w:rPr>
              <w:t>Reviews</w:t>
            </w:r>
          </w:p>
        </w:tc>
        <w:tc>
          <w:tcPr>
            <w:tcW w:w="1400" w:type="dxa"/>
            <w:vAlign w:val="bottom"/>
          </w:tcPr>
          <w:p>
            <w:pPr>
              <w:ind w:left="300"/>
              <w:spacing w:after="0" w:line="146" w:lineRule="exact"/>
              <w:rPr>
                <w:sz w:val="20"/>
                <w:szCs w:val="20"/>
                <w:color w:val="auto"/>
              </w:rPr>
            </w:pPr>
            <w:r>
              <w:rPr>
                <w:rFonts w:ascii="Arial" w:cs="Arial" w:eastAsia="Arial" w:hAnsi="Arial"/>
                <w:sz w:val="14"/>
                <w:szCs w:val="14"/>
                <w:color w:val="auto"/>
              </w:rPr>
              <w:t>Reviews</w:t>
            </w:r>
          </w:p>
        </w:tc>
        <w:tc>
          <w:tcPr>
            <w:tcW w:w="1280" w:type="dxa"/>
            <w:vAlign w:val="bottom"/>
          </w:tcPr>
          <w:p>
            <w:pPr>
              <w:ind w:left="220"/>
              <w:spacing w:after="0" w:line="146" w:lineRule="exact"/>
              <w:rPr>
                <w:sz w:val="20"/>
                <w:szCs w:val="20"/>
                <w:color w:val="auto"/>
              </w:rPr>
            </w:pPr>
            <w:r>
              <w:rPr>
                <w:rFonts w:ascii="Arial" w:cs="Arial" w:eastAsia="Arial" w:hAnsi="Arial"/>
                <w:sz w:val="14"/>
                <w:szCs w:val="14"/>
                <w:color w:val="auto"/>
              </w:rPr>
              <w:t>Develops</w:t>
            </w:r>
          </w:p>
        </w:tc>
        <w:tc>
          <w:tcPr>
            <w:tcW w:w="1320" w:type="dxa"/>
            <w:vAlign w:val="bottom"/>
          </w:tcPr>
          <w:p>
            <w:pPr>
              <w:ind w:left="240"/>
              <w:spacing w:after="0" w:line="146" w:lineRule="exact"/>
              <w:rPr>
                <w:sz w:val="20"/>
                <w:szCs w:val="20"/>
                <w:color w:val="auto"/>
              </w:rPr>
            </w:pPr>
            <w:r>
              <w:rPr>
                <w:rFonts w:ascii="Arial" w:cs="Arial" w:eastAsia="Arial" w:hAnsi="Arial"/>
                <w:sz w:val="14"/>
                <w:szCs w:val="14"/>
                <w:color w:val="auto"/>
              </w:rPr>
              <w:t>Develops/</w:t>
            </w:r>
          </w:p>
        </w:tc>
        <w:tc>
          <w:tcPr>
            <w:tcW w:w="1340" w:type="dxa"/>
            <w:vAlign w:val="bottom"/>
          </w:tcPr>
          <w:p>
            <w:pPr>
              <w:ind w:left="240"/>
              <w:spacing w:after="0" w:line="146" w:lineRule="exact"/>
              <w:rPr>
                <w:sz w:val="20"/>
                <w:szCs w:val="20"/>
                <w:color w:val="auto"/>
              </w:rPr>
            </w:pPr>
            <w:r>
              <w:rPr>
                <w:rFonts w:ascii="Arial" w:cs="Arial" w:eastAsia="Arial" w:hAnsi="Arial"/>
                <w:sz w:val="14"/>
                <w:szCs w:val="14"/>
                <w:color w:val="auto"/>
              </w:rPr>
              <w:t>Reviews</w:t>
            </w:r>
          </w:p>
        </w:tc>
        <w:tc>
          <w:tcPr>
            <w:tcW w:w="1520" w:type="dxa"/>
            <w:vAlign w:val="bottom"/>
          </w:tcPr>
          <w:p>
            <w:pPr>
              <w:ind w:left="220"/>
              <w:spacing w:after="0" w:line="146" w:lineRule="exact"/>
              <w:rPr>
                <w:sz w:val="20"/>
                <w:szCs w:val="20"/>
                <w:color w:val="auto"/>
              </w:rPr>
            </w:pPr>
            <w:r>
              <w:rPr>
                <w:rFonts w:ascii="Arial" w:cs="Arial" w:eastAsia="Arial" w:hAnsi="Arial"/>
                <w:sz w:val="14"/>
                <w:szCs w:val="14"/>
                <w:color w:val="auto"/>
              </w:rPr>
              <w:t>—</w:t>
            </w:r>
          </w:p>
        </w:tc>
      </w:tr>
      <w:tr>
        <w:trPr>
          <w:trHeight w:val="170"/>
        </w:trPr>
        <w:tc>
          <w:tcPr>
            <w:tcW w:w="3260" w:type="dxa"/>
            <w:vAlign w:val="bottom"/>
            <w:tcBorders>
              <w:bottom w:val="single" w:sz="8" w:color="959595"/>
            </w:tcBorders>
            <w:gridSpan w:val="2"/>
          </w:tcPr>
          <w:p>
            <w:pPr>
              <w:ind w:left="20"/>
              <w:spacing w:after="0"/>
              <w:rPr>
                <w:sz w:val="20"/>
                <w:szCs w:val="20"/>
                <w:color w:val="auto"/>
              </w:rPr>
            </w:pPr>
            <w:r>
              <w:rPr>
                <w:rFonts w:ascii="Arial" w:cs="Arial" w:eastAsia="Arial" w:hAnsi="Arial"/>
                <w:sz w:val="14"/>
                <w:szCs w:val="14"/>
                <w:color w:val="auto"/>
              </w:rPr>
              <w:t>Practices for Compensation Design and Decisions</w:t>
            </w:r>
          </w:p>
        </w:tc>
        <w:tc>
          <w:tcPr>
            <w:tcW w:w="1080" w:type="dxa"/>
            <w:vAlign w:val="bottom"/>
            <w:tcBorders>
              <w:bottom w:val="single" w:sz="8" w:color="959595"/>
            </w:tcBorders>
          </w:tcPr>
          <w:p>
            <w:pPr>
              <w:spacing w:after="0"/>
              <w:rPr>
                <w:sz w:val="14"/>
                <w:szCs w:val="14"/>
                <w:color w:val="auto"/>
              </w:rPr>
            </w:pPr>
          </w:p>
        </w:tc>
        <w:tc>
          <w:tcPr>
            <w:tcW w:w="1400" w:type="dxa"/>
            <w:vAlign w:val="bottom"/>
            <w:tcBorders>
              <w:bottom w:val="single" w:sz="8" w:color="959595"/>
            </w:tcBorders>
          </w:tcPr>
          <w:p>
            <w:pPr>
              <w:spacing w:after="0"/>
              <w:rPr>
                <w:sz w:val="14"/>
                <w:szCs w:val="14"/>
                <w:color w:val="auto"/>
              </w:rPr>
            </w:pPr>
          </w:p>
        </w:tc>
        <w:tc>
          <w:tcPr>
            <w:tcW w:w="1280" w:type="dxa"/>
            <w:vAlign w:val="bottom"/>
            <w:tcBorders>
              <w:bottom w:val="single" w:sz="8" w:color="959595"/>
            </w:tcBorders>
          </w:tcPr>
          <w:p>
            <w:pPr>
              <w:spacing w:after="0"/>
              <w:rPr>
                <w:sz w:val="14"/>
                <w:szCs w:val="14"/>
                <w:color w:val="auto"/>
              </w:rPr>
            </w:pPr>
          </w:p>
        </w:tc>
        <w:tc>
          <w:tcPr>
            <w:tcW w:w="132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Reviews</w:t>
            </w:r>
          </w:p>
        </w:tc>
        <w:tc>
          <w:tcPr>
            <w:tcW w:w="1340" w:type="dxa"/>
            <w:vAlign w:val="bottom"/>
            <w:tcBorders>
              <w:bottom w:val="single" w:sz="8" w:color="959595"/>
            </w:tcBorders>
          </w:tcPr>
          <w:p>
            <w:pPr>
              <w:spacing w:after="0"/>
              <w:rPr>
                <w:sz w:val="14"/>
                <w:szCs w:val="14"/>
                <w:color w:val="auto"/>
              </w:rPr>
            </w:pPr>
          </w:p>
        </w:tc>
        <w:tc>
          <w:tcPr>
            <w:tcW w:w="1520" w:type="dxa"/>
            <w:vAlign w:val="bottom"/>
            <w:tcBorders>
              <w:bottom w:val="single" w:sz="8" w:color="959595"/>
            </w:tcBorders>
          </w:tcPr>
          <w:p>
            <w:pPr>
              <w:spacing w:after="0"/>
              <w:rPr>
                <w:sz w:val="14"/>
                <w:szCs w:val="14"/>
                <w:color w:val="auto"/>
              </w:rPr>
            </w:pPr>
          </w:p>
        </w:tc>
      </w:tr>
      <w:tr>
        <w:trPr>
          <w:trHeight w:val="182"/>
        </w:trPr>
        <w:tc>
          <w:tcPr>
            <w:tcW w:w="3260" w:type="dxa"/>
            <w:vAlign w:val="bottom"/>
            <w:tcBorders>
              <w:bottom w:val="single" w:sz="8" w:color="959595"/>
            </w:tcBorders>
            <w:gridSpan w:val="2"/>
          </w:tcPr>
          <w:p>
            <w:pPr>
              <w:ind w:left="20"/>
              <w:spacing w:after="0"/>
              <w:rPr>
                <w:sz w:val="20"/>
                <w:szCs w:val="20"/>
                <w:color w:val="auto"/>
              </w:rPr>
            </w:pPr>
            <w:r>
              <w:rPr>
                <w:rFonts w:ascii="Arial" w:cs="Arial" w:eastAsia="Arial" w:hAnsi="Arial"/>
                <w:sz w:val="14"/>
                <w:szCs w:val="14"/>
                <w:color w:val="auto"/>
              </w:rPr>
              <w:t>Annual NEO Target Compensation</w:t>
            </w:r>
          </w:p>
        </w:tc>
        <w:tc>
          <w:tcPr>
            <w:tcW w:w="108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959595"/>
            </w:tcBorders>
          </w:tcPr>
          <w:p>
            <w:pPr>
              <w:ind w:left="300"/>
              <w:spacing w:after="0"/>
              <w:rPr>
                <w:sz w:val="20"/>
                <w:szCs w:val="20"/>
                <w:color w:val="auto"/>
              </w:rPr>
            </w:pPr>
            <w:r>
              <w:rPr>
                <w:rFonts w:ascii="Arial" w:cs="Arial" w:eastAsia="Arial" w:hAnsi="Arial"/>
                <w:sz w:val="14"/>
                <w:szCs w:val="14"/>
                <w:color w:val="auto"/>
              </w:rPr>
              <w:t>Recommends</w:t>
            </w:r>
          </w:p>
        </w:tc>
        <w:tc>
          <w:tcPr>
            <w:tcW w:w="1280" w:type="dxa"/>
            <w:vAlign w:val="bottom"/>
            <w:tcBorders>
              <w:bottom w:val="single" w:sz="8" w:color="959595"/>
            </w:tcBorders>
          </w:tcPr>
          <w:p>
            <w:pPr>
              <w:ind w:left="22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Reviews</w:t>
            </w:r>
          </w:p>
        </w:tc>
        <w:tc>
          <w:tcPr>
            <w:tcW w:w="134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Approves</w:t>
            </w:r>
          </w:p>
        </w:tc>
        <w:tc>
          <w:tcPr>
            <w:tcW w:w="1520" w:type="dxa"/>
            <w:vAlign w:val="bottom"/>
            <w:tcBorders>
              <w:bottom w:val="single" w:sz="8" w:color="959595"/>
            </w:tcBorders>
          </w:tcPr>
          <w:p>
            <w:pPr>
              <w:ind w:left="220"/>
              <w:spacing w:after="0"/>
              <w:rPr>
                <w:sz w:val="20"/>
                <w:szCs w:val="20"/>
                <w:color w:val="auto"/>
              </w:rPr>
            </w:pPr>
            <w:r>
              <w:rPr>
                <w:rFonts w:ascii="Arial" w:cs="Arial" w:eastAsia="Arial" w:hAnsi="Arial"/>
                <w:sz w:val="14"/>
                <w:szCs w:val="14"/>
                <w:color w:val="auto"/>
              </w:rPr>
              <w:t>Ratify</w:t>
            </w:r>
          </w:p>
        </w:tc>
      </w:tr>
      <w:tr>
        <w:trPr>
          <w:trHeight w:val="182"/>
        </w:trPr>
        <w:tc>
          <w:tcPr>
            <w:tcW w:w="3260" w:type="dxa"/>
            <w:vAlign w:val="bottom"/>
            <w:tcBorders>
              <w:bottom w:val="single" w:sz="8" w:color="959595"/>
            </w:tcBorders>
            <w:gridSpan w:val="2"/>
          </w:tcPr>
          <w:p>
            <w:pPr>
              <w:ind w:left="20"/>
              <w:spacing w:after="0"/>
              <w:rPr>
                <w:sz w:val="20"/>
                <w:szCs w:val="20"/>
                <w:color w:val="auto"/>
              </w:rPr>
            </w:pPr>
            <w:r>
              <w:rPr>
                <w:rFonts w:ascii="Arial" w:cs="Arial" w:eastAsia="Arial" w:hAnsi="Arial"/>
                <w:sz w:val="14"/>
                <w:szCs w:val="14"/>
                <w:color w:val="auto"/>
              </w:rPr>
              <w:t>Annual CEO Target Compensation</w:t>
            </w:r>
          </w:p>
        </w:tc>
        <w:tc>
          <w:tcPr>
            <w:tcW w:w="108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959595"/>
            </w:tcBorders>
          </w:tcPr>
          <w:p>
            <w:pPr>
              <w:ind w:left="300"/>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959595"/>
            </w:tcBorders>
          </w:tcPr>
          <w:p>
            <w:pPr>
              <w:ind w:left="22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Advises</w:t>
            </w:r>
          </w:p>
        </w:tc>
        <w:tc>
          <w:tcPr>
            <w:tcW w:w="134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Recommends</w:t>
            </w:r>
          </w:p>
        </w:tc>
        <w:tc>
          <w:tcPr>
            <w:tcW w:w="1520" w:type="dxa"/>
            <w:vAlign w:val="bottom"/>
            <w:tcBorders>
              <w:bottom w:val="single" w:sz="8" w:color="959595"/>
            </w:tcBorders>
          </w:tcPr>
          <w:p>
            <w:pPr>
              <w:ind w:left="220"/>
              <w:spacing w:after="0"/>
              <w:rPr>
                <w:sz w:val="20"/>
                <w:szCs w:val="20"/>
                <w:color w:val="auto"/>
              </w:rPr>
            </w:pPr>
            <w:r>
              <w:rPr>
                <w:rFonts w:ascii="Arial" w:cs="Arial" w:eastAsia="Arial" w:hAnsi="Arial"/>
                <w:sz w:val="14"/>
                <w:szCs w:val="14"/>
                <w:color w:val="auto"/>
              </w:rPr>
              <w:t>Approve</w:t>
            </w:r>
          </w:p>
        </w:tc>
      </w:tr>
      <w:tr>
        <w:trPr>
          <w:trHeight w:val="146"/>
        </w:trPr>
        <w:tc>
          <w:tcPr>
            <w:tcW w:w="3260" w:type="dxa"/>
            <w:vAlign w:val="bottom"/>
            <w:gridSpan w:val="2"/>
          </w:tcPr>
          <w:p>
            <w:pPr>
              <w:ind w:left="20"/>
              <w:spacing w:after="0" w:line="146" w:lineRule="exact"/>
              <w:rPr>
                <w:sz w:val="20"/>
                <w:szCs w:val="20"/>
                <w:color w:val="auto"/>
              </w:rPr>
            </w:pPr>
            <w:r>
              <w:rPr>
                <w:rFonts w:ascii="Arial" w:cs="Arial" w:eastAsia="Arial" w:hAnsi="Arial"/>
                <w:sz w:val="14"/>
                <w:szCs w:val="14"/>
                <w:color w:val="auto"/>
              </w:rPr>
              <w:t>Annual and Long-Term Incentive Measures,</w:t>
            </w:r>
          </w:p>
        </w:tc>
        <w:tc>
          <w:tcPr>
            <w:tcW w:w="1080" w:type="dxa"/>
            <w:vAlign w:val="bottom"/>
          </w:tcPr>
          <w:p>
            <w:pPr>
              <w:ind w:left="60"/>
              <w:spacing w:after="0" w:line="146" w:lineRule="exact"/>
              <w:rPr>
                <w:sz w:val="20"/>
                <w:szCs w:val="20"/>
                <w:color w:val="auto"/>
              </w:rPr>
            </w:pPr>
            <w:r>
              <w:rPr>
                <w:rFonts w:ascii="Arial" w:cs="Arial" w:eastAsia="Arial" w:hAnsi="Arial"/>
                <w:sz w:val="14"/>
                <w:szCs w:val="14"/>
                <w:color w:val="auto"/>
              </w:rPr>
              <w:t>Develops</w:t>
            </w:r>
          </w:p>
        </w:tc>
        <w:tc>
          <w:tcPr>
            <w:tcW w:w="1400" w:type="dxa"/>
            <w:vAlign w:val="bottom"/>
          </w:tcPr>
          <w:p>
            <w:pPr>
              <w:ind w:left="300"/>
              <w:spacing w:after="0" w:line="146" w:lineRule="exact"/>
              <w:rPr>
                <w:sz w:val="20"/>
                <w:szCs w:val="20"/>
                <w:color w:val="auto"/>
              </w:rPr>
            </w:pPr>
            <w:r>
              <w:rPr>
                <w:rFonts w:ascii="Arial" w:cs="Arial" w:eastAsia="Arial" w:hAnsi="Arial"/>
                <w:sz w:val="14"/>
                <w:szCs w:val="14"/>
                <w:color w:val="auto"/>
              </w:rPr>
              <w:t>Reviews</w:t>
            </w:r>
          </w:p>
        </w:tc>
        <w:tc>
          <w:tcPr>
            <w:tcW w:w="1280" w:type="dxa"/>
            <w:vAlign w:val="bottom"/>
          </w:tcPr>
          <w:p>
            <w:pPr>
              <w:ind w:left="220"/>
              <w:spacing w:after="0" w:line="146" w:lineRule="exact"/>
              <w:rPr>
                <w:sz w:val="20"/>
                <w:szCs w:val="20"/>
                <w:color w:val="auto"/>
              </w:rPr>
            </w:pPr>
            <w:r>
              <w:rPr>
                <w:rFonts w:ascii="Arial" w:cs="Arial" w:eastAsia="Arial" w:hAnsi="Arial"/>
                <w:sz w:val="14"/>
                <w:szCs w:val="14"/>
                <w:color w:val="auto"/>
              </w:rPr>
              <w:t>—</w:t>
            </w:r>
          </w:p>
        </w:tc>
        <w:tc>
          <w:tcPr>
            <w:tcW w:w="1320" w:type="dxa"/>
            <w:vAlign w:val="bottom"/>
          </w:tcPr>
          <w:p>
            <w:pPr>
              <w:ind w:left="240"/>
              <w:spacing w:after="0" w:line="146" w:lineRule="exact"/>
              <w:rPr>
                <w:sz w:val="20"/>
                <w:szCs w:val="20"/>
                <w:color w:val="auto"/>
              </w:rPr>
            </w:pPr>
            <w:r>
              <w:rPr>
                <w:rFonts w:ascii="Arial" w:cs="Arial" w:eastAsia="Arial" w:hAnsi="Arial"/>
                <w:sz w:val="14"/>
                <w:szCs w:val="14"/>
                <w:color w:val="auto"/>
              </w:rPr>
              <w:t>Reviews</w:t>
            </w:r>
          </w:p>
        </w:tc>
        <w:tc>
          <w:tcPr>
            <w:tcW w:w="1340" w:type="dxa"/>
            <w:vAlign w:val="bottom"/>
          </w:tcPr>
          <w:p>
            <w:pPr>
              <w:ind w:left="240"/>
              <w:spacing w:after="0" w:line="146" w:lineRule="exact"/>
              <w:rPr>
                <w:sz w:val="20"/>
                <w:szCs w:val="20"/>
                <w:color w:val="auto"/>
              </w:rPr>
            </w:pPr>
            <w:r>
              <w:rPr>
                <w:rFonts w:ascii="Arial" w:cs="Arial" w:eastAsia="Arial" w:hAnsi="Arial"/>
                <w:sz w:val="14"/>
                <w:szCs w:val="14"/>
                <w:color w:val="auto"/>
              </w:rPr>
              <w:t>Approves</w:t>
            </w:r>
          </w:p>
        </w:tc>
        <w:tc>
          <w:tcPr>
            <w:tcW w:w="1520" w:type="dxa"/>
            <w:vAlign w:val="bottom"/>
          </w:tcPr>
          <w:p>
            <w:pPr>
              <w:ind w:left="220"/>
              <w:spacing w:after="0" w:line="146" w:lineRule="exact"/>
              <w:rPr>
                <w:sz w:val="20"/>
                <w:szCs w:val="20"/>
                <w:color w:val="auto"/>
              </w:rPr>
            </w:pPr>
            <w:r>
              <w:rPr>
                <w:rFonts w:ascii="Arial" w:cs="Arial" w:eastAsia="Arial" w:hAnsi="Arial"/>
                <w:sz w:val="14"/>
                <w:szCs w:val="14"/>
                <w:color w:val="auto"/>
              </w:rPr>
              <w:t>Ratify</w:t>
            </w:r>
          </w:p>
        </w:tc>
      </w:tr>
      <w:tr>
        <w:trPr>
          <w:trHeight w:val="170"/>
        </w:trPr>
        <w:tc>
          <w:tcPr>
            <w:tcW w:w="3260" w:type="dxa"/>
            <w:vAlign w:val="bottom"/>
            <w:tcBorders>
              <w:bottom w:val="single" w:sz="8" w:color="959595"/>
            </w:tcBorders>
            <w:gridSpan w:val="2"/>
          </w:tcPr>
          <w:p>
            <w:pPr>
              <w:ind w:left="20"/>
              <w:spacing w:after="0"/>
              <w:rPr>
                <w:sz w:val="20"/>
                <w:szCs w:val="20"/>
                <w:color w:val="auto"/>
              </w:rPr>
            </w:pPr>
            <w:r>
              <w:rPr>
                <w:rFonts w:ascii="Arial" w:cs="Arial" w:eastAsia="Arial" w:hAnsi="Arial"/>
                <w:sz w:val="14"/>
                <w:szCs w:val="14"/>
                <w:color w:val="auto"/>
              </w:rPr>
              <w:t>Performance Targets and Performance Results</w:t>
            </w:r>
          </w:p>
        </w:tc>
        <w:tc>
          <w:tcPr>
            <w:tcW w:w="1080" w:type="dxa"/>
            <w:vAlign w:val="bottom"/>
            <w:tcBorders>
              <w:bottom w:val="single" w:sz="8" w:color="959595"/>
            </w:tcBorders>
          </w:tcPr>
          <w:p>
            <w:pPr>
              <w:spacing w:after="0"/>
              <w:rPr>
                <w:sz w:val="14"/>
                <w:szCs w:val="14"/>
                <w:color w:val="auto"/>
              </w:rPr>
            </w:pPr>
          </w:p>
        </w:tc>
        <w:tc>
          <w:tcPr>
            <w:tcW w:w="1400" w:type="dxa"/>
            <w:vAlign w:val="bottom"/>
            <w:tcBorders>
              <w:bottom w:val="single" w:sz="8" w:color="959595"/>
            </w:tcBorders>
          </w:tcPr>
          <w:p>
            <w:pPr>
              <w:spacing w:after="0"/>
              <w:rPr>
                <w:sz w:val="14"/>
                <w:szCs w:val="14"/>
                <w:color w:val="auto"/>
              </w:rPr>
            </w:pPr>
          </w:p>
        </w:tc>
        <w:tc>
          <w:tcPr>
            <w:tcW w:w="1280" w:type="dxa"/>
            <w:vAlign w:val="bottom"/>
            <w:tcBorders>
              <w:bottom w:val="single" w:sz="8" w:color="959595"/>
            </w:tcBorders>
          </w:tcPr>
          <w:p>
            <w:pPr>
              <w:spacing w:after="0"/>
              <w:rPr>
                <w:sz w:val="14"/>
                <w:szCs w:val="14"/>
                <w:color w:val="auto"/>
              </w:rPr>
            </w:pPr>
          </w:p>
        </w:tc>
        <w:tc>
          <w:tcPr>
            <w:tcW w:w="1320" w:type="dxa"/>
            <w:vAlign w:val="bottom"/>
            <w:tcBorders>
              <w:bottom w:val="single" w:sz="8" w:color="959595"/>
            </w:tcBorders>
          </w:tcPr>
          <w:p>
            <w:pPr>
              <w:spacing w:after="0"/>
              <w:rPr>
                <w:sz w:val="14"/>
                <w:szCs w:val="14"/>
                <w:color w:val="auto"/>
              </w:rPr>
            </w:pPr>
          </w:p>
        </w:tc>
        <w:tc>
          <w:tcPr>
            <w:tcW w:w="1340" w:type="dxa"/>
            <w:vAlign w:val="bottom"/>
            <w:tcBorders>
              <w:bottom w:val="single" w:sz="8" w:color="959595"/>
            </w:tcBorders>
          </w:tcPr>
          <w:p>
            <w:pPr>
              <w:spacing w:after="0"/>
              <w:rPr>
                <w:sz w:val="14"/>
                <w:szCs w:val="14"/>
                <w:color w:val="auto"/>
              </w:rPr>
            </w:pPr>
          </w:p>
        </w:tc>
        <w:tc>
          <w:tcPr>
            <w:tcW w:w="1520" w:type="dxa"/>
            <w:vAlign w:val="bottom"/>
            <w:tcBorders>
              <w:bottom w:val="single" w:sz="8" w:color="959595"/>
            </w:tcBorders>
          </w:tcPr>
          <w:p>
            <w:pPr>
              <w:spacing w:after="0"/>
              <w:rPr>
                <w:sz w:val="14"/>
                <w:szCs w:val="14"/>
                <w:color w:val="auto"/>
              </w:rPr>
            </w:pPr>
          </w:p>
        </w:tc>
      </w:tr>
      <w:tr>
        <w:trPr>
          <w:trHeight w:val="182"/>
        </w:trPr>
        <w:tc>
          <w:tcPr>
            <w:tcW w:w="3260" w:type="dxa"/>
            <w:vAlign w:val="bottom"/>
            <w:tcBorders>
              <w:bottom w:val="single" w:sz="8" w:color="959595"/>
            </w:tcBorders>
            <w:gridSpan w:val="2"/>
          </w:tcPr>
          <w:p>
            <w:pPr>
              <w:ind w:left="20"/>
              <w:spacing w:after="0"/>
              <w:rPr>
                <w:sz w:val="20"/>
                <w:szCs w:val="20"/>
                <w:color w:val="auto"/>
              </w:rPr>
            </w:pPr>
            <w:r>
              <w:rPr>
                <w:rFonts w:ascii="Arial" w:cs="Arial" w:eastAsia="Arial" w:hAnsi="Arial"/>
                <w:sz w:val="14"/>
                <w:szCs w:val="14"/>
                <w:color w:val="auto"/>
              </w:rPr>
              <w:t>Long-Term Incentive Grants, Dilution, Burn Rate</w:t>
            </w:r>
          </w:p>
        </w:tc>
        <w:tc>
          <w:tcPr>
            <w:tcW w:w="108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Develops</w:t>
            </w:r>
          </w:p>
        </w:tc>
        <w:tc>
          <w:tcPr>
            <w:tcW w:w="1400" w:type="dxa"/>
            <w:vAlign w:val="bottom"/>
            <w:tcBorders>
              <w:bottom w:val="single" w:sz="8" w:color="959595"/>
            </w:tcBorders>
          </w:tcPr>
          <w:p>
            <w:pPr>
              <w:ind w:left="300"/>
              <w:spacing w:after="0"/>
              <w:rPr>
                <w:sz w:val="20"/>
                <w:szCs w:val="20"/>
                <w:color w:val="auto"/>
              </w:rPr>
            </w:pPr>
            <w:r>
              <w:rPr>
                <w:rFonts w:ascii="Arial" w:cs="Arial" w:eastAsia="Arial" w:hAnsi="Arial"/>
                <w:sz w:val="14"/>
                <w:szCs w:val="14"/>
                <w:color w:val="auto"/>
              </w:rPr>
              <w:t>Reviews</w:t>
            </w:r>
          </w:p>
        </w:tc>
        <w:tc>
          <w:tcPr>
            <w:tcW w:w="1280" w:type="dxa"/>
            <w:vAlign w:val="bottom"/>
            <w:tcBorders>
              <w:bottom w:val="single" w:sz="8" w:color="959595"/>
            </w:tcBorders>
          </w:tcPr>
          <w:p>
            <w:pPr>
              <w:ind w:left="22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Reviews</w:t>
            </w:r>
          </w:p>
        </w:tc>
        <w:tc>
          <w:tcPr>
            <w:tcW w:w="134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Approves</w:t>
            </w:r>
          </w:p>
        </w:tc>
        <w:tc>
          <w:tcPr>
            <w:tcW w:w="1520" w:type="dxa"/>
            <w:vAlign w:val="bottom"/>
            <w:tcBorders>
              <w:bottom w:val="single" w:sz="8" w:color="959595"/>
            </w:tcBorders>
          </w:tcPr>
          <w:p>
            <w:pPr>
              <w:ind w:left="220"/>
              <w:spacing w:after="0"/>
              <w:rPr>
                <w:sz w:val="20"/>
                <w:szCs w:val="20"/>
                <w:color w:val="auto"/>
              </w:rPr>
            </w:pPr>
            <w:r>
              <w:rPr>
                <w:rFonts w:ascii="Arial" w:cs="Arial" w:eastAsia="Arial" w:hAnsi="Arial"/>
                <w:sz w:val="14"/>
                <w:szCs w:val="14"/>
                <w:color w:val="auto"/>
              </w:rPr>
              <w:t>Ratify</w:t>
            </w:r>
          </w:p>
        </w:tc>
      </w:tr>
      <w:tr>
        <w:trPr>
          <w:trHeight w:val="182"/>
        </w:trPr>
        <w:tc>
          <w:tcPr>
            <w:tcW w:w="3260" w:type="dxa"/>
            <w:vAlign w:val="bottom"/>
            <w:tcBorders>
              <w:bottom w:val="single" w:sz="8" w:color="959595"/>
            </w:tcBorders>
            <w:gridSpan w:val="2"/>
          </w:tcPr>
          <w:p>
            <w:pPr>
              <w:ind w:left="20"/>
              <w:spacing w:after="0"/>
              <w:rPr>
                <w:sz w:val="20"/>
                <w:szCs w:val="20"/>
                <w:color w:val="auto"/>
              </w:rPr>
            </w:pPr>
            <w:r>
              <w:rPr>
                <w:rFonts w:ascii="Arial" w:cs="Arial" w:eastAsia="Arial" w:hAnsi="Arial"/>
                <w:sz w:val="14"/>
                <w:szCs w:val="14"/>
                <w:color w:val="auto"/>
              </w:rPr>
              <w:t>Risk Assessment of Incentive Plans</w:t>
            </w:r>
          </w:p>
        </w:tc>
        <w:tc>
          <w:tcPr>
            <w:tcW w:w="108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Reviews</w:t>
            </w:r>
          </w:p>
        </w:tc>
        <w:tc>
          <w:tcPr>
            <w:tcW w:w="1400" w:type="dxa"/>
            <w:vAlign w:val="bottom"/>
            <w:tcBorders>
              <w:bottom w:val="single" w:sz="8" w:color="959595"/>
            </w:tcBorders>
          </w:tcPr>
          <w:p>
            <w:pPr>
              <w:ind w:left="300"/>
              <w:spacing w:after="0"/>
              <w:rPr>
                <w:sz w:val="20"/>
                <w:szCs w:val="20"/>
                <w:color w:val="auto"/>
              </w:rPr>
            </w:pPr>
            <w:r>
              <w:rPr>
                <w:rFonts w:ascii="Arial" w:cs="Arial" w:eastAsia="Arial" w:hAnsi="Arial"/>
                <w:sz w:val="14"/>
                <w:szCs w:val="14"/>
                <w:color w:val="auto"/>
              </w:rPr>
              <w:t>Reviews</w:t>
            </w:r>
          </w:p>
        </w:tc>
        <w:tc>
          <w:tcPr>
            <w:tcW w:w="1280" w:type="dxa"/>
            <w:vAlign w:val="bottom"/>
            <w:tcBorders>
              <w:bottom w:val="single" w:sz="8" w:color="959595"/>
            </w:tcBorders>
          </w:tcPr>
          <w:p>
            <w:pPr>
              <w:ind w:left="22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Develops</w:t>
            </w:r>
          </w:p>
        </w:tc>
        <w:tc>
          <w:tcPr>
            <w:tcW w:w="134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Reviews</w:t>
            </w:r>
          </w:p>
        </w:tc>
        <w:tc>
          <w:tcPr>
            <w:tcW w:w="1520" w:type="dxa"/>
            <w:vAlign w:val="bottom"/>
            <w:tcBorders>
              <w:bottom w:val="single" w:sz="8" w:color="959595"/>
            </w:tcBorders>
          </w:tcPr>
          <w:p>
            <w:pPr>
              <w:ind w:left="220"/>
              <w:spacing w:after="0"/>
              <w:rPr>
                <w:sz w:val="20"/>
                <w:szCs w:val="20"/>
                <w:color w:val="auto"/>
              </w:rPr>
            </w:pPr>
            <w:r>
              <w:rPr>
                <w:rFonts w:ascii="Arial" w:cs="Arial" w:eastAsia="Arial" w:hAnsi="Arial"/>
                <w:sz w:val="14"/>
                <w:szCs w:val="14"/>
                <w:color w:val="auto"/>
              </w:rPr>
              <w:t>—</w:t>
            </w:r>
          </w:p>
        </w:tc>
      </w:tr>
      <w:tr>
        <w:trPr>
          <w:trHeight w:val="182"/>
        </w:trPr>
        <w:tc>
          <w:tcPr>
            <w:tcW w:w="3260" w:type="dxa"/>
            <w:vAlign w:val="bottom"/>
            <w:tcBorders>
              <w:bottom w:val="single" w:sz="8" w:color="959595"/>
            </w:tcBorders>
            <w:gridSpan w:val="2"/>
          </w:tcPr>
          <w:p>
            <w:pPr>
              <w:ind w:left="20"/>
              <w:spacing w:after="0"/>
              <w:rPr>
                <w:sz w:val="20"/>
                <w:szCs w:val="20"/>
                <w:color w:val="auto"/>
              </w:rPr>
            </w:pPr>
            <w:r>
              <w:rPr>
                <w:rFonts w:ascii="Arial" w:cs="Arial" w:eastAsia="Arial" w:hAnsi="Arial"/>
                <w:sz w:val="14"/>
                <w:szCs w:val="14"/>
                <w:color w:val="auto"/>
              </w:rPr>
              <w:t>Succession Plans</w:t>
            </w:r>
          </w:p>
        </w:tc>
        <w:tc>
          <w:tcPr>
            <w:tcW w:w="108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Develops</w:t>
            </w:r>
          </w:p>
        </w:tc>
        <w:tc>
          <w:tcPr>
            <w:tcW w:w="1400" w:type="dxa"/>
            <w:vAlign w:val="bottom"/>
            <w:tcBorders>
              <w:bottom w:val="single" w:sz="8" w:color="959595"/>
            </w:tcBorders>
          </w:tcPr>
          <w:p>
            <w:pPr>
              <w:ind w:left="300"/>
              <w:spacing w:after="0"/>
              <w:rPr>
                <w:sz w:val="20"/>
                <w:szCs w:val="20"/>
                <w:color w:val="auto"/>
              </w:rPr>
            </w:pPr>
            <w:r>
              <w:rPr>
                <w:rFonts w:ascii="Arial" w:cs="Arial" w:eastAsia="Arial" w:hAnsi="Arial"/>
                <w:sz w:val="14"/>
                <w:szCs w:val="14"/>
                <w:color w:val="auto"/>
              </w:rPr>
              <w:t>Reviews</w:t>
            </w:r>
          </w:p>
        </w:tc>
        <w:tc>
          <w:tcPr>
            <w:tcW w:w="1280" w:type="dxa"/>
            <w:vAlign w:val="bottom"/>
            <w:tcBorders>
              <w:bottom w:val="single" w:sz="8" w:color="959595"/>
            </w:tcBorders>
          </w:tcPr>
          <w:p>
            <w:pPr>
              <w:ind w:left="220"/>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959595"/>
            </w:tcBorders>
          </w:tcPr>
          <w:p>
            <w:pPr>
              <w:ind w:left="220"/>
              <w:spacing w:after="0"/>
              <w:rPr>
                <w:sz w:val="20"/>
                <w:szCs w:val="20"/>
                <w:color w:val="auto"/>
              </w:rPr>
            </w:pPr>
            <w:r>
              <w:rPr>
                <w:rFonts w:ascii="Arial" w:cs="Arial" w:eastAsia="Arial" w:hAnsi="Arial"/>
                <w:sz w:val="14"/>
                <w:szCs w:val="14"/>
                <w:color w:val="auto"/>
              </w:rPr>
              <w:t>Review</w:t>
            </w:r>
          </w:p>
        </w:tc>
      </w:tr>
      <w:tr>
        <w:trPr>
          <w:trHeight w:val="358"/>
        </w:trPr>
        <w:tc>
          <w:tcPr>
            <w:tcW w:w="200" w:type="dxa"/>
            <w:vAlign w:val="bottom"/>
          </w:tcPr>
          <w:p>
            <w:pPr>
              <w:spacing w:after="0"/>
              <w:rPr>
                <w:sz w:val="20"/>
                <w:szCs w:val="20"/>
                <w:color w:val="auto"/>
              </w:rPr>
            </w:pPr>
            <w:r>
              <w:rPr>
                <w:rFonts w:ascii="Arial" w:cs="Arial" w:eastAsia="Arial" w:hAnsi="Arial"/>
                <w:sz w:val="9"/>
                <w:szCs w:val="9"/>
                <w:color w:val="auto"/>
              </w:rPr>
              <w:t>(1)</w:t>
            </w:r>
          </w:p>
        </w:tc>
        <w:tc>
          <w:tcPr>
            <w:tcW w:w="3060" w:type="dxa"/>
            <w:vAlign w:val="bottom"/>
          </w:tcPr>
          <w:p>
            <w:pPr>
              <w:ind w:left="80"/>
              <w:spacing w:after="0"/>
              <w:rPr>
                <w:sz w:val="20"/>
                <w:szCs w:val="20"/>
                <w:color w:val="auto"/>
              </w:rPr>
            </w:pPr>
            <w:r>
              <w:rPr>
                <w:rFonts w:ascii="Arial" w:cs="Arial" w:eastAsia="Arial" w:hAnsi="Arial"/>
                <w:sz w:val="14"/>
                <w:szCs w:val="14"/>
                <w:color w:val="auto"/>
              </w:rPr>
              <w:t>Aon and Willis Towers Watson.</w:t>
            </w: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8"/>
        </w:trPr>
        <w:tc>
          <w:tcPr>
            <w:tcW w:w="200" w:type="dxa"/>
            <w:vAlign w:val="bottom"/>
          </w:tcPr>
          <w:p>
            <w:pPr>
              <w:spacing w:after="0"/>
              <w:rPr>
                <w:sz w:val="20"/>
                <w:szCs w:val="20"/>
                <w:color w:val="auto"/>
              </w:rPr>
            </w:pPr>
            <w:r>
              <w:rPr>
                <w:rFonts w:ascii="Arial" w:cs="Arial" w:eastAsia="Arial" w:hAnsi="Arial"/>
                <w:sz w:val="9"/>
                <w:szCs w:val="9"/>
                <w:color w:val="auto"/>
              </w:rPr>
              <w:t>(2)</w:t>
            </w:r>
          </w:p>
        </w:tc>
        <w:tc>
          <w:tcPr>
            <w:tcW w:w="3060" w:type="dxa"/>
            <w:vAlign w:val="bottom"/>
          </w:tcPr>
          <w:p>
            <w:pPr>
              <w:ind w:left="80"/>
              <w:spacing w:after="0"/>
              <w:rPr>
                <w:sz w:val="20"/>
                <w:szCs w:val="20"/>
                <w:color w:val="auto"/>
              </w:rPr>
            </w:pPr>
            <w:r>
              <w:rPr>
                <w:rFonts w:ascii="Arial" w:cs="Arial" w:eastAsia="Arial" w:hAnsi="Arial"/>
                <w:sz w:val="14"/>
                <w:szCs w:val="14"/>
                <w:color w:val="auto"/>
              </w:rPr>
              <w:t>Meridian Compensation Partners (Meridian).</w:t>
            </w:r>
          </w:p>
        </w:tc>
        <w:tc>
          <w:tcPr>
            <w:tcW w:w="1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5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40</w:t>
      </w:r>
    </w:p>
    <w:p>
      <w:pPr>
        <w:sectPr>
          <w:pgSz w:w="11900" w:h="16838" w:orient="portrait"/>
          <w:cols w:equalWidth="0" w:num="1">
            <w:col w:w="11240"/>
          </w:cols>
          <w:pgMar w:left="320" w:top="254" w:right="339" w:bottom="1440" w:gutter="0" w:footer="0" w:header="0"/>
          <w:type w:val="continuous"/>
        </w:sectPr>
      </w:pPr>
    </w:p>
    <w:bookmarkStart w:id="46" w:name="page47"/>
    <w:bookmarkEnd w:id="46"/>
    <w:p>
      <w:pPr>
        <w:ind w:left="100"/>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ind w:left="100"/>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7" w:lineRule="exact"/>
        <w:rPr>
          <w:sz w:val="20"/>
          <w:szCs w:val="20"/>
          <w:color w:val="auto"/>
        </w:rPr>
      </w:pPr>
    </w:p>
    <w:p>
      <w:pPr>
        <w:ind w:left="100"/>
        <w:spacing w:after="0"/>
        <w:rPr>
          <w:sz w:val="20"/>
          <w:szCs w:val="20"/>
          <w:color w:val="auto"/>
        </w:rPr>
      </w:pPr>
      <w:r>
        <w:rPr>
          <w:rFonts w:ascii="Arial" w:cs="Arial" w:eastAsia="Arial" w:hAnsi="Arial"/>
          <w:sz w:val="21"/>
          <w:szCs w:val="21"/>
          <w:color w:val="818EB4"/>
        </w:rPr>
        <w:t>How We Determine Market Rate Compensation</w:t>
      </w:r>
    </w:p>
    <w:p>
      <w:pPr>
        <w:spacing w:after="0" w:line="122" w:lineRule="exact"/>
        <w:rPr>
          <w:sz w:val="20"/>
          <w:szCs w:val="20"/>
          <w:color w:val="auto"/>
        </w:rPr>
      </w:pPr>
    </w:p>
    <w:p>
      <w:pPr>
        <w:jc w:val="both"/>
        <w:ind w:left="100" w:right="60"/>
        <w:spacing w:after="0" w:line="248" w:lineRule="auto"/>
        <w:rPr>
          <w:sz w:val="20"/>
          <w:szCs w:val="20"/>
          <w:color w:val="auto"/>
        </w:rPr>
      </w:pPr>
      <w:r>
        <w:rPr>
          <w:rFonts w:ascii="Arial" w:cs="Arial" w:eastAsia="Arial" w:hAnsi="Arial"/>
          <w:sz w:val="17"/>
          <w:szCs w:val="17"/>
          <w:color w:val="auto"/>
        </w:rPr>
        <w:t>For each of the principal elements of executive compensation, we determine the “market rate” as the size-adjusted 50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of our comparator group of companies. Size-adjusted market rates are calculated for us by Aon, using revenue regression analysis. This statistical technique accounts for revenue size differences within the peer group and results in a market rate for all compensation elements consistent with our revenue relationship to our peers. We also may adjust the market rate to reflect differences in an executive’s job scope relative to the industry or the comparator group of companies, as appropriate.</w:t>
      </w:r>
    </w:p>
    <w:p>
      <w:pPr>
        <w:spacing w:after="0" w:line="113" w:lineRule="exact"/>
        <w:rPr>
          <w:sz w:val="20"/>
          <w:szCs w:val="20"/>
          <w:color w:val="auto"/>
        </w:rPr>
      </w:pPr>
    </w:p>
    <w:p>
      <w:pPr>
        <w:ind w:left="100" w:right="140"/>
        <w:spacing w:after="0" w:line="267" w:lineRule="auto"/>
        <w:rPr>
          <w:sz w:val="20"/>
          <w:szCs w:val="20"/>
          <w:color w:val="auto"/>
        </w:rPr>
      </w:pPr>
      <w:r>
        <w:rPr>
          <w:rFonts w:ascii="Arial" w:cs="Arial" w:eastAsia="Arial" w:hAnsi="Arial"/>
          <w:sz w:val="17"/>
          <w:szCs w:val="17"/>
          <w:color w:val="auto"/>
        </w:rPr>
        <w:t>The Compensation Committee considers the current market data in combination with other internal factors when setting individual annual target pay levels, such as changes to market data year-over-year, internal pay equity, individual performance, job scope and criticality to the Company. Our incentive plans are designed so that actual performance in excess of established performance targets results in payouts above target and actual performance below established performance targets results in payouts below target or no payout.</w:t>
      </w:r>
    </w:p>
    <w:p>
      <w:pPr>
        <w:spacing w:after="0" w:line="97" w:lineRule="exact"/>
        <w:rPr>
          <w:sz w:val="20"/>
          <w:szCs w:val="20"/>
          <w:color w:val="auto"/>
        </w:rPr>
      </w:pPr>
    </w:p>
    <w:p>
      <w:pPr>
        <w:ind w:left="100"/>
        <w:spacing w:after="0"/>
        <w:rPr>
          <w:sz w:val="20"/>
          <w:szCs w:val="20"/>
          <w:color w:val="auto"/>
        </w:rPr>
      </w:pPr>
      <w:r>
        <w:rPr>
          <w:rFonts w:ascii="Arial" w:cs="Arial" w:eastAsia="Arial" w:hAnsi="Arial"/>
          <w:sz w:val="21"/>
          <w:szCs w:val="21"/>
          <w:color w:val="818EB4"/>
        </w:rPr>
        <w:t>How We Select the Comparator Group for Market Rate Purposes</w:t>
      </w:r>
    </w:p>
    <w:p>
      <w:pPr>
        <w:spacing w:after="0" w:line="122" w:lineRule="exact"/>
        <w:rPr>
          <w:sz w:val="20"/>
          <w:szCs w:val="20"/>
          <w:color w:val="auto"/>
        </w:rPr>
      </w:pPr>
    </w:p>
    <w:p>
      <w:pPr>
        <w:ind w:left="100" w:right="60"/>
        <w:spacing w:after="0" w:line="267" w:lineRule="auto"/>
        <w:rPr>
          <w:sz w:val="20"/>
          <w:szCs w:val="20"/>
          <w:color w:val="auto"/>
        </w:rPr>
      </w:pPr>
      <w:r>
        <w:rPr>
          <w:rFonts w:ascii="Arial" w:cs="Arial" w:eastAsia="Arial" w:hAnsi="Arial"/>
          <w:sz w:val="17"/>
          <w:szCs w:val="17"/>
          <w:color w:val="auto"/>
        </w:rPr>
        <w:t>To establish the market rate for each of the principal elements of compensation, we select a group of publicly-traded companies (our comparator group). We regularly review our comparator group to maintain relevancy and to ensure the availability of data, while seeking to avoid significant annual changes in the group to ensure a level of consistency. Because the number of comparable companies with our revenue level is not extensive, we include companies in our comparator group based on a number of factors, including:</w:t>
      </w:r>
    </w:p>
    <w:p>
      <w:pPr>
        <w:spacing w:after="0" w:line="98" w:lineRule="exact"/>
        <w:rPr>
          <w:sz w:val="20"/>
          <w:szCs w:val="20"/>
          <w:color w:val="auto"/>
        </w:rPr>
      </w:pPr>
    </w:p>
    <w:p>
      <w:pPr>
        <w:ind w:left="320" w:hanging="132"/>
        <w:spacing w:after="0"/>
        <w:tabs>
          <w:tab w:leader="none" w:pos="320" w:val="left"/>
        </w:tabs>
        <w:numPr>
          <w:ilvl w:val="0"/>
          <w:numId w:val="69"/>
        </w:numPr>
        <w:rPr>
          <w:rFonts w:ascii="Arial" w:cs="Arial" w:eastAsia="Arial" w:hAnsi="Arial"/>
          <w:sz w:val="17"/>
          <w:szCs w:val="17"/>
          <w:color w:val="003478"/>
        </w:rPr>
      </w:pPr>
      <w:r>
        <w:rPr>
          <w:rFonts w:ascii="Arial" w:cs="Arial" w:eastAsia="Arial" w:hAnsi="Arial"/>
          <w:sz w:val="17"/>
          <w:szCs w:val="17"/>
          <w:color w:val="auto"/>
        </w:rPr>
        <w:t>Similarity in size (a high correlative factor in determining pay), generally based on annual revenues;</w:t>
      </w:r>
    </w:p>
    <w:p>
      <w:pPr>
        <w:spacing w:after="0" w:line="73" w:lineRule="exact"/>
        <w:rPr>
          <w:rFonts w:ascii="Arial" w:cs="Arial" w:eastAsia="Arial" w:hAnsi="Arial"/>
          <w:sz w:val="17"/>
          <w:szCs w:val="17"/>
          <w:color w:val="003478"/>
        </w:rPr>
      </w:pPr>
    </w:p>
    <w:p>
      <w:pPr>
        <w:ind w:left="340" w:right="200" w:hanging="152"/>
        <w:spacing w:after="0" w:line="274" w:lineRule="auto"/>
        <w:tabs>
          <w:tab w:leader="none" w:pos="305" w:val="left"/>
        </w:tabs>
        <w:numPr>
          <w:ilvl w:val="0"/>
          <w:numId w:val="69"/>
        </w:numPr>
        <w:rPr>
          <w:rFonts w:ascii="Arial" w:cs="Arial" w:eastAsia="Arial" w:hAnsi="Arial"/>
          <w:sz w:val="17"/>
          <w:szCs w:val="17"/>
          <w:color w:val="003478"/>
        </w:rPr>
      </w:pPr>
      <w:r>
        <w:rPr>
          <w:rFonts w:ascii="Arial" w:cs="Arial" w:eastAsia="Arial" w:hAnsi="Arial"/>
          <w:sz w:val="17"/>
          <w:szCs w:val="17"/>
          <w:color w:val="auto"/>
        </w:rPr>
        <w:t>Participation in the Aon executive compensation survey (our primary source for data in making market comparisons), which enables us to obtain reliable data for market comparisons that otherwise may not be publicly available;</w:t>
      </w:r>
    </w:p>
    <w:p>
      <w:pPr>
        <w:spacing w:after="0" w:line="37" w:lineRule="exact"/>
        <w:rPr>
          <w:rFonts w:ascii="Arial" w:cs="Arial" w:eastAsia="Arial" w:hAnsi="Arial"/>
          <w:sz w:val="17"/>
          <w:szCs w:val="17"/>
          <w:color w:val="003478"/>
        </w:rPr>
      </w:pPr>
    </w:p>
    <w:p>
      <w:pPr>
        <w:ind w:left="340" w:right="120" w:hanging="152"/>
        <w:spacing w:after="0" w:line="274" w:lineRule="auto"/>
        <w:tabs>
          <w:tab w:leader="none" w:pos="305" w:val="left"/>
        </w:tabs>
        <w:numPr>
          <w:ilvl w:val="0"/>
          <w:numId w:val="69"/>
        </w:numPr>
        <w:rPr>
          <w:rFonts w:ascii="Arial" w:cs="Arial" w:eastAsia="Arial" w:hAnsi="Arial"/>
          <w:sz w:val="17"/>
          <w:szCs w:val="17"/>
          <w:color w:val="002F6C"/>
        </w:rPr>
      </w:pPr>
      <w:r>
        <w:rPr>
          <w:rFonts w:ascii="Arial" w:cs="Arial" w:eastAsia="Arial" w:hAnsi="Arial"/>
          <w:sz w:val="17"/>
          <w:szCs w:val="17"/>
          <w:color w:val="auto"/>
        </w:rPr>
        <w:t>Industrial companies and, to the extent possible, companies that compete in the aerospace and defense industry, which enables comparison with companies that face similar overall labor costs, economic factors and market fluctuations;</w:t>
      </w:r>
    </w:p>
    <w:p>
      <w:pPr>
        <w:spacing w:after="0" w:line="37" w:lineRule="exact"/>
        <w:rPr>
          <w:rFonts w:ascii="Arial" w:cs="Arial" w:eastAsia="Arial" w:hAnsi="Arial"/>
          <w:sz w:val="17"/>
          <w:szCs w:val="17"/>
          <w:color w:val="002F6C"/>
        </w:rPr>
      </w:pPr>
    </w:p>
    <w:p>
      <w:pPr>
        <w:ind w:left="340" w:right="220" w:hanging="152"/>
        <w:spacing w:after="0" w:line="269" w:lineRule="auto"/>
        <w:tabs>
          <w:tab w:leader="none" w:pos="305" w:val="left"/>
        </w:tabs>
        <w:numPr>
          <w:ilvl w:val="0"/>
          <w:numId w:val="69"/>
        </w:numPr>
        <w:rPr>
          <w:rFonts w:ascii="Arial" w:cs="Arial" w:eastAsia="Arial" w:hAnsi="Arial"/>
          <w:sz w:val="17"/>
          <w:szCs w:val="17"/>
          <w:color w:val="002F6C"/>
        </w:rPr>
      </w:pPr>
      <w:r>
        <w:rPr>
          <w:rFonts w:ascii="Arial" w:cs="Arial" w:eastAsia="Arial" w:hAnsi="Arial"/>
          <w:sz w:val="17"/>
          <w:szCs w:val="17"/>
          <w:color w:val="auto"/>
        </w:rPr>
        <w:t>Companies we compete with for executive talent, as competitive conditions and the limited number of comparably-sized aerospace and defense companies require us to recruit outside of the core aerospace and defense companies for a broad range of disciplines (e.g., finance, human resources, legal, supply chain management) to obtain individuals with a broad range of skills that are transferable across industries; and</w:t>
      </w:r>
    </w:p>
    <w:p>
      <w:pPr>
        <w:spacing w:after="0" w:line="41" w:lineRule="exact"/>
        <w:rPr>
          <w:rFonts w:ascii="Arial" w:cs="Arial" w:eastAsia="Arial" w:hAnsi="Arial"/>
          <w:sz w:val="17"/>
          <w:szCs w:val="17"/>
          <w:color w:val="002F6C"/>
        </w:rPr>
      </w:pPr>
    </w:p>
    <w:p>
      <w:pPr>
        <w:ind w:left="320" w:hanging="132"/>
        <w:spacing w:after="0"/>
        <w:tabs>
          <w:tab w:leader="none" w:pos="320" w:val="left"/>
        </w:tabs>
        <w:numPr>
          <w:ilvl w:val="0"/>
          <w:numId w:val="69"/>
        </w:numPr>
        <w:rPr>
          <w:rFonts w:ascii="Arial" w:cs="Arial" w:eastAsia="Arial" w:hAnsi="Arial"/>
          <w:sz w:val="17"/>
          <w:szCs w:val="17"/>
          <w:color w:val="002F6C"/>
        </w:rPr>
      </w:pPr>
      <w:r>
        <w:rPr>
          <w:rFonts w:ascii="Arial" w:cs="Arial" w:eastAsia="Arial" w:hAnsi="Arial"/>
          <w:sz w:val="17"/>
          <w:szCs w:val="17"/>
          <w:color w:val="auto"/>
        </w:rPr>
        <w:t>Companies with comparable executive officer positions or management structures, which enables more appropriate compensation comparisons.</w:t>
      </w:r>
    </w:p>
    <w:p>
      <w:pPr>
        <w:spacing w:after="0" w:line="114" w:lineRule="exact"/>
        <w:rPr>
          <w:sz w:val="20"/>
          <w:szCs w:val="20"/>
          <w:color w:val="auto"/>
        </w:rPr>
      </w:pPr>
    </w:p>
    <w:p>
      <w:pPr>
        <w:ind w:left="100" w:right="480"/>
        <w:spacing w:after="0" w:line="274" w:lineRule="auto"/>
        <w:rPr>
          <w:sz w:val="20"/>
          <w:szCs w:val="20"/>
          <w:color w:val="auto"/>
        </w:rPr>
      </w:pPr>
      <w:r>
        <w:rPr>
          <w:rFonts w:ascii="Arial" w:cs="Arial" w:eastAsia="Arial" w:hAnsi="Arial"/>
          <w:sz w:val="17"/>
          <w:szCs w:val="17"/>
          <w:color w:val="auto"/>
        </w:rPr>
        <w:t>We do not consider market capitalization in selecting our comparator group because market capitalization can change quickly as industries and companies go in and out of favor as investments and companies restructure.</w:t>
      </w:r>
    </w:p>
    <w:p>
      <w:pPr>
        <w:spacing w:after="0" w:line="91" w:lineRule="exact"/>
        <w:rPr>
          <w:sz w:val="20"/>
          <w:szCs w:val="20"/>
          <w:color w:val="auto"/>
        </w:rPr>
      </w:pPr>
    </w:p>
    <w:p>
      <w:pPr>
        <w:ind w:left="100" w:right="60"/>
        <w:spacing w:after="0" w:line="248" w:lineRule="auto"/>
        <w:rPr>
          <w:sz w:val="20"/>
          <w:szCs w:val="20"/>
          <w:color w:val="auto"/>
        </w:rPr>
      </w:pPr>
      <w:r>
        <w:rPr>
          <w:rFonts w:ascii="Arial" w:cs="Arial" w:eastAsia="Arial" w:hAnsi="Arial"/>
          <w:sz w:val="17"/>
          <w:szCs w:val="17"/>
          <w:color w:val="auto"/>
        </w:rPr>
        <w:t>The data presented to and considered by the Compensation Committee regarding the level of compensation at the Company’s comparator group of peer companies was developed from the proprietary results of the Aon executive compensation survey, subject to review by Meridian. All of the 2021 comparator group companies participated in the Aon survey. For 2021, the Compensation Committee added HP Inc. given its satisfaction of our criteria above and, in light of its split into three companies, DowDuPont Inc. was replaced with Dow Inc. Our 2021 revenues represented the 75</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of the comparator group.</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100" w:type="dxa"/>
            <w:vAlign w:val="bottom"/>
            <w:shd w:val="clear" w:color="auto" w:fill="003478"/>
          </w:tcPr>
          <w:p>
            <w:pPr>
              <w:spacing w:after="0"/>
              <w:rPr>
                <w:sz w:val="9"/>
                <w:szCs w:val="9"/>
                <w:color w:val="auto"/>
              </w:rPr>
            </w:pPr>
          </w:p>
        </w:tc>
        <w:tc>
          <w:tcPr>
            <w:tcW w:w="2620" w:type="dxa"/>
            <w:vAlign w:val="bottom"/>
            <w:shd w:val="clear" w:color="auto" w:fill="003478"/>
          </w:tcPr>
          <w:p>
            <w:pPr>
              <w:spacing w:after="0"/>
              <w:rPr>
                <w:sz w:val="9"/>
                <w:szCs w:val="9"/>
                <w:color w:val="auto"/>
              </w:rPr>
            </w:pPr>
          </w:p>
        </w:tc>
        <w:tc>
          <w:tcPr>
            <w:tcW w:w="4600" w:type="dxa"/>
            <w:vAlign w:val="bottom"/>
            <w:shd w:val="clear" w:color="auto" w:fill="003478"/>
          </w:tcPr>
          <w:p>
            <w:pPr>
              <w:spacing w:after="0"/>
              <w:rPr>
                <w:sz w:val="9"/>
                <w:szCs w:val="9"/>
                <w:color w:val="auto"/>
              </w:rPr>
            </w:pPr>
          </w:p>
        </w:tc>
        <w:tc>
          <w:tcPr>
            <w:tcW w:w="3740" w:type="dxa"/>
            <w:vAlign w:val="bottom"/>
            <w:shd w:val="clear" w:color="auto" w:fill="003478"/>
          </w:tcPr>
          <w:p>
            <w:pPr>
              <w:spacing w:after="0"/>
              <w:rPr>
                <w:sz w:val="9"/>
                <w:szCs w:val="9"/>
                <w:color w:val="auto"/>
              </w:rPr>
            </w:pPr>
          </w:p>
        </w:tc>
        <w:tc>
          <w:tcPr>
            <w:tcW w:w="280" w:type="dxa"/>
            <w:vAlign w:val="bottom"/>
          </w:tcPr>
          <w:p>
            <w:pPr>
              <w:spacing w:after="0"/>
              <w:rPr>
                <w:sz w:val="9"/>
                <w:szCs w:val="9"/>
                <w:color w:val="auto"/>
              </w:rPr>
            </w:pPr>
          </w:p>
        </w:tc>
      </w:tr>
      <w:tr>
        <w:trPr>
          <w:trHeight w:val="276"/>
        </w:trPr>
        <w:tc>
          <w:tcPr>
            <w:tcW w:w="2720" w:type="dxa"/>
            <w:vAlign w:val="bottom"/>
            <w:gridSpan w:val="2"/>
            <w:shd w:val="clear" w:color="auto" w:fill="E4E6EF"/>
          </w:tcPr>
          <w:p>
            <w:pPr>
              <w:ind w:left="20"/>
              <w:spacing w:after="0"/>
              <w:rPr>
                <w:sz w:val="20"/>
                <w:szCs w:val="20"/>
                <w:color w:val="auto"/>
              </w:rPr>
            </w:pPr>
            <w:r>
              <w:rPr>
                <w:rFonts w:ascii="Arial" w:cs="Arial" w:eastAsia="Arial" w:hAnsi="Arial"/>
                <w:sz w:val="16"/>
                <w:szCs w:val="16"/>
                <w:color w:val="475C90"/>
              </w:rPr>
              <w:t>parator Group Companies</w:t>
            </w:r>
          </w:p>
        </w:tc>
        <w:tc>
          <w:tcPr>
            <w:tcW w:w="4600" w:type="dxa"/>
            <w:vAlign w:val="bottom"/>
            <w:shd w:val="clear" w:color="auto" w:fill="E4E6EF"/>
          </w:tcPr>
          <w:p>
            <w:pPr>
              <w:spacing w:after="0"/>
              <w:rPr>
                <w:sz w:val="24"/>
                <w:szCs w:val="24"/>
                <w:color w:val="auto"/>
              </w:rPr>
            </w:pPr>
          </w:p>
        </w:tc>
        <w:tc>
          <w:tcPr>
            <w:tcW w:w="3740" w:type="dxa"/>
            <w:vAlign w:val="bottom"/>
            <w:shd w:val="clear" w:color="auto" w:fill="E4E6EF"/>
          </w:tcPr>
          <w:p>
            <w:pPr>
              <w:spacing w:after="0"/>
              <w:rPr>
                <w:sz w:val="24"/>
                <w:szCs w:val="24"/>
                <w:color w:val="auto"/>
              </w:rPr>
            </w:pPr>
          </w:p>
        </w:tc>
        <w:tc>
          <w:tcPr>
            <w:tcW w:w="280" w:type="dxa"/>
            <w:vAlign w:val="bottom"/>
          </w:tcPr>
          <w:p>
            <w:pPr>
              <w:spacing w:after="0"/>
              <w:rPr>
                <w:sz w:val="24"/>
                <w:szCs w:val="24"/>
                <w:color w:val="auto"/>
              </w:rPr>
            </w:pPr>
          </w:p>
        </w:tc>
      </w:tr>
      <w:tr>
        <w:trPr>
          <w:trHeight w:val="73"/>
        </w:trPr>
        <w:tc>
          <w:tcPr>
            <w:tcW w:w="100" w:type="dxa"/>
            <w:vAlign w:val="bottom"/>
            <w:shd w:val="clear" w:color="auto" w:fill="E4E6EF"/>
          </w:tcPr>
          <w:p>
            <w:pPr>
              <w:spacing w:after="0"/>
              <w:rPr>
                <w:sz w:val="6"/>
                <w:szCs w:val="6"/>
                <w:color w:val="auto"/>
              </w:rPr>
            </w:pPr>
          </w:p>
        </w:tc>
        <w:tc>
          <w:tcPr>
            <w:tcW w:w="2620" w:type="dxa"/>
            <w:vAlign w:val="bottom"/>
            <w:shd w:val="clear" w:color="auto" w:fill="E4E6EF"/>
          </w:tcPr>
          <w:p>
            <w:pPr>
              <w:spacing w:after="0"/>
              <w:rPr>
                <w:sz w:val="6"/>
                <w:szCs w:val="6"/>
                <w:color w:val="auto"/>
              </w:rPr>
            </w:pPr>
          </w:p>
        </w:tc>
        <w:tc>
          <w:tcPr>
            <w:tcW w:w="4600" w:type="dxa"/>
            <w:vAlign w:val="bottom"/>
            <w:shd w:val="clear" w:color="auto" w:fill="E4E6EF"/>
          </w:tcPr>
          <w:p>
            <w:pPr>
              <w:spacing w:after="0"/>
              <w:rPr>
                <w:sz w:val="6"/>
                <w:szCs w:val="6"/>
                <w:color w:val="auto"/>
              </w:rPr>
            </w:pPr>
          </w:p>
        </w:tc>
        <w:tc>
          <w:tcPr>
            <w:tcW w:w="3740" w:type="dxa"/>
            <w:vAlign w:val="bottom"/>
            <w:shd w:val="clear" w:color="auto" w:fill="E4E6EF"/>
          </w:tcPr>
          <w:p>
            <w:pPr>
              <w:spacing w:after="0"/>
              <w:rPr>
                <w:sz w:val="6"/>
                <w:szCs w:val="6"/>
                <w:color w:val="auto"/>
              </w:rPr>
            </w:pPr>
          </w:p>
        </w:tc>
        <w:tc>
          <w:tcPr>
            <w:tcW w:w="280" w:type="dxa"/>
            <w:vAlign w:val="bottom"/>
          </w:tcPr>
          <w:p>
            <w:pPr>
              <w:spacing w:after="0"/>
              <w:rPr>
                <w:sz w:val="6"/>
                <w:szCs w:val="6"/>
                <w:color w:val="auto"/>
              </w:rPr>
            </w:pPr>
          </w:p>
        </w:tc>
      </w:tr>
      <w:tr>
        <w:trPr>
          <w:trHeight w:val="372"/>
        </w:trPr>
        <w:tc>
          <w:tcPr>
            <w:tcW w:w="100" w:type="dxa"/>
            <w:vAlign w:val="bottom"/>
          </w:tcPr>
          <w:p>
            <w:pPr>
              <w:spacing w:after="0"/>
              <w:rPr>
                <w:sz w:val="24"/>
                <w:szCs w:val="24"/>
                <w:color w:val="auto"/>
              </w:rPr>
            </w:pPr>
          </w:p>
        </w:tc>
        <w:tc>
          <w:tcPr>
            <w:tcW w:w="2620" w:type="dxa"/>
            <w:vAlign w:val="bottom"/>
          </w:tcPr>
          <w:p>
            <w:pPr>
              <w:ind w:left="100"/>
              <w:spacing w:after="0"/>
              <w:rPr>
                <w:sz w:val="20"/>
                <w:szCs w:val="20"/>
                <w:color w:val="auto"/>
              </w:rPr>
            </w:pPr>
            <w:r>
              <w:rPr>
                <w:rFonts w:ascii="Arial" w:cs="Arial" w:eastAsia="Arial" w:hAnsi="Arial"/>
                <w:sz w:val="17"/>
                <w:szCs w:val="17"/>
                <w:color w:val="auto"/>
              </w:rPr>
              <w:t>3M Company</w:t>
            </w:r>
          </w:p>
        </w:tc>
        <w:tc>
          <w:tcPr>
            <w:tcW w:w="4600" w:type="dxa"/>
            <w:vAlign w:val="bottom"/>
          </w:tcPr>
          <w:p>
            <w:pPr>
              <w:ind w:left="840"/>
              <w:spacing w:after="0"/>
              <w:rPr>
                <w:sz w:val="20"/>
                <w:szCs w:val="20"/>
                <w:color w:val="auto"/>
              </w:rPr>
            </w:pPr>
            <w:r>
              <w:rPr>
                <w:rFonts w:ascii="Arial" w:cs="Arial" w:eastAsia="Arial" w:hAnsi="Arial"/>
                <w:sz w:val="17"/>
                <w:szCs w:val="17"/>
                <w:color w:val="auto"/>
              </w:rPr>
              <w:t>General Dynamics Corporation*</w:t>
            </w:r>
          </w:p>
        </w:tc>
        <w:tc>
          <w:tcPr>
            <w:tcW w:w="3740" w:type="dxa"/>
            <w:vAlign w:val="bottom"/>
          </w:tcPr>
          <w:p>
            <w:pPr>
              <w:ind w:left="380"/>
              <w:spacing w:after="0"/>
              <w:rPr>
                <w:sz w:val="20"/>
                <w:szCs w:val="20"/>
                <w:color w:val="auto"/>
              </w:rPr>
            </w:pPr>
            <w:r>
              <w:rPr>
                <w:rFonts w:ascii="Arial" w:cs="Arial" w:eastAsia="Arial" w:hAnsi="Arial"/>
                <w:sz w:val="17"/>
                <w:szCs w:val="17"/>
                <w:color w:val="auto"/>
              </w:rPr>
              <w:t>Northrop Grumman Corporation*</w:t>
            </w:r>
          </w:p>
        </w:tc>
        <w:tc>
          <w:tcPr>
            <w:tcW w:w="280" w:type="dxa"/>
            <w:vAlign w:val="bottom"/>
          </w:tcPr>
          <w:p>
            <w:pPr>
              <w:spacing w:after="0"/>
              <w:rPr>
                <w:sz w:val="24"/>
                <w:szCs w:val="24"/>
                <w:color w:val="auto"/>
              </w:rPr>
            </w:pPr>
          </w:p>
        </w:tc>
      </w:tr>
      <w:tr>
        <w:trPr>
          <w:trHeight w:val="309"/>
        </w:trPr>
        <w:tc>
          <w:tcPr>
            <w:tcW w:w="100" w:type="dxa"/>
            <w:vAlign w:val="bottom"/>
          </w:tcPr>
          <w:p>
            <w:pPr>
              <w:spacing w:after="0"/>
              <w:rPr>
                <w:sz w:val="24"/>
                <w:szCs w:val="24"/>
                <w:color w:val="auto"/>
              </w:rPr>
            </w:pPr>
          </w:p>
        </w:tc>
        <w:tc>
          <w:tcPr>
            <w:tcW w:w="2620" w:type="dxa"/>
            <w:vAlign w:val="bottom"/>
          </w:tcPr>
          <w:p>
            <w:pPr>
              <w:ind w:left="100"/>
              <w:spacing w:after="0"/>
              <w:rPr>
                <w:sz w:val="20"/>
                <w:szCs w:val="20"/>
                <w:color w:val="auto"/>
              </w:rPr>
            </w:pPr>
            <w:r>
              <w:rPr>
                <w:rFonts w:ascii="Arial" w:cs="Arial" w:eastAsia="Arial" w:hAnsi="Arial"/>
                <w:sz w:val="17"/>
                <w:szCs w:val="17"/>
                <w:color w:val="auto"/>
              </w:rPr>
              <w:t>Caterpillar Inc.</w:t>
            </w:r>
          </w:p>
        </w:tc>
        <w:tc>
          <w:tcPr>
            <w:tcW w:w="4600" w:type="dxa"/>
            <w:vAlign w:val="bottom"/>
          </w:tcPr>
          <w:p>
            <w:pPr>
              <w:ind w:left="840"/>
              <w:spacing w:after="0"/>
              <w:rPr>
                <w:sz w:val="20"/>
                <w:szCs w:val="20"/>
                <w:color w:val="auto"/>
              </w:rPr>
            </w:pPr>
            <w:r>
              <w:rPr>
                <w:rFonts w:ascii="Arial" w:cs="Arial" w:eastAsia="Arial" w:hAnsi="Arial"/>
                <w:sz w:val="17"/>
                <w:szCs w:val="17"/>
                <w:color w:val="auto"/>
              </w:rPr>
              <w:t>General Electric Company</w:t>
            </w:r>
          </w:p>
        </w:tc>
        <w:tc>
          <w:tcPr>
            <w:tcW w:w="3740" w:type="dxa"/>
            <w:vAlign w:val="bottom"/>
          </w:tcPr>
          <w:p>
            <w:pPr>
              <w:ind w:left="380"/>
              <w:spacing w:after="0"/>
              <w:rPr>
                <w:sz w:val="20"/>
                <w:szCs w:val="20"/>
                <w:color w:val="auto"/>
              </w:rPr>
            </w:pPr>
            <w:r>
              <w:rPr>
                <w:rFonts w:ascii="Arial" w:cs="Arial" w:eastAsia="Arial" w:hAnsi="Arial"/>
                <w:sz w:val="17"/>
                <w:szCs w:val="17"/>
                <w:color w:val="auto"/>
              </w:rPr>
              <w:t>Raytheon Company*†</w:t>
            </w:r>
          </w:p>
        </w:tc>
        <w:tc>
          <w:tcPr>
            <w:tcW w:w="280" w:type="dxa"/>
            <w:vAlign w:val="bottom"/>
          </w:tcPr>
          <w:p>
            <w:pPr>
              <w:spacing w:after="0"/>
              <w:rPr>
                <w:sz w:val="24"/>
                <w:szCs w:val="24"/>
                <w:color w:val="auto"/>
              </w:rPr>
            </w:pPr>
          </w:p>
        </w:tc>
      </w:tr>
      <w:tr>
        <w:trPr>
          <w:trHeight w:val="309"/>
        </w:trPr>
        <w:tc>
          <w:tcPr>
            <w:tcW w:w="100" w:type="dxa"/>
            <w:vAlign w:val="bottom"/>
          </w:tcPr>
          <w:p>
            <w:pPr>
              <w:spacing w:after="0"/>
              <w:rPr>
                <w:sz w:val="24"/>
                <w:szCs w:val="24"/>
                <w:color w:val="auto"/>
              </w:rPr>
            </w:pPr>
          </w:p>
        </w:tc>
        <w:tc>
          <w:tcPr>
            <w:tcW w:w="2620" w:type="dxa"/>
            <w:vAlign w:val="bottom"/>
          </w:tcPr>
          <w:p>
            <w:pPr>
              <w:ind w:left="100"/>
              <w:spacing w:after="0"/>
              <w:rPr>
                <w:sz w:val="20"/>
                <w:szCs w:val="20"/>
                <w:color w:val="auto"/>
              </w:rPr>
            </w:pPr>
            <w:r>
              <w:rPr>
                <w:rFonts w:ascii="Arial" w:cs="Arial" w:eastAsia="Arial" w:hAnsi="Arial"/>
                <w:sz w:val="17"/>
                <w:szCs w:val="17"/>
                <w:color w:val="auto"/>
              </w:rPr>
              <w:t>Cisco Systems, Inc.</w:t>
            </w:r>
          </w:p>
        </w:tc>
        <w:tc>
          <w:tcPr>
            <w:tcW w:w="4600" w:type="dxa"/>
            <w:vAlign w:val="bottom"/>
          </w:tcPr>
          <w:p>
            <w:pPr>
              <w:ind w:left="840"/>
              <w:spacing w:after="0"/>
              <w:rPr>
                <w:sz w:val="20"/>
                <w:szCs w:val="20"/>
                <w:color w:val="auto"/>
              </w:rPr>
            </w:pPr>
            <w:r>
              <w:rPr>
                <w:rFonts w:ascii="Arial" w:cs="Arial" w:eastAsia="Arial" w:hAnsi="Arial"/>
                <w:sz w:val="17"/>
                <w:szCs w:val="17"/>
                <w:color w:val="auto"/>
              </w:rPr>
              <w:t>Honeywell International Inc.*</w:t>
            </w:r>
          </w:p>
        </w:tc>
        <w:tc>
          <w:tcPr>
            <w:tcW w:w="3740" w:type="dxa"/>
            <w:vAlign w:val="bottom"/>
          </w:tcPr>
          <w:p>
            <w:pPr>
              <w:ind w:left="380"/>
              <w:spacing w:after="0"/>
              <w:rPr>
                <w:sz w:val="20"/>
                <w:szCs w:val="20"/>
                <w:color w:val="auto"/>
              </w:rPr>
            </w:pPr>
            <w:r>
              <w:rPr>
                <w:rFonts w:ascii="Arial" w:cs="Arial" w:eastAsia="Arial" w:hAnsi="Arial"/>
                <w:sz w:val="17"/>
                <w:szCs w:val="17"/>
                <w:color w:val="auto"/>
              </w:rPr>
              <w:t>The Boeing Company*</w:t>
            </w:r>
          </w:p>
        </w:tc>
        <w:tc>
          <w:tcPr>
            <w:tcW w:w="280" w:type="dxa"/>
            <w:vAlign w:val="bottom"/>
          </w:tcPr>
          <w:p>
            <w:pPr>
              <w:spacing w:after="0"/>
              <w:rPr>
                <w:sz w:val="24"/>
                <w:szCs w:val="24"/>
                <w:color w:val="auto"/>
              </w:rPr>
            </w:pPr>
          </w:p>
        </w:tc>
      </w:tr>
      <w:tr>
        <w:trPr>
          <w:trHeight w:val="309"/>
        </w:trPr>
        <w:tc>
          <w:tcPr>
            <w:tcW w:w="100" w:type="dxa"/>
            <w:vAlign w:val="bottom"/>
          </w:tcPr>
          <w:p>
            <w:pPr>
              <w:spacing w:after="0"/>
              <w:rPr>
                <w:sz w:val="24"/>
                <w:szCs w:val="24"/>
                <w:color w:val="auto"/>
              </w:rPr>
            </w:pPr>
          </w:p>
        </w:tc>
        <w:tc>
          <w:tcPr>
            <w:tcW w:w="2620" w:type="dxa"/>
            <w:vAlign w:val="bottom"/>
          </w:tcPr>
          <w:p>
            <w:pPr>
              <w:ind w:left="100"/>
              <w:spacing w:after="0"/>
              <w:rPr>
                <w:sz w:val="20"/>
                <w:szCs w:val="20"/>
                <w:color w:val="auto"/>
              </w:rPr>
            </w:pPr>
            <w:r>
              <w:rPr>
                <w:rFonts w:ascii="Arial" w:cs="Arial" w:eastAsia="Arial" w:hAnsi="Arial"/>
                <w:sz w:val="17"/>
                <w:szCs w:val="17"/>
                <w:color w:val="auto"/>
              </w:rPr>
              <w:t>Deere &amp; Company</w:t>
            </w:r>
          </w:p>
        </w:tc>
        <w:tc>
          <w:tcPr>
            <w:tcW w:w="4600" w:type="dxa"/>
            <w:vAlign w:val="bottom"/>
          </w:tcPr>
          <w:p>
            <w:pPr>
              <w:ind w:left="840"/>
              <w:spacing w:after="0"/>
              <w:rPr>
                <w:sz w:val="20"/>
                <w:szCs w:val="20"/>
                <w:color w:val="auto"/>
              </w:rPr>
            </w:pPr>
            <w:r>
              <w:rPr>
                <w:rFonts w:ascii="Arial" w:cs="Arial" w:eastAsia="Arial" w:hAnsi="Arial"/>
                <w:sz w:val="17"/>
                <w:szCs w:val="17"/>
                <w:color w:val="auto"/>
              </w:rPr>
              <w:t>HP Inc.</w:t>
            </w:r>
          </w:p>
        </w:tc>
        <w:tc>
          <w:tcPr>
            <w:tcW w:w="3740" w:type="dxa"/>
            <w:vAlign w:val="bottom"/>
          </w:tcPr>
          <w:p>
            <w:pPr>
              <w:ind w:left="380"/>
              <w:spacing w:after="0"/>
              <w:rPr>
                <w:sz w:val="20"/>
                <w:szCs w:val="20"/>
                <w:color w:val="auto"/>
              </w:rPr>
            </w:pPr>
            <w:r>
              <w:rPr>
                <w:rFonts w:ascii="Arial" w:cs="Arial" w:eastAsia="Arial" w:hAnsi="Arial"/>
                <w:sz w:val="17"/>
                <w:szCs w:val="17"/>
                <w:color w:val="auto"/>
              </w:rPr>
              <w:t>United Parcel Service, Inc.</w:t>
            </w:r>
          </w:p>
        </w:tc>
        <w:tc>
          <w:tcPr>
            <w:tcW w:w="280" w:type="dxa"/>
            <w:vAlign w:val="bottom"/>
          </w:tcPr>
          <w:p>
            <w:pPr>
              <w:spacing w:after="0"/>
              <w:rPr>
                <w:sz w:val="24"/>
                <w:szCs w:val="24"/>
                <w:color w:val="auto"/>
              </w:rPr>
            </w:pPr>
          </w:p>
        </w:tc>
      </w:tr>
      <w:tr>
        <w:trPr>
          <w:trHeight w:val="309"/>
        </w:trPr>
        <w:tc>
          <w:tcPr>
            <w:tcW w:w="100" w:type="dxa"/>
            <w:vAlign w:val="bottom"/>
          </w:tcPr>
          <w:p>
            <w:pPr>
              <w:spacing w:after="0"/>
              <w:rPr>
                <w:sz w:val="24"/>
                <w:szCs w:val="24"/>
                <w:color w:val="auto"/>
              </w:rPr>
            </w:pPr>
          </w:p>
        </w:tc>
        <w:tc>
          <w:tcPr>
            <w:tcW w:w="2620" w:type="dxa"/>
            <w:vAlign w:val="bottom"/>
          </w:tcPr>
          <w:p>
            <w:pPr>
              <w:ind w:left="100"/>
              <w:spacing w:after="0"/>
              <w:rPr>
                <w:sz w:val="20"/>
                <w:szCs w:val="20"/>
                <w:color w:val="auto"/>
              </w:rPr>
            </w:pPr>
            <w:r>
              <w:rPr>
                <w:rFonts w:ascii="Arial" w:cs="Arial" w:eastAsia="Arial" w:hAnsi="Arial"/>
                <w:sz w:val="17"/>
                <w:szCs w:val="17"/>
                <w:color w:val="auto"/>
              </w:rPr>
              <w:t>Dow Inc.</w:t>
            </w:r>
          </w:p>
        </w:tc>
        <w:tc>
          <w:tcPr>
            <w:tcW w:w="4600" w:type="dxa"/>
            <w:vAlign w:val="bottom"/>
          </w:tcPr>
          <w:p>
            <w:pPr>
              <w:ind w:left="840"/>
              <w:spacing w:after="0"/>
              <w:rPr>
                <w:sz w:val="20"/>
                <w:szCs w:val="20"/>
                <w:color w:val="auto"/>
              </w:rPr>
            </w:pPr>
            <w:r>
              <w:rPr>
                <w:rFonts w:ascii="Arial" w:cs="Arial" w:eastAsia="Arial" w:hAnsi="Arial"/>
                <w:sz w:val="17"/>
                <w:szCs w:val="17"/>
                <w:color w:val="auto"/>
              </w:rPr>
              <w:t>International Business Machines Corporation</w:t>
            </w:r>
          </w:p>
        </w:tc>
        <w:tc>
          <w:tcPr>
            <w:tcW w:w="3740" w:type="dxa"/>
            <w:vAlign w:val="bottom"/>
          </w:tcPr>
          <w:p>
            <w:pPr>
              <w:ind w:left="380"/>
              <w:spacing w:after="0"/>
              <w:rPr>
                <w:sz w:val="20"/>
                <w:szCs w:val="20"/>
                <w:color w:val="auto"/>
              </w:rPr>
            </w:pPr>
            <w:r>
              <w:rPr>
                <w:rFonts w:ascii="Arial" w:cs="Arial" w:eastAsia="Arial" w:hAnsi="Arial"/>
                <w:sz w:val="17"/>
                <w:szCs w:val="17"/>
                <w:color w:val="auto"/>
              </w:rPr>
              <w:t>United Technologies Corporation*†</w:t>
            </w:r>
          </w:p>
        </w:tc>
        <w:tc>
          <w:tcPr>
            <w:tcW w:w="280" w:type="dxa"/>
            <w:vAlign w:val="bottom"/>
          </w:tcPr>
          <w:p>
            <w:pPr>
              <w:spacing w:after="0"/>
              <w:rPr>
                <w:sz w:val="24"/>
                <w:szCs w:val="24"/>
                <w:color w:val="auto"/>
              </w:rPr>
            </w:pPr>
          </w:p>
        </w:tc>
      </w:tr>
      <w:tr>
        <w:trPr>
          <w:trHeight w:val="309"/>
        </w:trPr>
        <w:tc>
          <w:tcPr>
            <w:tcW w:w="100" w:type="dxa"/>
            <w:vAlign w:val="bottom"/>
          </w:tcPr>
          <w:p>
            <w:pPr>
              <w:spacing w:after="0"/>
              <w:rPr>
                <w:sz w:val="24"/>
                <w:szCs w:val="24"/>
                <w:color w:val="auto"/>
              </w:rPr>
            </w:pPr>
          </w:p>
        </w:tc>
        <w:tc>
          <w:tcPr>
            <w:tcW w:w="2620" w:type="dxa"/>
            <w:vAlign w:val="bottom"/>
          </w:tcPr>
          <w:p>
            <w:pPr>
              <w:ind w:left="100"/>
              <w:spacing w:after="0"/>
              <w:rPr>
                <w:sz w:val="20"/>
                <w:szCs w:val="20"/>
                <w:color w:val="auto"/>
              </w:rPr>
            </w:pPr>
            <w:r>
              <w:rPr>
                <w:rFonts w:ascii="Arial" w:cs="Arial" w:eastAsia="Arial" w:hAnsi="Arial"/>
                <w:sz w:val="17"/>
                <w:szCs w:val="17"/>
                <w:color w:val="auto"/>
              </w:rPr>
              <w:t>FedEx Corporation</w:t>
            </w:r>
          </w:p>
        </w:tc>
        <w:tc>
          <w:tcPr>
            <w:tcW w:w="4600" w:type="dxa"/>
            <w:vAlign w:val="bottom"/>
          </w:tcPr>
          <w:p>
            <w:pPr>
              <w:ind w:left="840"/>
              <w:spacing w:after="0"/>
              <w:rPr>
                <w:sz w:val="20"/>
                <w:szCs w:val="20"/>
                <w:color w:val="auto"/>
              </w:rPr>
            </w:pPr>
            <w:r>
              <w:rPr>
                <w:rFonts w:ascii="Arial" w:cs="Arial" w:eastAsia="Arial" w:hAnsi="Arial"/>
                <w:sz w:val="17"/>
                <w:szCs w:val="17"/>
                <w:color w:val="auto"/>
              </w:rPr>
              <w:t>Intel Corporation</w:t>
            </w:r>
          </w:p>
        </w:tc>
        <w:tc>
          <w:tcPr>
            <w:tcW w:w="374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98"/>
        </w:trPr>
        <w:tc>
          <w:tcPr>
            <w:tcW w:w="100" w:type="dxa"/>
            <w:vAlign w:val="bottom"/>
          </w:tcPr>
          <w:p>
            <w:pPr>
              <w:spacing w:after="0"/>
              <w:rPr>
                <w:sz w:val="8"/>
                <w:szCs w:val="8"/>
                <w:color w:val="auto"/>
              </w:rPr>
            </w:pPr>
          </w:p>
        </w:tc>
        <w:tc>
          <w:tcPr>
            <w:tcW w:w="2620" w:type="dxa"/>
            <w:vAlign w:val="bottom"/>
            <w:tcBorders>
              <w:bottom w:val="single" w:sz="8" w:color="003478"/>
            </w:tcBorders>
          </w:tcPr>
          <w:p>
            <w:pPr>
              <w:spacing w:after="0"/>
              <w:rPr>
                <w:sz w:val="8"/>
                <w:szCs w:val="8"/>
                <w:color w:val="auto"/>
              </w:rPr>
            </w:pPr>
          </w:p>
        </w:tc>
        <w:tc>
          <w:tcPr>
            <w:tcW w:w="4600" w:type="dxa"/>
            <w:vAlign w:val="bottom"/>
            <w:tcBorders>
              <w:bottom w:val="single" w:sz="8" w:color="003478"/>
            </w:tcBorders>
          </w:tcPr>
          <w:p>
            <w:pPr>
              <w:spacing w:after="0"/>
              <w:rPr>
                <w:sz w:val="8"/>
                <w:szCs w:val="8"/>
                <w:color w:val="auto"/>
              </w:rPr>
            </w:pPr>
          </w:p>
        </w:tc>
        <w:tc>
          <w:tcPr>
            <w:tcW w:w="3740" w:type="dxa"/>
            <w:vAlign w:val="bottom"/>
            <w:tcBorders>
              <w:bottom w:val="single" w:sz="8" w:color="003478"/>
            </w:tcBorders>
          </w:tcPr>
          <w:p>
            <w:pPr>
              <w:spacing w:after="0"/>
              <w:rPr>
                <w:sz w:val="8"/>
                <w:szCs w:val="8"/>
                <w:color w:val="auto"/>
              </w:rPr>
            </w:pPr>
          </w:p>
        </w:tc>
        <w:tc>
          <w:tcPr>
            <w:tcW w:w="280" w:type="dxa"/>
            <w:vAlign w:val="bottom"/>
            <w:tcBorders>
              <w:bottom w:val="single" w:sz="8" w:color="003478"/>
            </w:tcBorders>
          </w:tcPr>
          <w:p>
            <w:pPr>
              <w:spacing w:after="0"/>
              <w:rPr>
                <w:sz w:val="8"/>
                <w:szCs w:val="8"/>
                <w:color w:val="auto"/>
              </w:rPr>
            </w:pPr>
          </w:p>
        </w:tc>
      </w:tr>
    </w:tbl>
    <w:p>
      <w:pPr>
        <w:spacing w:after="0" w:line="155" w:lineRule="exact"/>
        <w:rPr>
          <w:sz w:val="20"/>
          <w:szCs w:val="20"/>
          <w:color w:val="auto"/>
        </w:rPr>
      </w:pPr>
    </w:p>
    <w:p>
      <w:pPr>
        <w:ind w:left="360" w:hanging="253"/>
        <w:spacing w:after="0"/>
        <w:tabs>
          <w:tab w:leader="none" w:pos="3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Aerospace &amp; Defense Industry</w:t>
      </w:r>
    </w:p>
    <w:p>
      <w:pPr>
        <w:spacing w:after="0" w:line="73" w:lineRule="exact"/>
        <w:rPr>
          <w:sz w:val="20"/>
          <w:szCs w:val="20"/>
          <w:color w:val="auto"/>
        </w:rPr>
      </w:pPr>
    </w:p>
    <w:p>
      <w:pPr>
        <w:ind w:left="400" w:hanging="293"/>
        <w:spacing w:after="0"/>
        <w:tabs>
          <w:tab w:leader="none" w:pos="4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Raytheon and United Technologies will be replaced with Raytheon Technologies for the 2022 comparator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349885</wp:posOffset>
            </wp:positionH>
            <wp:positionV relativeFrom="paragraph">
              <wp:posOffset>280670</wp:posOffset>
            </wp:positionV>
            <wp:extent cx="963930" cy="2216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808080"/>
        </w:rPr>
        <w:t>41</w:t>
      </w:r>
    </w:p>
    <w:p>
      <w:pPr>
        <w:sectPr>
          <w:pgSz w:w="11900" w:h="16838" w:orient="portrait"/>
          <w:cols w:equalWidth="0" w:num="1">
            <w:col w:w="11340"/>
          </w:cols>
          <w:pgMar w:left="220" w:top="254"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1"/>
          <w:szCs w:val="21"/>
          <w:color w:val="818EB4"/>
        </w:rPr>
        <w:t>Compensation and Risk</w:t>
      </w:r>
    </w:p>
    <w:p>
      <w:pPr>
        <w:spacing w:after="0" w:line="122"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The Company’s executive and broad-based compensation programs are intended to promote decision-making that supports a pay for performance philosophy while mitigating risk by utilizing the following design features: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346"/>
        </w:trPr>
        <w:tc>
          <w:tcPr>
            <w:tcW w:w="5620" w:type="dxa"/>
            <w:vAlign w:val="bottom"/>
            <w:shd w:val="clear" w:color="auto" w:fill="E4E6EF"/>
          </w:tcPr>
          <w:p>
            <w:pPr>
              <w:ind w:left="10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Balance of fixed and variable pay opportunities</w:t>
            </w:r>
          </w:p>
        </w:tc>
        <w:tc>
          <w:tcPr>
            <w:tcW w:w="5620" w:type="dxa"/>
            <w:vAlign w:val="bottom"/>
            <w:shd w:val="clear" w:color="auto" w:fill="E4E6EF"/>
          </w:tcPr>
          <w:p>
            <w:pPr>
              <w:ind w:left="2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Moderate severance program that includes post-employment restrictive</w:t>
            </w:r>
          </w:p>
        </w:tc>
        <w:tc>
          <w:tcPr>
            <w:tcW w:w="0" w:type="dxa"/>
            <w:vAlign w:val="bottom"/>
          </w:tcPr>
          <w:p>
            <w:pPr>
              <w:spacing w:after="0"/>
              <w:rPr>
                <w:sz w:val="1"/>
                <w:szCs w:val="1"/>
                <w:color w:val="auto"/>
              </w:rPr>
            </w:pPr>
          </w:p>
        </w:tc>
      </w:tr>
      <w:tr>
        <w:trPr>
          <w:trHeight w:val="215"/>
        </w:trPr>
        <w:tc>
          <w:tcPr>
            <w:tcW w:w="5620" w:type="dxa"/>
            <w:vAlign w:val="bottom"/>
            <w:vMerge w:val="restart"/>
            <w:shd w:val="clear" w:color="auto" w:fill="E4E6EF"/>
          </w:tcPr>
          <w:p>
            <w:pPr>
              <w:ind w:left="10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Multiple performance measures, multiple time periods and capped</w:t>
            </w:r>
          </w:p>
        </w:tc>
        <w:tc>
          <w:tcPr>
            <w:tcW w:w="5620" w:type="dxa"/>
            <w:vAlign w:val="bottom"/>
            <w:shd w:val="clear" w:color="auto" w:fill="E4E6EF"/>
          </w:tcPr>
          <w:p>
            <w:pPr>
              <w:ind w:left="180"/>
              <w:spacing w:after="0"/>
              <w:rPr>
                <w:sz w:val="20"/>
                <w:szCs w:val="20"/>
                <w:color w:val="auto"/>
              </w:rPr>
            </w:pPr>
            <w:r>
              <w:rPr>
                <w:rFonts w:ascii="Arial" w:cs="Arial" w:eastAsia="Arial" w:hAnsi="Arial"/>
                <w:sz w:val="17"/>
                <w:szCs w:val="17"/>
                <w:color w:val="auto"/>
              </w:rPr>
              <w:t>covenants</w:t>
            </w:r>
          </w:p>
        </w:tc>
        <w:tc>
          <w:tcPr>
            <w:tcW w:w="0" w:type="dxa"/>
            <w:vAlign w:val="bottom"/>
          </w:tcPr>
          <w:p>
            <w:pPr>
              <w:spacing w:after="0"/>
              <w:rPr>
                <w:sz w:val="1"/>
                <w:szCs w:val="1"/>
                <w:color w:val="auto"/>
              </w:rPr>
            </w:pPr>
          </w:p>
        </w:tc>
      </w:tr>
      <w:tr>
        <w:trPr>
          <w:trHeight w:val="54"/>
        </w:trPr>
        <w:tc>
          <w:tcPr>
            <w:tcW w:w="5620" w:type="dxa"/>
            <w:vAlign w:val="bottom"/>
            <w:vMerge w:val="continue"/>
            <w:shd w:val="clear" w:color="auto" w:fill="E4E6EF"/>
          </w:tcPr>
          <w:p>
            <w:pPr>
              <w:spacing w:after="0"/>
              <w:rPr>
                <w:sz w:val="4"/>
                <w:szCs w:val="4"/>
                <w:color w:val="auto"/>
              </w:rPr>
            </w:pPr>
          </w:p>
        </w:tc>
        <w:tc>
          <w:tcPr>
            <w:tcW w:w="5620" w:type="dxa"/>
            <w:vAlign w:val="bottom"/>
            <w:shd w:val="clear" w:color="auto" w:fill="E4E6EF"/>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5620" w:type="dxa"/>
            <w:vAlign w:val="bottom"/>
            <w:shd w:val="clear" w:color="auto" w:fill="E4E6EF"/>
          </w:tcPr>
          <w:p>
            <w:pPr>
              <w:ind w:left="260"/>
              <w:spacing w:after="0"/>
              <w:rPr>
                <w:sz w:val="20"/>
                <w:szCs w:val="20"/>
                <w:color w:val="auto"/>
              </w:rPr>
            </w:pPr>
            <w:r>
              <w:rPr>
                <w:rFonts w:ascii="Arial" w:cs="Arial" w:eastAsia="Arial" w:hAnsi="Arial"/>
                <w:sz w:val="17"/>
                <w:szCs w:val="17"/>
                <w:color w:val="auto"/>
              </w:rPr>
              <w:t>payouts under incentive plans</w:t>
            </w:r>
          </w:p>
        </w:tc>
        <w:tc>
          <w:tcPr>
            <w:tcW w:w="5620" w:type="dxa"/>
            <w:vAlign w:val="bottom"/>
            <w:shd w:val="clear" w:color="auto" w:fill="E4E6EF"/>
          </w:tcPr>
          <w:p>
            <w:pPr>
              <w:ind w:left="2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Institutional focus on ethical behavior</w:t>
            </w:r>
          </w:p>
        </w:tc>
        <w:tc>
          <w:tcPr>
            <w:tcW w:w="0" w:type="dxa"/>
            <w:vAlign w:val="bottom"/>
          </w:tcPr>
          <w:p>
            <w:pPr>
              <w:spacing w:after="0"/>
              <w:rPr>
                <w:sz w:val="1"/>
                <w:szCs w:val="1"/>
                <w:color w:val="auto"/>
              </w:rPr>
            </w:pPr>
          </w:p>
        </w:tc>
      </w:tr>
      <w:tr>
        <w:trPr>
          <w:trHeight w:val="269"/>
        </w:trPr>
        <w:tc>
          <w:tcPr>
            <w:tcW w:w="5620" w:type="dxa"/>
            <w:vAlign w:val="bottom"/>
            <w:shd w:val="clear" w:color="auto" w:fill="E4E6EF"/>
          </w:tcPr>
          <w:p>
            <w:pPr>
              <w:ind w:left="10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Stock ownership requirements</w:t>
            </w:r>
          </w:p>
        </w:tc>
        <w:tc>
          <w:tcPr>
            <w:tcW w:w="5620" w:type="dxa"/>
            <w:vAlign w:val="bottom"/>
            <w:shd w:val="clear" w:color="auto" w:fill="E4E6EF"/>
          </w:tcPr>
          <w:p>
            <w:pPr>
              <w:ind w:left="2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Annual risk assessment</w:t>
            </w:r>
          </w:p>
        </w:tc>
        <w:tc>
          <w:tcPr>
            <w:tcW w:w="0" w:type="dxa"/>
            <w:vAlign w:val="bottom"/>
          </w:tcPr>
          <w:p>
            <w:pPr>
              <w:spacing w:after="0"/>
              <w:rPr>
                <w:sz w:val="1"/>
                <w:szCs w:val="1"/>
                <w:color w:val="auto"/>
              </w:rPr>
            </w:pPr>
          </w:p>
        </w:tc>
      </w:tr>
      <w:tr>
        <w:trPr>
          <w:trHeight w:val="269"/>
        </w:trPr>
        <w:tc>
          <w:tcPr>
            <w:tcW w:w="5620" w:type="dxa"/>
            <w:vAlign w:val="bottom"/>
            <w:shd w:val="clear" w:color="auto" w:fill="E4E6EF"/>
          </w:tcPr>
          <w:p>
            <w:pPr>
              <w:ind w:left="10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Oversight by independent Board committee</w:t>
            </w:r>
          </w:p>
        </w:tc>
        <w:tc>
          <w:tcPr>
            <w:tcW w:w="5620" w:type="dxa"/>
            <w:vAlign w:val="bottom"/>
            <w:shd w:val="clear" w:color="auto" w:fill="E4E6EF"/>
          </w:tcPr>
          <w:p>
            <w:pPr>
              <w:ind w:left="2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Compensation Committee oversight of equity burn rate and dilution</w:t>
            </w:r>
          </w:p>
        </w:tc>
        <w:tc>
          <w:tcPr>
            <w:tcW w:w="0" w:type="dxa"/>
            <w:vAlign w:val="bottom"/>
          </w:tcPr>
          <w:p>
            <w:pPr>
              <w:spacing w:after="0"/>
              <w:rPr>
                <w:sz w:val="1"/>
                <w:szCs w:val="1"/>
                <w:color w:val="auto"/>
              </w:rPr>
            </w:pPr>
          </w:p>
        </w:tc>
      </w:tr>
      <w:tr>
        <w:trPr>
          <w:trHeight w:val="269"/>
        </w:trPr>
        <w:tc>
          <w:tcPr>
            <w:tcW w:w="5620" w:type="dxa"/>
            <w:vAlign w:val="bottom"/>
            <w:shd w:val="clear" w:color="auto" w:fill="E4E6EF"/>
          </w:tcPr>
          <w:p>
            <w:pPr>
              <w:ind w:left="10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Incentive goals set at the enterprise or business segment level</w:t>
            </w:r>
          </w:p>
        </w:tc>
        <w:tc>
          <w:tcPr>
            <w:tcW w:w="5620" w:type="dxa"/>
            <w:vAlign w:val="bottom"/>
            <w:shd w:val="clear" w:color="auto" w:fill="E4E6EF"/>
          </w:tcPr>
          <w:p>
            <w:pPr>
              <w:ind w:left="2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Enhanced clawback policy</w:t>
            </w:r>
          </w:p>
        </w:tc>
        <w:tc>
          <w:tcPr>
            <w:tcW w:w="0" w:type="dxa"/>
            <w:vAlign w:val="bottom"/>
          </w:tcPr>
          <w:p>
            <w:pPr>
              <w:spacing w:after="0"/>
              <w:rPr>
                <w:sz w:val="1"/>
                <w:szCs w:val="1"/>
                <w:color w:val="auto"/>
              </w:rPr>
            </w:pPr>
          </w:p>
        </w:tc>
      </w:tr>
      <w:tr>
        <w:trPr>
          <w:trHeight w:val="269"/>
        </w:trPr>
        <w:tc>
          <w:tcPr>
            <w:tcW w:w="5620" w:type="dxa"/>
            <w:vAlign w:val="bottom"/>
            <w:shd w:val="clear" w:color="auto" w:fill="E4E6EF"/>
          </w:tcPr>
          <w:p>
            <w:pPr>
              <w:ind w:left="10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Incentive Plan limits on individual awards and pool size</w:t>
            </w:r>
          </w:p>
        </w:tc>
        <w:tc>
          <w:tcPr>
            <w:tcW w:w="5620" w:type="dxa"/>
            <w:vAlign w:val="bottom"/>
            <w:shd w:val="clear" w:color="auto" w:fill="E4E6EF"/>
          </w:tcPr>
          <w:p>
            <w:pPr>
              <w:ind w:left="20"/>
              <w:spacing w:after="0"/>
              <w:rPr>
                <w:sz w:val="20"/>
                <w:szCs w:val="20"/>
                <w:color w:val="auto"/>
              </w:rPr>
            </w:pPr>
            <w:r>
              <w:rPr>
                <w:rFonts w:ascii="Arial" w:cs="Arial" w:eastAsia="Arial" w:hAnsi="Arial"/>
                <w:sz w:val="17"/>
                <w:szCs w:val="17"/>
                <w:color w:val="002E6D"/>
              </w:rPr>
              <w:t xml:space="preserve">• </w:t>
            </w:r>
            <w:r>
              <w:rPr>
                <w:rFonts w:ascii="Arial" w:cs="Arial" w:eastAsia="Arial" w:hAnsi="Arial"/>
                <w:sz w:val="17"/>
                <w:szCs w:val="17"/>
                <w:color w:val="000000"/>
              </w:rPr>
              <w:t>Anti-hedging policy</w:t>
            </w:r>
          </w:p>
        </w:tc>
        <w:tc>
          <w:tcPr>
            <w:tcW w:w="0" w:type="dxa"/>
            <w:vAlign w:val="bottom"/>
          </w:tcPr>
          <w:p>
            <w:pPr>
              <w:spacing w:after="0"/>
              <w:rPr>
                <w:sz w:val="1"/>
                <w:szCs w:val="1"/>
                <w:color w:val="auto"/>
              </w:rPr>
            </w:pPr>
          </w:p>
        </w:tc>
      </w:tr>
      <w:tr>
        <w:trPr>
          <w:trHeight w:val="138"/>
        </w:trPr>
        <w:tc>
          <w:tcPr>
            <w:tcW w:w="5620" w:type="dxa"/>
            <w:vAlign w:val="bottom"/>
            <w:shd w:val="clear" w:color="auto" w:fill="E4E6EF"/>
          </w:tcPr>
          <w:p>
            <w:pPr>
              <w:spacing w:after="0"/>
              <w:rPr>
                <w:sz w:val="12"/>
                <w:szCs w:val="12"/>
                <w:color w:val="auto"/>
              </w:rPr>
            </w:pPr>
          </w:p>
        </w:tc>
        <w:tc>
          <w:tcPr>
            <w:tcW w:w="5620" w:type="dxa"/>
            <w:vAlign w:val="bottom"/>
            <w:shd w:val="clear" w:color="auto" w:fill="E4E6EF"/>
          </w:tcPr>
          <w:p>
            <w:pPr>
              <w:spacing w:after="0"/>
              <w:rPr>
                <w:sz w:val="12"/>
                <w:szCs w:val="12"/>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right="100"/>
        <w:spacing w:after="0" w:line="274" w:lineRule="auto"/>
        <w:rPr>
          <w:sz w:val="20"/>
          <w:szCs w:val="20"/>
          <w:color w:val="auto"/>
        </w:rPr>
      </w:pPr>
      <w:r>
        <w:rPr>
          <w:rFonts w:ascii="Arial" w:cs="Arial" w:eastAsia="Arial" w:hAnsi="Arial"/>
          <w:sz w:val="17"/>
          <w:szCs w:val="17"/>
          <w:color w:val="auto"/>
        </w:rPr>
        <w:t>With the assistance of a risk assessment conducted by Meridian on an annual basis, the Compensation Committee concluded that risks arising from our executive and broad-based incentive compensation programs are not reasonably likely to have a material adverse effect on the Company.</w:t>
      </w:r>
    </w:p>
    <w:p>
      <w:pPr>
        <w:spacing w:after="0" w:line="139" w:lineRule="exact"/>
        <w:rPr>
          <w:sz w:val="20"/>
          <w:szCs w:val="20"/>
          <w:color w:val="auto"/>
        </w:rPr>
      </w:pPr>
    </w:p>
    <w:p>
      <w:pPr>
        <w:spacing w:after="0"/>
        <w:rPr>
          <w:sz w:val="20"/>
          <w:szCs w:val="20"/>
          <w:color w:val="auto"/>
        </w:rPr>
      </w:pPr>
      <w:r>
        <w:rPr>
          <w:rFonts w:ascii="Arial" w:cs="Arial" w:eastAsia="Arial" w:hAnsi="Arial"/>
          <w:sz w:val="25"/>
          <w:szCs w:val="25"/>
          <w:color w:val="818EB4"/>
        </w:rPr>
        <w:t>2021 Named Executive Officers’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21"/>
          <w:szCs w:val="21"/>
          <w:color w:val="818EB4"/>
        </w:rPr>
        <w:t>2021 Target Compensation</w:t>
      </w:r>
    </w:p>
    <w:p>
      <w:pPr>
        <w:spacing w:after="0" w:line="122"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Our NEOs’ target compensation for 2021 (other than Ms. Hewson) is shown in the table below and is closely aligned to the market rate. When determining pay for our NEOs, the Compensation Committee considers the current market data in combination with other internal factors when setting annual target pay levels, such as changes to market data year-over-year, internal pay equity, individual performance, job scope and criticality to the Company.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tcBorders>
              <w:bottom w:val="single" w:sz="8" w:color="E4E6EF"/>
            </w:tcBorders>
            <w:shd w:val="clear" w:color="auto" w:fill="E4E6EF"/>
          </w:tcPr>
          <w:p>
            <w:pPr>
              <w:spacing w:after="0"/>
              <w:rPr>
                <w:sz w:val="17"/>
                <w:szCs w:val="17"/>
                <w:color w:val="auto"/>
              </w:rPr>
            </w:pPr>
          </w:p>
        </w:tc>
        <w:tc>
          <w:tcPr>
            <w:tcW w:w="1080" w:type="dxa"/>
            <w:vAlign w:val="bottom"/>
            <w:tcBorders>
              <w:bottom w:val="single" w:sz="8" w:color="E4E6EF"/>
            </w:tcBorders>
            <w:shd w:val="clear" w:color="auto" w:fill="E4E6EF"/>
          </w:tcPr>
          <w:p>
            <w:pPr>
              <w:spacing w:after="0"/>
              <w:rPr>
                <w:sz w:val="17"/>
                <w:szCs w:val="17"/>
                <w:color w:val="auto"/>
              </w:rPr>
            </w:pPr>
          </w:p>
        </w:tc>
        <w:tc>
          <w:tcPr>
            <w:tcW w:w="2140" w:type="dxa"/>
            <w:vAlign w:val="bottom"/>
            <w:tcBorders>
              <w:bottom w:val="single" w:sz="8" w:color="E4E6EF"/>
            </w:tcBorders>
            <w:gridSpan w:val="2"/>
            <w:shd w:val="clear" w:color="auto" w:fill="E4E6EF"/>
          </w:tcPr>
          <w:p>
            <w:pPr>
              <w:jc w:val="right"/>
              <w:ind w:right="531"/>
              <w:spacing w:after="0"/>
              <w:rPr>
                <w:sz w:val="20"/>
                <w:szCs w:val="20"/>
                <w:color w:val="auto"/>
              </w:rPr>
            </w:pPr>
            <w:r>
              <w:rPr>
                <w:rFonts w:ascii="Arial" w:cs="Arial" w:eastAsia="Arial" w:hAnsi="Arial"/>
                <w:sz w:val="13"/>
                <w:szCs w:val="13"/>
                <w:color w:val="auto"/>
              </w:rPr>
              <w:t>Annual Incentive</w:t>
            </w:r>
          </w:p>
        </w:tc>
        <w:tc>
          <w:tcPr>
            <w:tcW w:w="1420" w:type="dxa"/>
            <w:vAlign w:val="bottom"/>
            <w:tcBorders>
              <w:bottom w:val="single" w:sz="8" w:color="E4E6EF"/>
            </w:tcBorders>
            <w:shd w:val="clear" w:color="auto" w:fill="E4E6EF"/>
          </w:tcPr>
          <w:p>
            <w:pPr>
              <w:spacing w:after="0"/>
              <w:rPr>
                <w:sz w:val="17"/>
                <w:szCs w:val="17"/>
                <w:color w:val="auto"/>
              </w:rPr>
            </w:pPr>
          </w:p>
        </w:tc>
        <w:tc>
          <w:tcPr>
            <w:tcW w:w="1300" w:type="dxa"/>
            <w:vAlign w:val="bottom"/>
            <w:tcBorders>
              <w:bottom w:val="single" w:sz="8" w:color="E4E6EF"/>
            </w:tcBorders>
            <w:shd w:val="clear" w:color="auto" w:fill="E4E6EF"/>
          </w:tcPr>
          <w:p>
            <w:pPr>
              <w:spacing w:after="0"/>
              <w:rPr>
                <w:sz w:val="17"/>
                <w:szCs w:val="17"/>
                <w:color w:val="auto"/>
              </w:rPr>
            </w:pPr>
          </w:p>
        </w:tc>
      </w:tr>
      <w:tr>
        <w:trPr>
          <w:trHeight w:val="162"/>
        </w:trPr>
        <w:tc>
          <w:tcPr>
            <w:tcW w:w="5300" w:type="dxa"/>
            <w:vAlign w:val="bottom"/>
            <w:tcBorders>
              <w:top w:val="single" w:sz="8" w:color="E4E6EF"/>
            </w:tcBorders>
            <w:shd w:val="clear" w:color="auto" w:fill="E4E6EF"/>
          </w:tcPr>
          <w:p>
            <w:pPr>
              <w:spacing w:after="0"/>
              <w:rPr>
                <w:sz w:val="14"/>
                <w:szCs w:val="14"/>
                <w:color w:val="auto"/>
              </w:rPr>
            </w:pPr>
          </w:p>
        </w:tc>
        <w:tc>
          <w:tcPr>
            <w:tcW w:w="1080" w:type="dxa"/>
            <w:vAlign w:val="bottom"/>
            <w:tcBorders>
              <w:top w:val="single" w:sz="8" w:color="E4E6EF"/>
            </w:tcBorders>
            <w:shd w:val="clear" w:color="auto" w:fill="E4E6EF"/>
          </w:tcPr>
          <w:p>
            <w:pPr>
              <w:jc w:val="right"/>
              <w:spacing w:after="0"/>
              <w:rPr>
                <w:sz w:val="20"/>
                <w:szCs w:val="20"/>
                <w:color w:val="auto"/>
              </w:rPr>
            </w:pPr>
            <w:r>
              <w:rPr>
                <w:rFonts w:ascii="Arial" w:cs="Arial" w:eastAsia="Arial" w:hAnsi="Arial"/>
                <w:sz w:val="13"/>
                <w:szCs w:val="13"/>
                <w:color w:val="auto"/>
              </w:rPr>
              <w:t>Base</w:t>
            </w:r>
          </w:p>
        </w:tc>
        <w:tc>
          <w:tcPr>
            <w:tcW w:w="1260" w:type="dxa"/>
            <w:vAlign w:val="bottom"/>
            <w:tcBorders>
              <w:top w:val="single" w:sz="8" w:color="003478"/>
            </w:tcBorders>
            <w:shd w:val="clear" w:color="auto" w:fill="E4E6EF"/>
          </w:tcPr>
          <w:p>
            <w:pPr>
              <w:spacing w:after="0"/>
              <w:rPr>
                <w:sz w:val="14"/>
                <w:szCs w:val="14"/>
                <w:color w:val="auto"/>
              </w:rPr>
            </w:pPr>
          </w:p>
        </w:tc>
        <w:tc>
          <w:tcPr>
            <w:tcW w:w="880" w:type="dxa"/>
            <w:vAlign w:val="bottom"/>
            <w:tcBorders>
              <w:top w:val="single" w:sz="8" w:color="003478"/>
            </w:tcBorders>
            <w:shd w:val="clear" w:color="auto" w:fill="E4E6EF"/>
          </w:tcPr>
          <w:p>
            <w:pPr>
              <w:jc w:val="right"/>
              <w:spacing w:after="0"/>
              <w:rPr>
                <w:sz w:val="20"/>
                <w:szCs w:val="20"/>
                <w:color w:val="auto"/>
              </w:rPr>
            </w:pPr>
            <w:r>
              <w:rPr>
                <w:rFonts w:ascii="Arial" w:cs="Arial" w:eastAsia="Arial" w:hAnsi="Arial"/>
                <w:sz w:val="13"/>
                <w:szCs w:val="13"/>
                <w:color w:val="auto"/>
              </w:rPr>
              <w:t>Target</w:t>
            </w:r>
          </w:p>
        </w:tc>
        <w:tc>
          <w:tcPr>
            <w:tcW w:w="1420" w:type="dxa"/>
            <w:vAlign w:val="bottom"/>
            <w:tcBorders>
              <w:top w:val="single" w:sz="8" w:color="E4E6EF"/>
            </w:tcBorders>
            <w:shd w:val="clear" w:color="auto" w:fill="E4E6EF"/>
          </w:tcPr>
          <w:p>
            <w:pPr>
              <w:jc w:val="right"/>
              <w:ind w:right="171"/>
              <w:spacing w:after="0"/>
              <w:rPr>
                <w:sz w:val="20"/>
                <w:szCs w:val="20"/>
                <w:color w:val="auto"/>
              </w:rPr>
            </w:pPr>
            <w:r>
              <w:rPr>
                <w:rFonts w:ascii="Arial" w:cs="Arial" w:eastAsia="Arial" w:hAnsi="Arial"/>
                <w:sz w:val="13"/>
                <w:szCs w:val="13"/>
                <w:color w:val="auto"/>
              </w:rPr>
              <w:t>2021 Target LTI</w:t>
            </w:r>
          </w:p>
        </w:tc>
        <w:tc>
          <w:tcPr>
            <w:tcW w:w="1300" w:type="dxa"/>
            <w:vAlign w:val="bottom"/>
            <w:tcBorders>
              <w:top w:val="single" w:sz="8" w:color="E4E6EF"/>
            </w:tcBorders>
            <w:shd w:val="clear" w:color="auto" w:fill="E4E6EF"/>
          </w:tcPr>
          <w:p>
            <w:pPr>
              <w:jc w:val="right"/>
              <w:spacing w:after="0"/>
              <w:rPr>
                <w:sz w:val="20"/>
                <w:szCs w:val="20"/>
                <w:color w:val="auto"/>
              </w:rPr>
            </w:pPr>
            <w:r>
              <w:rPr>
                <w:rFonts w:ascii="Arial" w:cs="Arial" w:eastAsia="Arial" w:hAnsi="Arial"/>
                <w:sz w:val="13"/>
                <w:szCs w:val="13"/>
                <w:color w:val="auto"/>
              </w:rPr>
              <w:t>Total Target Direct</w:t>
            </w:r>
          </w:p>
        </w:tc>
      </w:tr>
      <w:tr>
        <w:trPr>
          <w:trHeight w:val="148"/>
        </w:trPr>
        <w:tc>
          <w:tcPr>
            <w:tcW w:w="5300" w:type="dxa"/>
            <w:vAlign w:val="bottom"/>
            <w:shd w:val="clear" w:color="auto" w:fill="E4E6EF"/>
          </w:tcPr>
          <w:p>
            <w:pPr>
              <w:spacing w:after="0"/>
              <w:rPr>
                <w:sz w:val="12"/>
                <w:szCs w:val="12"/>
                <w:color w:val="auto"/>
              </w:rPr>
            </w:pPr>
          </w:p>
        </w:tc>
        <w:tc>
          <w:tcPr>
            <w:tcW w:w="1080" w:type="dxa"/>
            <w:vAlign w:val="bottom"/>
            <w:shd w:val="clear" w:color="auto" w:fill="E4E6EF"/>
          </w:tcPr>
          <w:p>
            <w:pPr>
              <w:jc w:val="right"/>
              <w:spacing w:after="0" w:line="148" w:lineRule="exact"/>
              <w:rPr>
                <w:sz w:val="20"/>
                <w:szCs w:val="20"/>
                <w:color w:val="auto"/>
              </w:rPr>
            </w:pPr>
            <w:r>
              <w:rPr>
                <w:rFonts w:ascii="Arial" w:cs="Arial" w:eastAsia="Arial" w:hAnsi="Arial"/>
                <w:sz w:val="13"/>
                <w:szCs w:val="13"/>
                <w:color w:val="auto"/>
              </w:rPr>
              <w:t>Salary</w:t>
            </w:r>
          </w:p>
        </w:tc>
        <w:tc>
          <w:tcPr>
            <w:tcW w:w="1260" w:type="dxa"/>
            <w:vAlign w:val="bottom"/>
            <w:shd w:val="clear" w:color="auto" w:fill="E4E6EF"/>
          </w:tcPr>
          <w:p>
            <w:pPr>
              <w:jc w:val="right"/>
              <w:ind w:right="191"/>
              <w:spacing w:after="0" w:line="148" w:lineRule="exact"/>
              <w:rPr>
                <w:sz w:val="20"/>
                <w:szCs w:val="20"/>
                <w:color w:val="auto"/>
              </w:rPr>
            </w:pPr>
            <w:r>
              <w:rPr>
                <w:rFonts w:ascii="Arial" w:cs="Arial" w:eastAsia="Arial" w:hAnsi="Arial"/>
                <w:sz w:val="13"/>
                <w:szCs w:val="13"/>
                <w:color w:val="auto"/>
              </w:rPr>
              <w:t>Target</w:t>
            </w:r>
          </w:p>
        </w:tc>
        <w:tc>
          <w:tcPr>
            <w:tcW w:w="880" w:type="dxa"/>
            <w:vAlign w:val="bottom"/>
            <w:shd w:val="clear" w:color="auto" w:fill="E4E6EF"/>
          </w:tcPr>
          <w:p>
            <w:pPr>
              <w:jc w:val="right"/>
              <w:spacing w:after="0" w:line="148" w:lineRule="exact"/>
              <w:rPr>
                <w:sz w:val="20"/>
                <w:szCs w:val="20"/>
                <w:color w:val="auto"/>
              </w:rPr>
            </w:pPr>
            <w:r>
              <w:rPr>
                <w:rFonts w:ascii="Arial" w:cs="Arial" w:eastAsia="Arial" w:hAnsi="Arial"/>
                <w:sz w:val="13"/>
                <w:szCs w:val="13"/>
                <w:color w:val="auto"/>
              </w:rPr>
              <w:t>Amount</w:t>
            </w:r>
          </w:p>
        </w:tc>
        <w:tc>
          <w:tcPr>
            <w:tcW w:w="1420" w:type="dxa"/>
            <w:vAlign w:val="bottom"/>
            <w:shd w:val="clear" w:color="auto" w:fill="E4E6EF"/>
          </w:tcPr>
          <w:p>
            <w:pPr>
              <w:jc w:val="right"/>
              <w:ind w:right="211"/>
              <w:spacing w:after="0" w:line="148" w:lineRule="exact"/>
              <w:rPr>
                <w:sz w:val="20"/>
                <w:szCs w:val="20"/>
                <w:color w:val="auto"/>
              </w:rPr>
            </w:pPr>
            <w:r>
              <w:rPr>
                <w:rFonts w:ascii="Arial" w:cs="Arial" w:eastAsia="Arial" w:hAnsi="Arial"/>
                <w:sz w:val="13"/>
                <w:szCs w:val="13"/>
                <w:color w:val="auto"/>
              </w:rPr>
              <w:t>Value</w:t>
            </w:r>
          </w:p>
        </w:tc>
        <w:tc>
          <w:tcPr>
            <w:tcW w:w="1300" w:type="dxa"/>
            <w:vAlign w:val="bottom"/>
            <w:shd w:val="clear" w:color="auto" w:fill="E4E6EF"/>
          </w:tcPr>
          <w:p>
            <w:pPr>
              <w:jc w:val="right"/>
              <w:spacing w:after="0" w:line="148" w:lineRule="exact"/>
              <w:rPr>
                <w:sz w:val="20"/>
                <w:szCs w:val="20"/>
                <w:color w:val="auto"/>
              </w:rPr>
            </w:pPr>
            <w:r>
              <w:rPr>
                <w:rFonts w:ascii="Arial" w:cs="Arial" w:eastAsia="Arial" w:hAnsi="Arial"/>
                <w:sz w:val="13"/>
                <w:szCs w:val="13"/>
                <w:color w:val="auto"/>
              </w:rPr>
              <w:t>Compensation</w:t>
            </w:r>
          </w:p>
        </w:tc>
      </w:tr>
      <w:tr>
        <w:trPr>
          <w:trHeight w:val="186"/>
        </w:trPr>
        <w:tc>
          <w:tcPr>
            <w:tcW w:w="5300" w:type="dxa"/>
            <w:vAlign w:val="bottom"/>
            <w:tcBorders>
              <w:bottom w:val="single" w:sz="8" w:color="E4E6EF"/>
            </w:tcBorders>
            <w:shd w:val="clear" w:color="auto" w:fill="E4E6EF"/>
          </w:tcPr>
          <w:p>
            <w:pPr>
              <w:ind w:left="20"/>
              <w:spacing w:after="0"/>
              <w:rPr>
                <w:sz w:val="20"/>
                <w:szCs w:val="20"/>
                <w:color w:val="auto"/>
              </w:rPr>
            </w:pPr>
            <w:r>
              <w:rPr>
                <w:rFonts w:ascii="Arial" w:cs="Arial" w:eastAsia="Arial" w:hAnsi="Arial"/>
                <w:sz w:val="13"/>
                <w:szCs w:val="13"/>
                <w:color w:val="auto"/>
              </w:rPr>
              <w:t>NEO</w:t>
            </w:r>
          </w:p>
        </w:tc>
        <w:tc>
          <w:tcPr>
            <w:tcW w:w="1080" w:type="dxa"/>
            <w:vAlign w:val="bottom"/>
            <w:tcBorders>
              <w:bottom w:val="single" w:sz="8" w:color="E4E6EF"/>
            </w:tcBorders>
            <w:shd w:val="clear" w:color="auto" w:fill="E4E6EF"/>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E4E6EF"/>
            </w:tcBorders>
            <w:shd w:val="clear" w:color="auto" w:fill="E4E6EF"/>
          </w:tcPr>
          <w:p>
            <w:pPr>
              <w:jc w:val="right"/>
              <w:ind w:right="171"/>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E4E6EF"/>
            </w:tcBorders>
            <w:shd w:val="clear" w:color="auto" w:fill="E4E6EF"/>
          </w:tcPr>
          <w:p>
            <w:pPr>
              <w:jc w:val="right"/>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E4E6EF"/>
            </w:tcBorders>
            <w:shd w:val="clear" w:color="auto" w:fill="E4E6EF"/>
          </w:tcPr>
          <w:p>
            <w:pPr>
              <w:jc w:val="right"/>
              <w:ind w:right="171"/>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E4E6EF"/>
            </w:tcBorders>
            <w:shd w:val="clear" w:color="auto" w:fill="E4E6EF"/>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5300" w:type="dxa"/>
            <w:vAlign w:val="bottom"/>
            <w:tcBorders>
              <w:top w:val="single" w:sz="8" w:color="003478"/>
              <w:bottom w:val="single" w:sz="8" w:color="939598"/>
            </w:tcBorders>
          </w:tcPr>
          <w:p>
            <w:pPr>
              <w:ind w:left="20"/>
              <w:spacing w:after="0"/>
              <w:rPr>
                <w:sz w:val="20"/>
                <w:szCs w:val="20"/>
                <w:color w:val="auto"/>
              </w:rPr>
            </w:pPr>
            <w:r>
              <w:rPr>
                <w:rFonts w:ascii="Arial" w:cs="Arial" w:eastAsia="Arial" w:hAnsi="Arial"/>
                <w:sz w:val="14"/>
                <w:szCs w:val="14"/>
                <w:b w:val="1"/>
                <w:bCs w:val="1"/>
                <w:color w:val="003478"/>
              </w:rPr>
              <w:t>Mr. Taiclet</w:t>
            </w:r>
          </w:p>
        </w:tc>
        <w:tc>
          <w:tcPr>
            <w:tcW w:w="1080" w:type="dxa"/>
            <w:vAlign w:val="bottom"/>
            <w:tcBorders>
              <w:top w:val="single" w:sz="8" w:color="003478"/>
              <w:bottom w:val="single" w:sz="8" w:color="959595"/>
            </w:tcBorders>
          </w:tcPr>
          <w:p>
            <w:pPr>
              <w:jc w:val="right"/>
              <w:spacing w:after="0"/>
              <w:rPr>
                <w:sz w:val="20"/>
                <w:szCs w:val="20"/>
                <w:color w:val="auto"/>
              </w:rPr>
            </w:pPr>
            <w:r>
              <w:rPr>
                <w:rFonts w:ascii="Arial" w:cs="Arial" w:eastAsia="Arial" w:hAnsi="Arial"/>
                <w:sz w:val="14"/>
                <w:szCs w:val="14"/>
                <w:color w:val="auto"/>
              </w:rPr>
              <w:t>1,751,000</w:t>
            </w:r>
          </w:p>
        </w:tc>
        <w:tc>
          <w:tcPr>
            <w:tcW w:w="1260" w:type="dxa"/>
            <w:vAlign w:val="bottom"/>
            <w:tcBorders>
              <w:top w:val="single" w:sz="8" w:color="003478"/>
              <w:bottom w:val="single" w:sz="8" w:color="959595"/>
            </w:tcBorders>
          </w:tcPr>
          <w:p>
            <w:pPr>
              <w:jc w:val="right"/>
              <w:ind w:right="171"/>
              <w:spacing w:after="0"/>
              <w:rPr>
                <w:sz w:val="20"/>
                <w:szCs w:val="20"/>
                <w:color w:val="auto"/>
              </w:rPr>
            </w:pPr>
            <w:r>
              <w:rPr>
                <w:rFonts w:ascii="Arial" w:cs="Arial" w:eastAsia="Arial" w:hAnsi="Arial"/>
                <w:sz w:val="14"/>
                <w:szCs w:val="14"/>
                <w:color w:val="auto"/>
              </w:rPr>
              <w:t>185</w:t>
            </w:r>
          </w:p>
        </w:tc>
        <w:tc>
          <w:tcPr>
            <w:tcW w:w="880" w:type="dxa"/>
            <w:vAlign w:val="bottom"/>
            <w:tcBorders>
              <w:top w:val="single" w:sz="8" w:color="003478"/>
              <w:bottom w:val="single" w:sz="8" w:color="959595"/>
            </w:tcBorders>
          </w:tcPr>
          <w:p>
            <w:pPr>
              <w:jc w:val="right"/>
              <w:spacing w:after="0"/>
              <w:rPr>
                <w:sz w:val="20"/>
                <w:szCs w:val="20"/>
                <w:color w:val="auto"/>
              </w:rPr>
            </w:pPr>
            <w:r>
              <w:rPr>
                <w:rFonts w:ascii="Arial" w:cs="Arial" w:eastAsia="Arial" w:hAnsi="Arial"/>
                <w:sz w:val="14"/>
                <w:szCs w:val="14"/>
                <w:color w:val="auto"/>
              </w:rPr>
              <w:t>3,239,350</w:t>
            </w:r>
          </w:p>
        </w:tc>
        <w:tc>
          <w:tcPr>
            <w:tcW w:w="1420" w:type="dxa"/>
            <w:vAlign w:val="bottom"/>
            <w:tcBorders>
              <w:top w:val="single" w:sz="8" w:color="003478"/>
              <w:bottom w:val="single" w:sz="8" w:color="959595"/>
            </w:tcBorders>
          </w:tcPr>
          <w:p>
            <w:pPr>
              <w:jc w:val="right"/>
              <w:ind w:right="171"/>
              <w:spacing w:after="0"/>
              <w:rPr>
                <w:sz w:val="20"/>
                <w:szCs w:val="20"/>
                <w:color w:val="auto"/>
              </w:rPr>
            </w:pPr>
            <w:r>
              <w:rPr>
                <w:rFonts w:ascii="Arial" w:cs="Arial" w:eastAsia="Arial" w:hAnsi="Arial"/>
                <w:sz w:val="14"/>
                <w:szCs w:val="14"/>
                <w:color w:val="auto"/>
              </w:rPr>
              <w:t>14,000,000</w:t>
            </w:r>
          </w:p>
        </w:tc>
        <w:tc>
          <w:tcPr>
            <w:tcW w:w="1300" w:type="dxa"/>
            <w:vAlign w:val="bottom"/>
            <w:tcBorders>
              <w:top w:val="single" w:sz="8" w:color="003478"/>
              <w:bottom w:val="single" w:sz="8" w:color="959595"/>
            </w:tcBorders>
          </w:tcPr>
          <w:p>
            <w:pPr>
              <w:jc w:val="right"/>
              <w:spacing w:after="0"/>
              <w:rPr>
                <w:sz w:val="20"/>
                <w:szCs w:val="20"/>
                <w:color w:val="auto"/>
              </w:rPr>
            </w:pPr>
            <w:r>
              <w:rPr>
                <w:rFonts w:ascii="Arial" w:cs="Arial" w:eastAsia="Arial" w:hAnsi="Arial"/>
                <w:sz w:val="14"/>
                <w:szCs w:val="14"/>
                <w:color w:val="auto"/>
              </w:rPr>
              <w:t>18,990,350</w:t>
            </w:r>
          </w:p>
        </w:tc>
      </w:tr>
      <w:tr>
        <w:trPr>
          <w:trHeight w:val="182"/>
        </w:trPr>
        <w:tc>
          <w:tcPr>
            <w:tcW w:w="530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003478"/>
              </w:rPr>
              <w:t>Mr. Mollard*</w:t>
            </w:r>
          </w:p>
        </w:tc>
        <w:tc>
          <w:tcPr>
            <w:tcW w:w="10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495,000</w:t>
            </w:r>
          </w:p>
        </w:tc>
        <w:tc>
          <w:tcPr>
            <w:tcW w:w="1260" w:type="dxa"/>
            <w:vAlign w:val="bottom"/>
            <w:tcBorders>
              <w:bottom w:val="single" w:sz="8" w:color="959595"/>
            </w:tcBorders>
          </w:tcPr>
          <w:p>
            <w:pPr>
              <w:jc w:val="right"/>
              <w:ind w:right="171"/>
              <w:spacing w:after="0"/>
              <w:rPr>
                <w:sz w:val="20"/>
                <w:szCs w:val="20"/>
                <w:color w:val="auto"/>
              </w:rPr>
            </w:pPr>
            <w:r>
              <w:rPr>
                <w:rFonts w:ascii="Arial" w:cs="Arial" w:eastAsia="Arial" w:hAnsi="Arial"/>
                <w:sz w:val="14"/>
                <w:szCs w:val="14"/>
                <w:color w:val="auto"/>
              </w:rPr>
              <w:t>70</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346,500</w:t>
            </w:r>
          </w:p>
        </w:tc>
        <w:tc>
          <w:tcPr>
            <w:tcW w:w="1420" w:type="dxa"/>
            <w:vAlign w:val="bottom"/>
            <w:tcBorders>
              <w:bottom w:val="single" w:sz="8" w:color="959595"/>
            </w:tcBorders>
          </w:tcPr>
          <w:p>
            <w:pPr>
              <w:jc w:val="right"/>
              <w:ind w:right="171"/>
              <w:spacing w:after="0"/>
              <w:rPr>
                <w:sz w:val="20"/>
                <w:szCs w:val="20"/>
                <w:color w:val="auto"/>
              </w:rPr>
            </w:pPr>
            <w:r>
              <w:rPr>
                <w:rFonts w:ascii="Arial" w:cs="Arial" w:eastAsia="Arial" w:hAnsi="Arial"/>
                <w:sz w:val="14"/>
                <w:szCs w:val="14"/>
                <w:color w:val="auto"/>
              </w:rPr>
              <w:t>800,000</w:t>
            </w:r>
          </w:p>
        </w:tc>
        <w:tc>
          <w:tcPr>
            <w:tcW w:w="13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1,641,500</w:t>
            </w:r>
          </w:p>
        </w:tc>
      </w:tr>
      <w:tr>
        <w:trPr>
          <w:trHeight w:val="182"/>
        </w:trPr>
        <w:tc>
          <w:tcPr>
            <w:tcW w:w="5300" w:type="dxa"/>
            <w:vAlign w:val="bottom"/>
            <w:tcBorders>
              <w:bottom w:val="single" w:sz="8" w:color="9D9D9C"/>
            </w:tcBorders>
          </w:tcPr>
          <w:p>
            <w:pPr>
              <w:ind w:left="20"/>
              <w:spacing w:after="0"/>
              <w:rPr>
                <w:sz w:val="20"/>
                <w:szCs w:val="20"/>
                <w:color w:val="auto"/>
              </w:rPr>
            </w:pPr>
            <w:r>
              <w:rPr>
                <w:rFonts w:ascii="Arial" w:cs="Arial" w:eastAsia="Arial" w:hAnsi="Arial"/>
                <w:sz w:val="14"/>
                <w:szCs w:val="14"/>
                <w:b w:val="1"/>
                <w:bCs w:val="1"/>
                <w:color w:val="003478"/>
              </w:rPr>
              <w:t>Mr. Possenriede**</w:t>
            </w:r>
          </w:p>
        </w:tc>
        <w:tc>
          <w:tcPr>
            <w:tcW w:w="108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1,000,000</w:t>
            </w:r>
          </w:p>
        </w:tc>
        <w:tc>
          <w:tcPr>
            <w:tcW w:w="1260" w:type="dxa"/>
            <w:vAlign w:val="bottom"/>
            <w:tcBorders>
              <w:bottom w:val="single" w:sz="8" w:color="9D9D9C"/>
            </w:tcBorders>
          </w:tcPr>
          <w:p>
            <w:pPr>
              <w:jc w:val="right"/>
              <w:ind w:right="171"/>
              <w:spacing w:after="0"/>
              <w:rPr>
                <w:sz w:val="20"/>
                <w:szCs w:val="20"/>
                <w:color w:val="auto"/>
              </w:rPr>
            </w:pPr>
            <w:r>
              <w:rPr>
                <w:rFonts w:ascii="Arial" w:cs="Arial" w:eastAsia="Arial" w:hAnsi="Arial"/>
                <w:sz w:val="14"/>
                <w:szCs w:val="14"/>
                <w:color w:val="auto"/>
              </w:rPr>
              <w:t>125</w:t>
            </w:r>
          </w:p>
        </w:tc>
        <w:tc>
          <w:tcPr>
            <w:tcW w:w="88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1,250,000</w:t>
            </w:r>
          </w:p>
        </w:tc>
        <w:tc>
          <w:tcPr>
            <w:tcW w:w="1420" w:type="dxa"/>
            <w:vAlign w:val="bottom"/>
            <w:tcBorders>
              <w:bottom w:val="single" w:sz="8" w:color="9D9D9C"/>
            </w:tcBorders>
          </w:tcPr>
          <w:p>
            <w:pPr>
              <w:jc w:val="right"/>
              <w:ind w:right="171"/>
              <w:spacing w:after="0"/>
              <w:rPr>
                <w:sz w:val="20"/>
                <w:szCs w:val="20"/>
                <w:color w:val="auto"/>
              </w:rPr>
            </w:pPr>
            <w:r>
              <w:rPr>
                <w:rFonts w:ascii="Arial" w:cs="Arial" w:eastAsia="Arial" w:hAnsi="Arial"/>
                <w:sz w:val="14"/>
                <w:szCs w:val="14"/>
                <w:color w:val="auto"/>
              </w:rPr>
              <w:t>5,500,000</w:t>
            </w:r>
          </w:p>
        </w:tc>
        <w:tc>
          <w:tcPr>
            <w:tcW w:w="130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7,750,000</w:t>
            </w:r>
          </w:p>
        </w:tc>
      </w:tr>
      <w:tr>
        <w:trPr>
          <w:trHeight w:val="182"/>
        </w:trPr>
        <w:tc>
          <w:tcPr>
            <w:tcW w:w="530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003478"/>
              </w:rPr>
              <w:t>Mr. St. John</w:t>
            </w:r>
          </w:p>
        </w:tc>
        <w:tc>
          <w:tcPr>
            <w:tcW w:w="10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1,000,000</w:t>
            </w:r>
          </w:p>
        </w:tc>
        <w:tc>
          <w:tcPr>
            <w:tcW w:w="1260" w:type="dxa"/>
            <w:vAlign w:val="bottom"/>
            <w:tcBorders>
              <w:bottom w:val="single" w:sz="8" w:color="959595"/>
            </w:tcBorders>
          </w:tcPr>
          <w:p>
            <w:pPr>
              <w:jc w:val="right"/>
              <w:ind w:right="171"/>
              <w:spacing w:after="0"/>
              <w:rPr>
                <w:sz w:val="20"/>
                <w:szCs w:val="20"/>
                <w:color w:val="auto"/>
              </w:rPr>
            </w:pPr>
            <w:r>
              <w:rPr>
                <w:rFonts w:ascii="Arial" w:cs="Arial" w:eastAsia="Arial" w:hAnsi="Arial"/>
                <w:sz w:val="14"/>
                <w:szCs w:val="14"/>
                <w:color w:val="auto"/>
              </w:rPr>
              <w:t>125</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1,250,000</w:t>
            </w:r>
          </w:p>
        </w:tc>
        <w:tc>
          <w:tcPr>
            <w:tcW w:w="1420" w:type="dxa"/>
            <w:vAlign w:val="bottom"/>
            <w:tcBorders>
              <w:bottom w:val="single" w:sz="8" w:color="959595"/>
            </w:tcBorders>
          </w:tcPr>
          <w:p>
            <w:pPr>
              <w:jc w:val="right"/>
              <w:ind w:right="171"/>
              <w:spacing w:after="0"/>
              <w:rPr>
                <w:sz w:val="20"/>
                <w:szCs w:val="20"/>
                <w:color w:val="auto"/>
              </w:rPr>
            </w:pPr>
            <w:r>
              <w:rPr>
                <w:rFonts w:ascii="Arial" w:cs="Arial" w:eastAsia="Arial" w:hAnsi="Arial"/>
                <w:sz w:val="14"/>
                <w:szCs w:val="14"/>
                <w:color w:val="auto"/>
              </w:rPr>
              <w:t>5,500,000</w:t>
            </w:r>
          </w:p>
        </w:tc>
        <w:tc>
          <w:tcPr>
            <w:tcW w:w="13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7,750,000</w:t>
            </w:r>
          </w:p>
        </w:tc>
      </w:tr>
      <w:tr>
        <w:trPr>
          <w:trHeight w:val="182"/>
        </w:trPr>
        <w:tc>
          <w:tcPr>
            <w:tcW w:w="530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003478"/>
              </w:rPr>
              <w:t>Mr. Ambrose</w:t>
            </w:r>
          </w:p>
        </w:tc>
        <w:tc>
          <w:tcPr>
            <w:tcW w:w="10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965,000</w:t>
            </w:r>
          </w:p>
        </w:tc>
        <w:tc>
          <w:tcPr>
            <w:tcW w:w="1260" w:type="dxa"/>
            <w:vAlign w:val="bottom"/>
            <w:tcBorders>
              <w:bottom w:val="single" w:sz="8" w:color="959595"/>
            </w:tcBorders>
          </w:tcPr>
          <w:p>
            <w:pPr>
              <w:jc w:val="right"/>
              <w:ind w:right="171"/>
              <w:spacing w:after="0"/>
              <w:rPr>
                <w:sz w:val="20"/>
                <w:szCs w:val="20"/>
                <w:color w:val="auto"/>
              </w:rPr>
            </w:pPr>
            <w:r>
              <w:rPr>
                <w:rFonts w:ascii="Arial" w:cs="Arial" w:eastAsia="Arial" w:hAnsi="Arial"/>
                <w:sz w:val="14"/>
                <w:szCs w:val="14"/>
                <w:color w:val="auto"/>
              </w:rPr>
              <w:t>110</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1,061,500</w:t>
            </w:r>
          </w:p>
        </w:tc>
        <w:tc>
          <w:tcPr>
            <w:tcW w:w="1420" w:type="dxa"/>
            <w:vAlign w:val="bottom"/>
            <w:tcBorders>
              <w:bottom w:val="single" w:sz="8" w:color="959595"/>
            </w:tcBorders>
          </w:tcPr>
          <w:p>
            <w:pPr>
              <w:jc w:val="right"/>
              <w:ind w:right="171"/>
              <w:spacing w:after="0"/>
              <w:rPr>
                <w:sz w:val="20"/>
                <w:szCs w:val="20"/>
                <w:color w:val="auto"/>
              </w:rPr>
            </w:pPr>
            <w:r>
              <w:rPr>
                <w:rFonts w:ascii="Arial" w:cs="Arial" w:eastAsia="Arial" w:hAnsi="Arial"/>
                <w:sz w:val="14"/>
                <w:szCs w:val="14"/>
                <w:color w:val="auto"/>
              </w:rPr>
              <w:t>4,000,000</w:t>
            </w:r>
          </w:p>
        </w:tc>
        <w:tc>
          <w:tcPr>
            <w:tcW w:w="13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6,026,500</w:t>
            </w:r>
          </w:p>
        </w:tc>
      </w:tr>
      <w:tr>
        <w:trPr>
          <w:trHeight w:val="182"/>
        </w:trPr>
        <w:tc>
          <w:tcPr>
            <w:tcW w:w="5300" w:type="dxa"/>
            <w:vAlign w:val="bottom"/>
            <w:tcBorders>
              <w:bottom w:val="single" w:sz="8" w:color="929292"/>
            </w:tcBorders>
          </w:tcPr>
          <w:p>
            <w:pPr>
              <w:ind w:left="20"/>
              <w:spacing w:after="0"/>
              <w:rPr>
                <w:sz w:val="20"/>
                <w:szCs w:val="20"/>
                <w:color w:val="auto"/>
              </w:rPr>
            </w:pPr>
            <w:r>
              <w:rPr>
                <w:rFonts w:ascii="Arial" w:cs="Arial" w:eastAsia="Arial" w:hAnsi="Arial"/>
                <w:sz w:val="14"/>
                <w:szCs w:val="14"/>
                <w:b w:val="1"/>
                <w:bCs w:val="1"/>
                <w:color w:val="003478"/>
              </w:rPr>
              <w:t>Ms. Hill</w:t>
            </w:r>
          </w:p>
        </w:tc>
        <w:tc>
          <w:tcPr>
            <w:tcW w:w="10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965,000</w:t>
            </w:r>
          </w:p>
        </w:tc>
        <w:tc>
          <w:tcPr>
            <w:tcW w:w="1260" w:type="dxa"/>
            <w:vAlign w:val="bottom"/>
            <w:tcBorders>
              <w:bottom w:val="single" w:sz="8" w:color="959595"/>
            </w:tcBorders>
          </w:tcPr>
          <w:p>
            <w:pPr>
              <w:jc w:val="right"/>
              <w:ind w:right="171"/>
              <w:spacing w:after="0"/>
              <w:rPr>
                <w:sz w:val="20"/>
                <w:szCs w:val="20"/>
                <w:color w:val="auto"/>
              </w:rPr>
            </w:pPr>
            <w:r>
              <w:rPr>
                <w:rFonts w:ascii="Arial" w:cs="Arial" w:eastAsia="Arial" w:hAnsi="Arial"/>
                <w:sz w:val="14"/>
                <w:szCs w:val="14"/>
                <w:color w:val="auto"/>
              </w:rPr>
              <w:t>110</w:t>
            </w:r>
          </w:p>
        </w:tc>
        <w:tc>
          <w:tcPr>
            <w:tcW w:w="8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1,061,500</w:t>
            </w:r>
          </w:p>
        </w:tc>
        <w:tc>
          <w:tcPr>
            <w:tcW w:w="1420" w:type="dxa"/>
            <w:vAlign w:val="bottom"/>
            <w:tcBorders>
              <w:bottom w:val="single" w:sz="8" w:color="959595"/>
            </w:tcBorders>
          </w:tcPr>
          <w:p>
            <w:pPr>
              <w:jc w:val="right"/>
              <w:ind w:right="171"/>
              <w:spacing w:after="0"/>
              <w:rPr>
                <w:sz w:val="20"/>
                <w:szCs w:val="20"/>
                <w:color w:val="auto"/>
              </w:rPr>
            </w:pPr>
            <w:r>
              <w:rPr>
                <w:rFonts w:ascii="Arial" w:cs="Arial" w:eastAsia="Arial" w:hAnsi="Arial"/>
                <w:sz w:val="14"/>
                <w:szCs w:val="14"/>
                <w:color w:val="auto"/>
              </w:rPr>
              <w:t>4,000,000</w:t>
            </w:r>
          </w:p>
        </w:tc>
        <w:tc>
          <w:tcPr>
            <w:tcW w:w="130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6,026,500</w:t>
            </w:r>
          </w:p>
        </w:tc>
      </w:tr>
    </w:tbl>
    <w:p>
      <w:pPr>
        <w:spacing w:after="0" w:line="139" w:lineRule="exact"/>
        <w:rPr>
          <w:sz w:val="20"/>
          <w:szCs w:val="20"/>
          <w:color w:val="auto"/>
        </w:rPr>
      </w:pPr>
    </w:p>
    <w:p>
      <w:pPr>
        <w:ind w:left="220" w:hanging="213"/>
        <w:spacing w:after="0"/>
        <w:tabs>
          <w:tab w:leader="none" w:pos="2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Reflects Mr. Mollard’s 2021 compensation aligned with his role as VP and Treasurer.</w:t>
      </w:r>
    </w:p>
    <w:p>
      <w:pPr>
        <w:spacing w:after="0" w:line="54" w:lineRule="exact"/>
        <w:rPr>
          <w:sz w:val="20"/>
          <w:szCs w:val="20"/>
          <w:color w:val="auto"/>
        </w:rPr>
      </w:pPr>
    </w:p>
    <w:p>
      <w:pPr>
        <w:ind w:left="280" w:hanging="273"/>
        <w:spacing w:after="0"/>
        <w:tabs>
          <w:tab w:leader="none" w:pos="2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Mr. Possenriede’s actual annual incentive target for 2021 was $732,877, prorated based on time served during 2021.</w:t>
      </w:r>
    </w:p>
    <w:p>
      <w:pPr>
        <w:spacing w:after="0" w:line="124"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Ms. Hewson served as Executive Chairman from June 15, 2020 to March 1, 2021 and Strategic Advisor to the CEO from March 1, 2021 through February 28, 2022, when she retired. Ms. Hewson received a base salary of $1,855,000 for her role as Executive Chairman through February 28, 2021 and did not receive separate director compensation for her service on the Board during this period. For her service as Strategic Advisor to the CEO, effective March 1, 2021 through February 28, 2022, Ms. Hewson’s annual base salary was reduced to $900,000. Ms. Hewson was not eligible for an annual incentive for 2021 performance and did not receive any equity or long-term incentive performance awards in 2021. While she remained an employee of the Company, Ms. Hewson continued to be eligible for the benefit, retirement and perquisite programs described on page 53.</w:t>
      </w:r>
    </w:p>
    <w:p>
      <w:pPr>
        <w:spacing w:after="0" w:line="200" w:lineRule="exact"/>
        <w:rPr>
          <w:sz w:val="20"/>
          <w:szCs w:val="20"/>
          <w:color w:val="auto"/>
        </w:rPr>
      </w:pPr>
    </w:p>
    <w:p>
      <w:pPr>
        <w:spacing w:after="0" w:line="347"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42</w:t>
      </w:r>
    </w:p>
    <w:p>
      <w:pPr>
        <w:sectPr>
          <w:pgSz w:w="11900" w:h="16838" w:orient="portrait"/>
          <w:cols w:equalWidth="0" w:num="1">
            <w:col w:w="11240"/>
          </w:cols>
          <w:pgMar w:left="320" w:top="254"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1"/>
          <w:szCs w:val="21"/>
          <w:color w:val="818EB4"/>
        </w:rPr>
        <w:t>2021 Compensation Elements</w:t>
      </w:r>
    </w:p>
    <w:p>
      <w:pPr>
        <w:spacing w:after="0" w:line="122" w:lineRule="exact"/>
        <w:rPr>
          <w:sz w:val="20"/>
          <w:szCs w:val="20"/>
          <w:color w:val="auto"/>
        </w:rPr>
      </w:pPr>
    </w:p>
    <w:p>
      <w:pPr>
        <w:jc w:val="both"/>
        <w:ind w:right="100"/>
        <w:spacing w:after="0" w:line="269" w:lineRule="auto"/>
        <w:rPr>
          <w:sz w:val="20"/>
          <w:szCs w:val="20"/>
          <w:color w:val="auto"/>
        </w:rPr>
      </w:pPr>
      <w:r>
        <w:rPr>
          <w:rFonts w:ascii="Arial" w:cs="Arial" w:eastAsia="Arial" w:hAnsi="Arial"/>
          <w:sz w:val="17"/>
          <w:szCs w:val="17"/>
          <w:color w:val="auto"/>
        </w:rPr>
        <w:t>Our compensation programs are designed to provide a mix of short- and long-term compensation, fixed and variable pay and cash and equity-based compensation, as well as to reflect our philosophy of providing pay for performance. Benefit, Retirement and Perquisite programs are not included in our compensation elements below (information about these programs can be found later in this section).</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80" w:type="dxa"/>
            <w:vAlign w:val="bottom"/>
          </w:tcPr>
          <w:p>
            <w:pPr>
              <w:spacing w:after="0"/>
              <w:rPr>
                <w:sz w:val="14"/>
                <w:szCs w:val="14"/>
                <w:color w:val="auto"/>
              </w:rPr>
            </w:pPr>
          </w:p>
        </w:tc>
        <w:tc>
          <w:tcPr>
            <w:tcW w:w="162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9"/>
              </w:rPr>
              <w:t>Fixed</w:t>
            </w:r>
          </w:p>
        </w:tc>
        <w:tc>
          <w:tcPr>
            <w:tcW w:w="20" w:type="dxa"/>
            <w:vAlign w:val="bottom"/>
            <w:tcBorders>
              <w:bottom w:val="single" w:sz="8" w:color="959595"/>
            </w:tcBorders>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tcBorders>
              <w:bottom w:val="single" w:sz="8" w:color="012E6C"/>
            </w:tcBorders>
          </w:tcPr>
          <w:p>
            <w:pPr>
              <w:spacing w:after="0"/>
              <w:rPr>
                <w:sz w:val="14"/>
                <w:szCs w:val="14"/>
                <w:color w:val="auto"/>
              </w:rPr>
            </w:pPr>
          </w:p>
        </w:tc>
        <w:tc>
          <w:tcPr>
            <w:tcW w:w="200" w:type="dxa"/>
            <w:vAlign w:val="bottom"/>
            <w:tcBorders>
              <w:bottom w:val="single" w:sz="8" w:color="012E6C"/>
            </w:tcBorders>
          </w:tcPr>
          <w:p>
            <w:pPr>
              <w:spacing w:after="0"/>
              <w:rPr>
                <w:sz w:val="14"/>
                <w:szCs w:val="14"/>
                <w:color w:val="auto"/>
              </w:rPr>
            </w:pPr>
          </w:p>
        </w:tc>
        <w:tc>
          <w:tcPr>
            <w:tcW w:w="2040" w:type="dxa"/>
            <w:vAlign w:val="bottom"/>
            <w:tcBorders>
              <w:bottom w:val="single" w:sz="8" w:color="012E6C"/>
            </w:tcBorders>
          </w:tcPr>
          <w:p>
            <w:pPr>
              <w:ind w:left="1440"/>
              <w:spacing w:after="0"/>
              <w:rPr>
                <w:sz w:val="20"/>
                <w:szCs w:val="20"/>
                <w:color w:val="auto"/>
              </w:rPr>
            </w:pPr>
            <w:r>
              <w:rPr>
                <w:rFonts w:ascii="Arial" w:cs="Arial" w:eastAsia="Arial" w:hAnsi="Arial"/>
                <w:sz w:val="14"/>
                <w:szCs w:val="14"/>
                <w:color w:val="auto"/>
              </w:rPr>
              <w:t>Variable</w:t>
            </w:r>
          </w:p>
        </w:tc>
        <w:tc>
          <w:tcPr>
            <w:tcW w:w="1900" w:type="dxa"/>
            <w:vAlign w:val="bottom"/>
            <w:tcBorders>
              <w:bottom w:val="single" w:sz="8" w:color="012E6C"/>
            </w:tcBorders>
          </w:tcPr>
          <w:p>
            <w:pPr>
              <w:spacing w:after="0"/>
              <w:rPr>
                <w:sz w:val="14"/>
                <w:szCs w:val="14"/>
                <w:color w:val="auto"/>
              </w:rPr>
            </w:pPr>
          </w:p>
        </w:tc>
        <w:tc>
          <w:tcPr>
            <w:tcW w:w="1900" w:type="dxa"/>
            <w:vAlign w:val="bottom"/>
            <w:tcBorders>
              <w:bottom w:val="single" w:sz="8" w:color="012E6C"/>
            </w:tcBorders>
          </w:tcPr>
          <w:p>
            <w:pPr>
              <w:spacing w:after="0"/>
              <w:rPr>
                <w:sz w:val="14"/>
                <w:szCs w:val="14"/>
                <w:color w:val="auto"/>
              </w:rPr>
            </w:pPr>
          </w:p>
        </w:tc>
        <w:tc>
          <w:tcPr>
            <w:tcW w:w="20" w:type="dxa"/>
            <w:vAlign w:val="bottom"/>
            <w:tcBorders>
              <w:bottom w:val="single" w:sz="8" w:color="012E6C"/>
            </w:tcBorders>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10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1080" w:type="dxa"/>
            <w:vAlign w:val="bottom"/>
          </w:tcPr>
          <w:p>
            <w:pPr>
              <w:spacing w:after="0"/>
              <w:rPr>
                <w:sz w:val="18"/>
                <w:szCs w:val="18"/>
                <w:color w:val="auto"/>
              </w:rPr>
            </w:pPr>
          </w:p>
        </w:tc>
        <w:tc>
          <w:tcPr>
            <w:tcW w:w="1620" w:type="dxa"/>
            <w:vAlign w:val="bottom"/>
            <w:vMerge w:val="restart"/>
            <w:shd w:val="clear" w:color="auto" w:fill="E5E7EF"/>
          </w:tcPr>
          <w:p>
            <w:pPr>
              <w:jc w:val="center"/>
              <w:spacing w:after="0"/>
              <w:rPr>
                <w:sz w:val="20"/>
                <w:szCs w:val="20"/>
                <w:color w:val="auto"/>
              </w:rPr>
            </w:pPr>
            <w:r>
              <w:rPr>
                <w:rFonts w:ascii="Arial" w:cs="Arial" w:eastAsia="Arial" w:hAnsi="Arial"/>
                <w:sz w:val="14"/>
                <w:szCs w:val="14"/>
                <w:color w:val="auto"/>
              </w:rPr>
              <w:t>Base Salary</w:t>
            </w:r>
          </w:p>
        </w:tc>
        <w:tc>
          <w:tcPr>
            <w:tcW w:w="26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2240" w:type="dxa"/>
            <w:vAlign w:val="bottom"/>
            <w:vMerge w:val="restart"/>
            <w:shd w:val="clear" w:color="auto" w:fill="808080"/>
          </w:tcPr>
          <w:p>
            <w:pPr>
              <w:jc w:val="center"/>
              <w:spacing w:after="0"/>
              <w:rPr>
                <w:sz w:val="20"/>
                <w:szCs w:val="20"/>
                <w:color w:val="auto"/>
              </w:rPr>
            </w:pPr>
            <w:r>
              <w:rPr>
                <w:rFonts w:ascii="Arial" w:cs="Arial" w:eastAsia="Arial" w:hAnsi="Arial"/>
                <w:sz w:val="14"/>
                <w:szCs w:val="14"/>
                <w:color w:val="FFFFFF"/>
              </w:rPr>
              <w:t>Annual Incentive</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040" w:type="dxa"/>
            <w:vAlign w:val="bottom"/>
            <w:shd w:val="clear" w:color="auto" w:fill="002F6C"/>
          </w:tcPr>
          <w:p>
            <w:pPr>
              <w:spacing w:after="0"/>
              <w:rPr>
                <w:sz w:val="18"/>
                <w:szCs w:val="18"/>
                <w:color w:val="auto"/>
              </w:rPr>
            </w:pPr>
          </w:p>
        </w:tc>
        <w:tc>
          <w:tcPr>
            <w:tcW w:w="1900" w:type="dxa"/>
            <w:vAlign w:val="bottom"/>
            <w:shd w:val="clear" w:color="auto" w:fill="002F6C"/>
          </w:tcPr>
          <w:p>
            <w:pPr>
              <w:ind w:left="160"/>
              <w:spacing w:after="0"/>
              <w:rPr>
                <w:sz w:val="20"/>
                <w:szCs w:val="20"/>
                <w:color w:val="auto"/>
              </w:rPr>
            </w:pPr>
            <w:r>
              <w:rPr>
                <w:rFonts w:ascii="Arial" w:cs="Arial" w:eastAsia="Arial" w:hAnsi="Arial"/>
                <w:sz w:val="14"/>
                <w:szCs w:val="14"/>
                <w:color w:val="FFFFFF"/>
              </w:rPr>
              <w:t>Long-Term Incentives*</w:t>
            </w:r>
          </w:p>
        </w:tc>
        <w:tc>
          <w:tcPr>
            <w:tcW w:w="1900" w:type="dxa"/>
            <w:vAlign w:val="bottom"/>
            <w:shd w:val="clear" w:color="auto" w:fill="002F6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1080" w:type="dxa"/>
            <w:vAlign w:val="bottom"/>
          </w:tcPr>
          <w:p>
            <w:pPr>
              <w:spacing w:after="0"/>
              <w:rPr>
                <w:sz w:val="8"/>
                <w:szCs w:val="8"/>
                <w:color w:val="auto"/>
              </w:rPr>
            </w:pPr>
          </w:p>
        </w:tc>
        <w:tc>
          <w:tcPr>
            <w:tcW w:w="1620" w:type="dxa"/>
            <w:vAlign w:val="bottom"/>
            <w:vMerge w:val="continue"/>
            <w:shd w:val="clear" w:color="auto" w:fill="E5E7EF"/>
          </w:tcPr>
          <w:p>
            <w:pPr>
              <w:spacing w:after="0"/>
              <w:rPr>
                <w:sz w:val="8"/>
                <w:szCs w:val="8"/>
                <w:color w:val="auto"/>
              </w:rPr>
            </w:pPr>
          </w:p>
        </w:tc>
        <w:tc>
          <w:tcPr>
            <w:tcW w:w="260" w:type="dxa"/>
            <w:vAlign w:val="bottom"/>
            <w:gridSpan w:val="2"/>
            <w:vMerge w:val="continue"/>
          </w:tcPr>
          <w:p>
            <w:pPr>
              <w:spacing w:after="0"/>
              <w:rPr>
                <w:sz w:val="8"/>
                <w:szCs w:val="8"/>
                <w:color w:val="auto"/>
              </w:rPr>
            </w:pPr>
          </w:p>
        </w:tc>
        <w:tc>
          <w:tcPr>
            <w:tcW w:w="2240" w:type="dxa"/>
            <w:vAlign w:val="bottom"/>
            <w:vMerge w:val="continue"/>
            <w:shd w:val="clear" w:color="auto" w:fill="808080"/>
          </w:tcPr>
          <w:p>
            <w:pPr>
              <w:spacing w:after="0"/>
              <w:rPr>
                <w:sz w:val="8"/>
                <w:szCs w:val="8"/>
                <w:color w:val="auto"/>
              </w:rPr>
            </w:pPr>
          </w:p>
        </w:tc>
        <w:tc>
          <w:tcPr>
            <w:tcW w:w="200" w:type="dxa"/>
            <w:vAlign w:val="bottom"/>
            <w:vMerge w:val="continue"/>
          </w:tcPr>
          <w:p>
            <w:pPr>
              <w:spacing w:after="0"/>
              <w:rPr>
                <w:sz w:val="8"/>
                <w:szCs w:val="8"/>
                <w:color w:val="auto"/>
              </w:rPr>
            </w:pPr>
          </w:p>
        </w:tc>
        <w:tc>
          <w:tcPr>
            <w:tcW w:w="2040" w:type="dxa"/>
            <w:vAlign w:val="bottom"/>
            <w:vMerge w:val="restart"/>
            <w:shd w:val="clear" w:color="auto" w:fill="002F6C"/>
          </w:tcPr>
          <w:p>
            <w:pPr>
              <w:jc w:val="center"/>
              <w:spacing w:after="0"/>
              <w:rPr>
                <w:sz w:val="20"/>
                <w:szCs w:val="20"/>
                <w:color w:val="auto"/>
              </w:rPr>
            </w:pPr>
            <w:r>
              <w:rPr>
                <w:rFonts w:ascii="Arial" w:cs="Arial" w:eastAsia="Arial" w:hAnsi="Arial"/>
                <w:sz w:val="14"/>
                <w:szCs w:val="14"/>
                <w:color w:val="FFFFFF"/>
              </w:rPr>
              <w:t>50% PSUs</w:t>
            </w:r>
          </w:p>
        </w:tc>
        <w:tc>
          <w:tcPr>
            <w:tcW w:w="1900" w:type="dxa"/>
            <w:vAlign w:val="bottom"/>
            <w:vMerge w:val="restart"/>
            <w:shd w:val="clear" w:color="auto" w:fill="002F6C"/>
          </w:tcPr>
          <w:p>
            <w:pPr>
              <w:jc w:val="right"/>
              <w:ind w:right="510"/>
              <w:spacing w:after="0"/>
              <w:rPr>
                <w:sz w:val="20"/>
                <w:szCs w:val="20"/>
                <w:color w:val="auto"/>
              </w:rPr>
            </w:pPr>
            <w:r>
              <w:rPr>
                <w:rFonts w:ascii="Arial" w:cs="Arial" w:eastAsia="Arial" w:hAnsi="Arial"/>
                <w:sz w:val="14"/>
                <w:szCs w:val="14"/>
                <w:color w:val="FFFFFF"/>
              </w:rPr>
              <w:t>20% LTIP</w:t>
            </w:r>
          </w:p>
        </w:tc>
        <w:tc>
          <w:tcPr>
            <w:tcW w:w="1900" w:type="dxa"/>
            <w:vAlign w:val="bottom"/>
            <w:vMerge w:val="restart"/>
            <w:shd w:val="clear" w:color="auto" w:fill="002F6C"/>
          </w:tcPr>
          <w:p>
            <w:pPr>
              <w:jc w:val="center"/>
              <w:ind w:left="50"/>
              <w:spacing w:after="0"/>
              <w:rPr>
                <w:sz w:val="20"/>
                <w:szCs w:val="20"/>
                <w:color w:val="auto"/>
              </w:rPr>
            </w:pPr>
            <w:r>
              <w:rPr>
                <w:rFonts w:ascii="Arial" w:cs="Arial" w:eastAsia="Arial" w:hAnsi="Arial"/>
                <w:sz w:val="14"/>
                <w:szCs w:val="14"/>
                <w:color w:val="FFFFFF"/>
              </w:rPr>
              <w:t>30% RSUs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1080" w:type="dxa"/>
            <w:vAlign w:val="bottom"/>
          </w:tcPr>
          <w:p>
            <w:pPr>
              <w:spacing w:after="0"/>
              <w:rPr>
                <w:sz w:val="10"/>
                <w:szCs w:val="10"/>
                <w:color w:val="auto"/>
              </w:rPr>
            </w:pPr>
          </w:p>
        </w:tc>
        <w:tc>
          <w:tcPr>
            <w:tcW w:w="1620" w:type="dxa"/>
            <w:vAlign w:val="bottom"/>
            <w:shd w:val="clear" w:color="auto" w:fill="E5E7EF"/>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40" w:type="dxa"/>
            <w:vAlign w:val="bottom"/>
            <w:shd w:val="clear" w:color="auto" w:fill="808080"/>
          </w:tcPr>
          <w:p>
            <w:pPr>
              <w:spacing w:after="0"/>
              <w:rPr>
                <w:sz w:val="10"/>
                <w:szCs w:val="10"/>
                <w:color w:val="auto"/>
              </w:rPr>
            </w:pPr>
          </w:p>
        </w:tc>
        <w:tc>
          <w:tcPr>
            <w:tcW w:w="200" w:type="dxa"/>
            <w:vAlign w:val="bottom"/>
          </w:tcPr>
          <w:p>
            <w:pPr>
              <w:spacing w:after="0"/>
              <w:rPr>
                <w:sz w:val="10"/>
                <w:szCs w:val="10"/>
                <w:color w:val="auto"/>
              </w:rPr>
            </w:pPr>
          </w:p>
        </w:tc>
        <w:tc>
          <w:tcPr>
            <w:tcW w:w="2040" w:type="dxa"/>
            <w:vAlign w:val="bottom"/>
            <w:vMerge w:val="continue"/>
            <w:shd w:val="clear" w:color="auto" w:fill="002F6C"/>
          </w:tcPr>
          <w:p>
            <w:pPr>
              <w:spacing w:after="0"/>
              <w:rPr>
                <w:sz w:val="10"/>
                <w:szCs w:val="10"/>
                <w:color w:val="auto"/>
              </w:rPr>
            </w:pPr>
          </w:p>
        </w:tc>
        <w:tc>
          <w:tcPr>
            <w:tcW w:w="1900" w:type="dxa"/>
            <w:vAlign w:val="bottom"/>
            <w:vMerge w:val="continue"/>
            <w:shd w:val="clear" w:color="auto" w:fill="002F6C"/>
          </w:tcPr>
          <w:p>
            <w:pPr>
              <w:spacing w:after="0"/>
              <w:rPr>
                <w:sz w:val="10"/>
                <w:szCs w:val="10"/>
                <w:color w:val="auto"/>
              </w:rPr>
            </w:pPr>
          </w:p>
        </w:tc>
        <w:tc>
          <w:tcPr>
            <w:tcW w:w="1900" w:type="dxa"/>
            <w:vAlign w:val="bottom"/>
            <w:vMerge w:val="continue"/>
            <w:shd w:val="clear" w:color="auto" w:fill="002F6C"/>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1080" w:type="dxa"/>
            <w:vAlign w:val="bottom"/>
            <w:tcBorders>
              <w:bottom w:val="single" w:sz="8" w:color="959595"/>
            </w:tcBorders>
          </w:tcPr>
          <w:p>
            <w:pPr>
              <w:ind w:left="20"/>
              <w:spacing w:after="0"/>
              <w:rPr>
                <w:sz w:val="20"/>
                <w:szCs w:val="20"/>
                <w:color w:val="auto"/>
              </w:rPr>
            </w:pPr>
            <w:r>
              <w:rPr>
                <w:rFonts w:ascii="Arial" w:cs="Arial" w:eastAsia="Arial" w:hAnsi="Arial"/>
                <w:sz w:val="17"/>
                <w:szCs w:val="17"/>
                <w:color w:val="auto"/>
              </w:rPr>
              <w:t>WHAT?</w:t>
            </w:r>
          </w:p>
        </w:tc>
        <w:tc>
          <w:tcPr>
            <w:tcW w:w="1620" w:type="dxa"/>
            <w:vAlign w:val="bottom"/>
            <w:tcBorders>
              <w:bottom w:val="single" w:sz="8" w:color="959595"/>
            </w:tcBorders>
          </w:tcPr>
          <w:p>
            <w:pPr>
              <w:jc w:val="center"/>
              <w:spacing w:after="0"/>
              <w:rPr>
                <w:sz w:val="20"/>
                <w:szCs w:val="20"/>
                <w:color w:val="auto"/>
              </w:rPr>
            </w:pPr>
            <w:r>
              <w:rPr>
                <w:rFonts w:ascii="Arial" w:cs="Arial" w:eastAsia="Arial" w:hAnsi="Arial"/>
                <w:sz w:val="13"/>
                <w:szCs w:val="13"/>
                <w:color w:val="auto"/>
                <w:w w:val="98"/>
              </w:rPr>
              <w:t>Cash</w:t>
            </w:r>
          </w:p>
        </w:tc>
        <w:tc>
          <w:tcPr>
            <w:tcW w:w="20" w:type="dxa"/>
            <w:vAlign w:val="bottom"/>
            <w:tcBorders>
              <w:bottom w:val="single" w:sz="8" w:color="959595"/>
            </w:tcBorders>
          </w:tcPr>
          <w:p>
            <w:pPr>
              <w:spacing w:after="0"/>
              <w:rPr>
                <w:sz w:val="18"/>
                <w:szCs w:val="18"/>
                <w:color w:val="auto"/>
              </w:rPr>
            </w:pPr>
          </w:p>
        </w:tc>
        <w:tc>
          <w:tcPr>
            <w:tcW w:w="240" w:type="dxa"/>
            <w:vAlign w:val="bottom"/>
            <w:tcBorders>
              <w:bottom w:val="single" w:sz="8" w:color="959595"/>
            </w:tcBorders>
          </w:tcPr>
          <w:p>
            <w:pPr>
              <w:spacing w:after="0"/>
              <w:rPr>
                <w:sz w:val="18"/>
                <w:szCs w:val="18"/>
                <w:color w:val="auto"/>
              </w:rPr>
            </w:pPr>
          </w:p>
        </w:tc>
        <w:tc>
          <w:tcPr>
            <w:tcW w:w="2240" w:type="dxa"/>
            <w:vAlign w:val="bottom"/>
            <w:tcBorders>
              <w:bottom w:val="single" w:sz="8" w:color="959595"/>
            </w:tcBorders>
          </w:tcPr>
          <w:p>
            <w:pPr>
              <w:jc w:val="center"/>
              <w:spacing w:after="0"/>
              <w:rPr>
                <w:sz w:val="20"/>
                <w:szCs w:val="20"/>
                <w:color w:val="auto"/>
              </w:rPr>
            </w:pPr>
            <w:r>
              <w:rPr>
                <w:rFonts w:ascii="Arial" w:cs="Arial" w:eastAsia="Arial" w:hAnsi="Arial"/>
                <w:sz w:val="13"/>
                <w:szCs w:val="13"/>
                <w:color w:val="auto"/>
              </w:rPr>
              <w:t>Cash</w:t>
            </w:r>
          </w:p>
        </w:tc>
        <w:tc>
          <w:tcPr>
            <w:tcW w:w="200" w:type="dxa"/>
            <w:vAlign w:val="bottom"/>
            <w:tcBorders>
              <w:bottom w:val="single" w:sz="8" w:color="959595"/>
            </w:tcBorders>
          </w:tcPr>
          <w:p>
            <w:pPr>
              <w:spacing w:after="0"/>
              <w:rPr>
                <w:sz w:val="18"/>
                <w:szCs w:val="18"/>
                <w:color w:val="auto"/>
              </w:rPr>
            </w:pPr>
          </w:p>
        </w:tc>
        <w:tc>
          <w:tcPr>
            <w:tcW w:w="2040" w:type="dxa"/>
            <w:vAlign w:val="bottom"/>
            <w:tcBorders>
              <w:bottom w:val="single" w:sz="8" w:color="959595"/>
            </w:tcBorders>
          </w:tcPr>
          <w:p>
            <w:pPr>
              <w:jc w:val="center"/>
              <w:spacing w:after="0"/>
              <w:rPr>
                <w:sz w:val="20"/>
                <w:szCs w:val="20"/>
                <w:color w:val="auto"/>
              </w:rPr>
            </w:pPr>
            <w:r>
              <w:rPr>
                <w:rFonts w:ascii="Arial" w:cs="Arial" w:eastAsia="Arial" w:hAnsi="Arial"/>
                <w:sz w:val="13"/>
                <w:szCs w:val="13"/>
                <w:color w:val="auto"/>
              </w:rPr>
              <w:t>Equity</w:t>
            </w:r>
          </w:p>
        </w:tc>
        <w:tc>
          <w:tcPr>
            <w:tcW w:w="1900" w:type="dxa"/>
            <w:vAlign w:val="bottom"/>
            <w:tcBorders>
              <w:bottom w:val="single" w:sz="8" w:color="959595"/>
            </w:tcBorders>
          </w:tcPr>
          <w:p>
            <w:pPr>
              <w:jc w:val="center"/>
              <w:spacing w:after="0"/>
              <w:rPr>
                <w:sz w:val="20"/>
                <w:szCs w:val="20"/>
                <w:color w:val="auto"/>
              </w:rPr>
            </w:pPr>
            <w:r>
              <w:rPr>
                <w:rFonts w:ascii="Arial" w:cs="Arial" w:eastAsia="Arial" w:hAnsi="Arial"/>
                <w:sz w:val="13"/>
                <w:szCs w:val="13"/>
                <w:color w:val="auto"/>
              </w:rPr>
              <w:t>Cash</w:t>
            </w:r>
          </w:p>
        </w:tc>
        <w:tc>
          <w:tcPr>
            <w:tcW w:w="1900" w:type="dxa"/>
            <w:vAlign w:val="bottom"/>
            <w:tcBorders>
              <w:bottom w:val="single" w:sz="8" w:color="959595"/>
            </w:tcBorders>
          </w:tcPr>
          <w:p>
            <w:pPr>
              <w:jc w:val="center"/>
              <w:ind w:left="50"/>
              <w:spacing w:after="0"/>
              <w:rPr>
                <w:sz w:val="20"/>
                <w:szCs w:val="20"/>
                <w:color w:val="auto"/>
              </w:rPr>
            </w:pPr>
            <w:r>
              <w:rPr>
                <w:rFonts w:ascii="Arial" w:cs="Arial" w:eastAsia="Arial" w:hAnsi="Arial"/>
                <w:sz w:val="13"/>
                <w:szCs w:val="13"/>
                <w:color w:val="auto"/>
              </w:rPr>
              <w:t>Equity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080" w:type="dxa"/>
            <w:vAlign w:val="bottom"/>
          </w:tcPr>
          <w:p>
            <w:pPr>
              <w:ind w:left="20"/>
              <w:spacing w:after="0"/>
              <w:rPr>
                <w:sz w:val="20"/>
                <w:szCs w:val="20"/>
                <w:color w:val="auto"/>
              </w:rPr>
            </w:pPr>
            <w:r>
              <w:rPr>
                <w:rFonts w:ascii="Arial" w:cs="Arial" w:eastAsia="Arial" w:hAnsi="Arial"/>
                <w:sz w:val="17"/>
                <w:szCs w:val="17"/>
                <w:color w:val="auto"/>
              </w:rPr>
              <w:t>WHEN?</w:t>
            </w:r>
          </w:p>
        </w:tc>
        <w:tc>
          <w:tcPr>
            <w:tcW w:w="1620" w:type="dxa"/>
            <w:vAlign w:val="bottom"/>
          </w:tcPr>
          <w:p>
            <w:pPr>
              <w:jc w:val="center"/>
              <w:spacing w:after="0"/>
              <w:rPr>
                <w:sz w:val="20"/>
                <w:szCs w:val="20"/>
                <w:color w:val="auto"/>
              </w:rPr>
            </w:pPr>
            <w:r>
              <w:rPr>
                <w:rFonts w:ascii="Arial" w:cs="Arial" w:eastAsia="Arial" w:hAnsi="Arial"/>
                <w:sz w:val="13"/>
                <w:szCs w:val="13"/>
                <w:color w:val="auto"/>
              </w:rPr>
              <w:t>Annual</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3"/>
                <w:szCs w:val="13"/>
                <w:color w:val="auto"/>
              </w:rPr>
              <w:t>Annual</w:t>
            </w:r>
          </w:p>
        </w:tc>
        <w:tc>
          <w:tcPr>
            <w:tcW w:w="20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3"/>
                <w:szCs w:val="13"/>
                <w:color w:val="auto"/>
              </w:rPr>
              <w:t>3-year</w:t>
            </w:r>
          </w:p>
        </w:tc>
        <w:tc>
          <w:tcPr>
            <w:tcW w:w="1900" w:type="dxa"/>
            <w:vAlign w:val="bottom"/>
          </w:tcPr>
          <w:p>
            <w:pPr>
              <w:jc w:val="center"/>
              <w:spacing w:after="0"/>
              <w:rPr>
                <w:sz w:val="20"/>
                <w:szCs w:val="20"/>
                <w:color w:val="auto"/>
              </w:rPr>
            </w:pPr>
            <w:r>
              <w:rPr>
                <w:rFonts w:ascii="Arial" w:cs="Arial" w:eastAsia="Arial" w:hAnsi="Arial"/>
                <w:sz w:val="13"/>
                <w:szCs w:val="13"/>
                <w:color w:val="auto"/>
              </w:rPr>
              <w:t>3-year</w:t>
            </w:r>
          </w:p>
        </w:tc>
        <w:tc>
          <w:tcPr>
            <w:tcW w:w="1900" w:type="dxa"/>
            <w:vAlign w:val="bottom"/>
          </w:tcPr>
          <w:p>
            <w:pPr>
              <w:jc w:val="center"/>
              <w:ind w:left="10"/>
              <w:spacing w:after="0"/>
              <w:rPr>
                <w:sz w:val="20"/>
                <w:szCs w:val="20"/>
                <w:color w:val="auto"/>
              </w:rPr>
            </w:pPr>
            <w:r>
              <w:rPr>
                <w:rFonts w:ascii="Arial" w:cs="Arial" w:eastAsia="Arial" w:hAnsi="Arial"/>
                <w:sz w:val="13"/>
                <w:szCs w:val="13"/>
                <w:color w:val="auto"/>
              </w:rPr>
              <w:t>3-year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1080" w:type="dxa"/>
            <w:vAlign w:val="bottom"/>
            <w:tcBorders>
              <w:bottom w:val="single" w:sz="8" w:color="959595"/>
            </w:tcBorders>
          </w:tcPr>
          <w:p>
            <w:pPr>
              <w:spacing w:after="0"/>
              <w:rPr>
                <w:sz w:val="10"/>
                <w:szCs w:val="10"/>
                <w:color w:val="auto"/>
              </w:rPr>
            </w:pPr>
          </w:p>
        </w:tc>
        <w:tc>
          <w:tcPr>
            <w:tcW w:w="1620" w:type="dxa"/>
            <w:vAlign w:val="bottom"/>
            <w:tcBorders>
              <w:bottom w:val="single" w:sz="8" w:color="959595"/>
            </w:tcBorders>
          </w:tcPr>
          <w:p>
            <w:pPr>
              <w:spacing w:after="0"/>
              <w:rPr>
                <w:sz w:val="10"/>
                <w:szCs w:val="10"/>
                <w:color w:val="auto"/>
              </w:rPr>
            </w:pPr>
          </w:p>
        </w:tc>
        <w:tc>
          <w:tcPr>
            <w:tcW w:w="20" w:type="dxa"/>
            <w:vAlign w:val="bottom"/>
            <w:tcBorders>
              <w:bottom w:val="single" w:sz="8" w:color="959595"/>
            </w:tcBorders>
          </w:tcPr>
          <w:p>
            <w:pPr>
              <w:spacing w:after="0"/>
              <w:rPr>
                <w:sz w:val="10"/>
                <w:szCs w:val="10"/>
                <w:color w:val="auto"/>
              </w:rPr>
            </w:pPr>
          </w:p>
        </w:tc>
        <w:tc>
          <w:tcPr>
            <w:tcW w:w="240" w:type="dxa"/>
            <w:vAlign w:val="bottom"/>
            <w:tcBorders>
              <w:bottom w:val="single" w:sz="8" w:color="959595"/>
            </w:tcBorders>
          </w:tcPr>
          <w:p>
            <w:pPr>
              <w:spacing w:after="0"/>
              <w:rPr>
                <w:sz w:val="10"/>
                <w:szCs w:val="10"/>
                <w:color w:val="auto"/>
              </w:rPr>
            </w:pPr>
          </w:p>
        </w:tc>
        <w:tc>
          <w:tcPr>
            <w:tcW w:w="2240" w:type="dxa"/>
            <w:vAlign w:val="bottom"/>
            <w:tcBorders>
              <w:bottom w:val="single" w:sz="8" w:color="959595"/>
            </w:tcBorders>
          </w:tcPr>
          <w:p>
            <w:pPr>
              <w:spacing w:after="0"/>
              <w:rPr>
                <w:sz w:val="10"/>
                <w:szCs w:val="10"/>
                <w:color w:val="auto"/>
              </w:rPr>
            </w:pPr>
          </w:p>
        </w:tc>
        <w:tc>
          <w:tcPr>
            <w:tcW w:w="200" w:type="dxa"/>
            <w:vAlign w:val="bottom"/>
            <w:tcBorders>
              <w:bottom w:val="single" w:sz="8" w:color="959595"/>
            </w:tcBorders>
          </w:tcPr>
          <w:p>
            <w:pPr>
              <w:spacing w:after="0"/>
              <w:rPr>
                <w:sz w:val="10"/>
                <w:szCs w:val="10"/>
                <w:color w:val="auto"/>
              </w:rPr>
            </w:pPr>
          </w:p>
        </w:tc>
        <w:tc>
          <w:tcPr>
            <w:tcW w:w="2040" w:type="dxa"/>
            <w:vAlign w:val="bottom"/>
            <w:tcBorders>
              <w:bottom w:val="single" w:sz="8" w:color="959595"/>
            </w:tcBorders>
          </w:tcPr>
          <w:p>
            <w:pPr>
              <w:jc w:val="center"/>
              <w:spacing w:after="0" w:line="121" w:lineRule="exact"/>
              <w:rPr>
                <w:sz w:val="20"/>
                <w:szCs w:val="20"/>
                <w:color w:val="auto"/>
              </w:rPr>
            </w:pPr>
            <w:r>
              <w:rPr>
                <w:rFonts w:ascii="Arial" w:cs="Arial" w:eastAsia="Arial" w:hAnsi="Arial"/>
                <w:sz w:val="13"/>
                <w:szCs w:val="13"/>
                <w:color w:val="auto"/>
              </w:rPr>
              <w:t>Performance Cycle</w:t>
            </w:r>
          </w:p>
        </w:tc>
        <w:tc>
          <w:tcPr>
            <w:tcW w:w="1900" w:type="dxa"/>
            <w:vAlign w:val="bottom"/>
            <w:tcBorders>
              <w:bottom w:val="single" w:sz="8" w:color="959595"/>
            </w:tcBorders>
          </w:tcPr>
          <w:p>
            <w:pPr>
              <w:jc w:val="center"/>
              <w:spacing w:after="0" w:line="121" w:lineRule="exact"/>
              <w:rPr>
                <w:sz w:val="20"/>
                <w:szCs w:val="20"/>
                <w:color w:val="auto"/>
              </w:rPr>
            </w:pPr>
            <w:r>
              <w:rPr>
                <w:rFonts w:ascii="Arial" w:cs="Arial" w:eastAsia="Arial" w:hAnsi="Arial"/>
                <w:sz w:val="13"/>
                <w:szCs w:val="13"/>
                <w:color w:val="auto"/>
              </w:rPr>
              <w:t>Performance Cycle</w:t>
            </w:r>
          </w:p>
        </w:tc>
        <w:tc>
          <w:tcPr>
            <w:tcW w:w="1900" w:type="dxa"/>
            <w:vAlign w:val="bottom"/>
            <w:tcBorders>
              <w:bottom w:val="single" w:sz="8" w:color="959595"/>
            </w:tcBorders>
          </w:tcPr>
          <w:p>
            <w:pPr>
              <w:jc w:val="center"/>
              <w:ind w:left="50"/>
              <w:spacing w:after="0" w:line="121" w:lineRule="exact"/>
              <w:rPr>
                <w:sz w:val="20"/>
                <w:szCs w:val="20"/>
                <w:color w:val="auto"/>
              </w:rPr>
            </w:pPr>
            <w:r>
              <w:rPr>
                <w:rFonts w:ascii="Arial" w:cs="Arial" w:eastAsia="Arial" w:hAnsi="Arial"/>
                <w:sz w:val="13"/>
                <w:szCs w:val="13"/>
                <w:color w:val="auto"/>
              </w:rPr>
              <w:t>Cliff Vesting</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10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70%Financial</w:t>
            </w:r>
          </w:p>
        </w:tc>
        <w:tc>
          <w:tcPr>
            <w:tcW w:w="200" w:type="dxa"/>
            <w:vAlign w:val="bottom"/>
          </w:tcPr>
          <w:p>
            <w:pPr>
              <w:spacing w:after="0"/>
              <w:rPr>
                <w:sz w:val="12"/>
                <w:szCs w:val="12"/>
                <w:color w:val="auto"/>
              </w:rPr>
            </w:pPr>
          </w:p>
        </w:tc>
        <w:tc>
          <w:tcPr>
            <w:tcW w:w="3940" w:type="dxa"/>
            <w:vAlign w:val="bottom"/>
            <w:gridSpan w:val="2"/>
          </w:tcPr>
          <w:p>
            <w:pPr>
              <w:jc w:val="right"/>
              <w:ind w:right="1410"/>
              <w:spacing w:after="0" w:line="141" w:lineRule="exact"/>
              <w:rPr>
                <w:sz w:val="20"/>
                <w:szCs w:val="20"/>
                <w:color w:val="auto"/>
              </w:rPr>
            </w:pPr>
            <w:r>
              <w:rPr>
                <w:rFonts w:ascii="Arial" w:cs="Arial" w:eastAsia="Arial" w:hAnsi="Arial"/>
                <w:sz w:val="14"/>
                <w:szCs w:val="14"/>
                <w:b w:val="1"/>
                <w:bCs w:val="1"/>
                <w:color w:val="auto"/>
              </w:rPr>
              <w:t>Relative TSR (50%)</w:t>
            </w:r>
          </w:p>
        </w:tc>
        <w:tc>
          <w:tcPr>
            <w:tcW w:w="1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1080" w:type="dxa"/>
            <w:vAlign w:val="bottom"/>
            <w:vMerge w:val="restart"/>
          </w:tcPr>
          <w:p>
            <w:pPr>
              <w:ind w:left="20"/>
              <w:spacing w:after="0" w:line="139" w:lineRule="exact"/>
              <w:rPr>
                <w:sz w:val="20"/>
                <w:szCs w:val="20"/>
                <w:color w:val="auto"/>
              </w:rPr>
            </w:pPr>
            <w:r>
              <w:rPr>
                <w:rFonts w:ascii="Arial" w:cs="Arial" w:eastAsia="Arial" w:hAnsi="Arial"/>
                <w:sz w:val="16"/>
                <w:szCs w:val="16"/>
                <w:color w:val="auto"/>
              </w:rPr>
              <w:t>HOW?</w:t>
            </w:r>
          </w:p>
        </w:tc>
        <w:tc>
          <w:tcPr>
            <w:tcW w:w="1620" w:type="dxa"/>
            <w:vAlign w:val="bottom"/>
            <w:vMerge w:val="restart"/>
          </w:tcPr>
          <w:p>
            <w:pPr>
              <w:ind w:left="20"/>
              <w:spacing w:after="0" w:line="139" w:lineRule="exact"/>
              <w:rPr>
                <w:sz w:val="20"/>
                <w:szCs w:val="20"/>
                <w:color w:val="auto"/>
              </w:rPr>
            </w:pPr>
            <w:r>
              <w:rPr>
                <w:rFonts w:ascii="Arial" w:cs="Arial" w:eastAsia="Arial" w:hAnsi="Arial"/>
                <w:sz w:val="14"/>
                <w:szCs w:val="14"/>
                <w:color w:val="auto"/>
              </w:rPr>
              <w:t>Market rate, as well as</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3940" w:type="dxa"/>
            <w:vAlign w:val="bottom"/>
            <w:gridSpan w:val="2"/>
            <w:vMerge w:val="restart"/>
          </w:tcPr>
          <w:p>
            <w:pPr>
              <w:jc w:val="right"/>
              <w:ind w:right="1410"/>
              <w:spacing w:after="0" w:line="139" w:lineRule="exact"/>
              <w:rPr>
                <w:sz w:val="20"/>
                <w:szCs w:val="20"/>
                <w:color w:val="auto"/>
              </w:rPr>
            </w:pPr>
            <w:r>
              <w:rPr>
                <w:rFonts w:ascii="Arial" w:cs="Arial" w:eastAsia="Arial" w:hAnsi="Arial"/>
                <w:sz w:val="14"/>
                <w:szCs w:val="14"/>
                <w:b w:val="1"/>
                <w:bCs w:val="1"/>
                <w:color w:val="auto"/>
              </w:rPr>
              <w:t>ROIC** (25%)</w:t>
            </w:r>
          </w:p>
        </w:tc>
        <w:tc>
          <w:tcPr>
            <w:tcW w:w="1900" w:type="dxa"/>
            <w:vAlign w:val="bottom"/>
            <w:vMerge w:val="restart"/>
          </w:tcPr>
          <w:p>
            <w:pPr>
              <w:ind w:left="140"/>
              <w:spacing w:after="0" w:line="139" w:lineRule="exact"/>
              <w:rPr>
                <w:sz w:val="20"/>
                <w:szCs w:val="20"/>
                <w:color w:val="auto"/>
              </w:rPr>
            </w:pPr>
            <w:r>
              <w:rPr>
                <w:rFonts w:ascii="Arial" w:cs="Arial" w:eastAsia="Arial" w:hAnsi="Arial"/>
                <w:sz w:val="14"/>
                <w:szCs w:val="14"/>
                <w:color w:val="auto"/>
              </w:rPr>
              <w:t>Value delivered through</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1080" w:type="dxa"/>
            <w:vAlign w:val="bottom"/>
            <w:vMerge w:val="continue"/>
          </w:tcPr>
          <w:p>
            <w:pPr>
              <w:spacing w:after="0"/>
              <w:rPr>
                <w:sz w:val="2"/>
                <w:szCs w:val="2"/>
                <w:color w:val="auto"/>
              </w:rPr>
            </w:pPr>
          </w:p>
        </w:tc>
        <w:tc>
          <w:tcPr>
            <w:tcW w:w="1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940" w:type="dxa"/>
            <w:vAlign w:val="bottom"/>
            <w:gridSpan w:val="2"/>
            <w:vMerge w:val="continue"/>
          </w:tcPr>
          <w:p>
            <w:pPr>
              <w:spacing w:after="0"/>
              <w:rPr>
                <w:sz w:val="2"/>
                <w:szCs w:val="2"/>
                <w:color w:val="auto"/>
              </w:rPr>
            </w:pPr>
          </w:p>
        </w:tc>
        <w:tc>
          <w:tcPr>
            <w:tcW w:w="190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080" w:type="dxa"/>
            <w:vAlign w:val="bottom"/>
          </w:tcPr>
          <w:p>
            <w:pPr>
              <w:spacing w:after="0"/>
              <w:rPr>
                <w:sz w:val="13"/>
                <w:szCs w:val="13"/>
                <w:color w:val="auto"/>
              </w:rPr>
            </w:pPr>
          </w:p>
        </w:tc>
        <w:tc>
          <w:tcPr>
            <w:tcW w:w="1620" w:type="dxa"/>
            <w:vAlign w:val="bottom"/>
          </w:tcPr>
          <w:p>
            <w:pPr>
              <w:ind w:left="20"/>
              <w:spacing w:after="0" w:line="157" w:lineRule="exact"/>
              <w:rPr>
                <w:sz w:val="20"/>
                <w:szCs w:val="20"/>
                <w:color w:val="auto"/>
              </w:rPr>
            </w:pPr>
            <w:r>
              <w:rPr>
                <w:rFonts w:ascii="Arial" w:cs="Arial" w:eastAsia="Arial" w:hAnsi="Arial"/>
                <w:sz w:val="14"/>
                <w:szCs w:val="14"/>
                <w:color w:val="auto"/>
              </w:rPr>
              <w:t>internal pay equity,</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tcPr>
          <w:p>
            <w:pPr>
              <w:ind w:left="20"/>
              <w:spacing w:after="0" w:line="157" w:lineRule="exact"/>
              <w:rPr>
                <w:sz w:val="20"/>
                <w:szCs w:val="20"/>
                <w:color w:val="auto"/>
              </w:rPr>
            </w:pPr>
            <w:r>
              <w:rPr>
                <w:rFonts w:ascii="Arial" w:cs="Arial" w:eastAsia="Arial" w:hAnsi="Arial"/>
                <w:sz w:val="14"/>
                <w:szCs w:val="14"/>
                <w:color w:val="auto"/>
              </w:rPr>
              <w:t>20% Sales, 40% Segment</w:t>
            </w:r>
          </w:p>
        </w:tc>
        <w:tc>
          <w:tcPr>
            <w:tcW w:w="200" w:type="dxa"/>
            <w:vAlign w:val="bottom"/>
          </w:tcPr>
          <w:p>
            <w:pPr>
              <w:spacing w:after="0"/>
              <w:rPr>
                <w:sz w:val="13"/>
                <w:szCs w:val="13"/>
                <w:color w:val="auto"/>
              </w:rPr>
            </w:pPr>
          </w:p>
        </w:tc>
        <w:tc>
          <w:tcPr>
            <w:tcW w:w="3940" w:type="dxa"/>
            <w:vAlign w:val="bottom"/>
            <w:gridSpan w:val="2"/>
          </w:tcPr>
          <w:p>
            <w:pPr>
              <w:jc w:val="right"/>
              <w:ind w:right="1410"/>
              <w:spacing w:after="0" w:line="157" w:lineRule="exact"/>
              <w:rPr>
                <w:sz w:val="20"/>
                <w:szCs w:val="20"/>
                <w:color w:val="auto"/>
              </w:rPr>
            </w:pPr>
            <w:r>
              <w:rPr>
                <w:rFonts w:ascii="Arial" w:cs="Arial" w:eastAsia="Arial" w:hAnsi="Arial"/>
                <w:sz w:val="14"/>
                <w:szCs w:val="14"/>
                <w:b w:val="1"/>
                <w:bCs w:val="1"/>
                <w:color w:val="auto"/>
              </w:rPr>
              <w:t>Performance Cash** (25%)</w:t>
            </w:r>
          </w:p>
        </w:tc>
        <w:tc>
          <w:tcPr>
            <w:tcW w:w="1900" w:type="dxa"/>
            <w:vAlign w:val="bottom"/>
          </w:tcPr>
          <w:p>
            <w:pPr>
              <w:ind w:left="140"/>
              <w:spacing w:after="0" w:line="157" w:lineRule="exact"/>
              <w:rPr>
                <w:sz w:val="20"/>
                <w:szCs w:val="20"/>
                <w:color w:val="auto"/>
              </w:rPr>
            </w:pPr>
            <w:r>
              <w:rPr>
                <w:rFonts w:ascii="Arial" w:cs="Arial" w:eastAsia="Arial" w:hAnsi="Arial"/>
                <w:sz w:val="14"/>
                <w:szCs w:val="14"/>
                <w:color w:val="auto"/>
              </w:rPr>
              <w:t>long-term stock price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080" w:type="dxa"/>
            <w:vAlign w:val="bottom"/>
            <w:vMerge w:val="restart"/>
          </w:tcPr>
          <w:p>
            <w:pPr>
              <w:ind w:left="20"/>
              <w:spacing w:after="0"/>
              <w:rPr>
                <w:sz w:val="20"/>
                <w:szCs w:val="20"/>
                <w:color w:val="auto"/>
              </w:rPr>
            </w:pPr>
            <w:r>
              <w:rPr>
                <w:rFonts w:ascii="Arial" w:cs="Arial" w:eastAsia="Arial" w:hAnsi="Arial"/>
                <w:sz w:val="14"/>
                <w:szCs w:val="14"/>
                <w:color w:val="auto"/>
              </w:rPr>
              <w:t>Measures,</w:t>
            </w:r>
          </w:p>
        </w:tc>
        <w:tc>
          <w:tcPr>
            <w:tcW w:w="1620" w:type="dxa"/>
            <w:vAlign w:val="bottom"/>
            <w:vMerge w:val="restart"/>
          </w:tcPr>
          <w:p>
            <w:pPr>
              <w:ind w:left="20"/>
              <w:spacing w:after="0"/>
              <w:rPr>
                <w:sz w:val="20"/>
                <w:szCs w:val="20"/>
                <w:color w:val="auto"/>
              </w:rPr>
            </w:pPr>
            <w:r>
              <w:rPr>
                <w:rFonts w:ascii="Arial" w:cs="Arial" w:eastAsia="Arial" w:hAnsi="Arial"/>
                <w:sz w:val="14"/>
                <w:szCs w:val="14"/>
                <w:color w:val="auto"/>
              </w:rPr>
              <w:t>experience and critical</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Operating Profit, 40% Cash from</w:t>
            </w:r>
          </w:p>
        </w:tc>
        <w:tc>
          <w:tcPr>
            <w:tcW w:w="200" w:type="dxa"/>
            <w:vAlign w:val="bottom"/>
          </w:tcPr>
          <w:p>
            <w:pPr>
              <w:spacing w:after="0"/>
              <w:rPr>
                <w:sz w:val="11"/>
                <w:szCs w:val="11"/>
                <w:color w:val="auto"/>
              </w:rPr>
            </w:pPr>
          </w:p>
        </w:tc>
        <w:tc>
          <w:tcPr>
            <w:tcW w:w="2040" w:type="dxa"/>
            <w:vAlign w:val="bottom"/>
            <w:tcBorders>
              <w:bottom w:val="single" w:sz="8" w:color="959595"/>
            </w:tcBorders>
          </w:tcPr>
          <w:p>
            <w:pPr>
              <w:spacing w:after="0"/>
              <w:rPr>
                <w:sz w:val="11"/>
                <w:szCs w:val="11"/>
                <w:color w:val="auto"/>
              </w:rPr>
            </w:pPr>
          </w:p>
        </w:tc>
        <w:tc>
          <w:tcPr>
            <w:tcW w:w="1900" w:type="dxa"/>
            <w:vAlign w:val="bottom"/>
            <w:tcBorders>
              <w:bottom w:val="single" w:sz="8" w:color="959595"/>
            </w:tcBorders>
          </w:tcPr>
          <w:p>
            <w:pPr>
              <w:spacing w:after="0"/>
              <w:rPr>
                <w:sz w:val="11"/>
                <w:szCs w:val="11"/>
                <w:color w:val="auto"/>
              </w:rPr>
            </w:pPr>
          </w:p>
        </w:tc>
        <w:tc>
          <w:tcPr>
            <w:tcW w:w="1900" w:type="dxa"/>
            <w:vAlign w:val="bottom"/>
            <w:vMerge w:val="restart"/>
          </w:tcPr>
          <w:p>
            <w:pPr>
              <w:ind w:left="140"/>
              <w:spacing w:after="0"/>
              <w:rPr>
                <w:sz w:val="20"/>
                <w:szCs w:val="20"/>
                <w:color w:val="auto"/>
              </w:rPr>
            </w:pPr>
            <w:r>
              <w:rPr>
                <w:rFonts w:ascii="Arial" w:cs="Arial" w:eastAsia="Arial" w:hAnsi="Arial"/>
                <w:sz w:val="14"/>
                <w:szCs w:val="14"/>
                <w:color w:val="auto"/>
              </w:rPr>
              <w:t>performance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62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90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1080" w:type="dxa"/>
            <w:vAlign w:val="bottom"/>
          </w:tcPr>
          <w:p>
            <w:pPr>
              <w:ind w:left="20"/>
              <w:spacing w:after="0" w:line="99" w:lineRule="exact"/>
              <w:rPr>
                <w:sz w:val="20"/>
                <w:szCs w:val="20"/>
                <w:color w:val="auto"/>
              </w:rPr>
            </w:pPr>
            <w:r>
              <w:rPr>
                <w:rFonts w:ascii="Arial" w:cs="Arial" w:eastAsia="Arial" w:hAnsi="Arial"/>
                <w:sz w:val="11"/>
                <w:szCs w:val="11"/>
                <w:color w:val="auto"/>
              </w:rPr>
              <w:t>Weightings &amp;</w:t>
            </w:r>
          </w:p>
        </w:tc>
        <w:tc>
          <w:tcPr>
            <w:tcW w:w="1620" w:type="dxa"/>
            <w:vAlign w:val="bottom"/>
            <w:vMerge w:val="restart"/>
          </w:tcPr>
          <w:p>
            <w:pPr>
              <w:ind w:left="20"/>
              <w:spacing w:after="0"/>
              <w:rPr>
                <w:sz w:val="20"/>
                <w:szCs w:val="20"/>
                <w:color w:val="auto"/>
              </w:rPr>
            </w:pPr>
            <w:r>
              <w:rPr>
                <w:rFonts w:ascii="Arial" w:cs="Arial" w:eastAsia="Arial" w:hAnsi="Arial"/>
                <w:sz w:val="14"/>
                <w:szCs w:val="14"/>
                <w:color w:val="auto"/>
              </w:rPr>
              <w:t>skills</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40" w:type="dxa"/>
            <w:vAlign w:val="bottom"/>
          </w:tcPr>
          <w:p>
            <w:pPr>
              <w:ind w:left="20"/>
              <w:spacing w:after="0" w:line="99" w:lineRule="exact"/>
              <w:rPr>
                <w:sz w:val="20"/>
                <w:szCs w:val="20"/>
                <w:color w:val="auto"/>
              </w:rPr>
            </w:pPr>
            <w:r>
              <w:rPr>
                <w:rFonts w:ascii="Arial" w:cs="Arial" w:eastAsia="Arial" w:hAnsi="Arial"/>
                <w:sz w:val="11"/>
                <w:szCs w:val="11"/>
                <w:color w:val="auto"/>
              </w:rPr>
              <w:t>Operations**</w:t>
            </w:r>
          </w:p>
        </w:tc>
        <w:tc>
          <w:tcPr>
            <w:tcW w:w="200" w:type="dxa"/>
            <w:vAlign w:val="bottom"/>
          </w:tcPr>
          <w:p>
            <w:pPr>
              <w:spacing w:after="0"/>
              <w:rPr>
                <w:sz w:val="8"/>
                <w:szCs w:val="8"/>
                <w:color w:val="auto"/>
              </w:rPr>
            </w:pPr>
          </w:p>
        </w:tc>
        <w:tc>
          <w:tcPr>
            <w:tcW w:w="2040" w:type="dxa"/>
            <w:vAlign w:val="bottom"/>
            <w:vMerge w:val="restart"/>
          </w:tcPr>
          <w:p>
            <w:pPr>
              <w:ind w:left="60"/>
              <w:spacing w:after="0"/>
              <w:rPr>
                <w:sz w:val="20"/>
                <w:szCs w:val="20"/>
                <w:color w:val="auto"/>
              </w:rPr>
            </w:pPr>
            <w:r>
              <w:rPr>
                <w:rFonts w:ascii="Arial" w:cs="Arial" w:eastAsia="Arial" w:hAnsi="Arial"/>
                <w:sz w:val="14"/>
                <w:szCs w:val="14"/>
                <w:color w:val="auto"/>
              </w:rPr>
              <w:t>• Award 0-200% of target # of</w:t>
            </w:r>
          </w:p>
        </w:tc>
        <w:tc>
          <w:tcPr>
            <w:tcW w:w="1900" w:type="dxa"/>
            <w:vAlign w:val="bottom"/>
            <w:vMerge w:val="restart"/>
          </w:tcPr>
          <w:p>
            <w:pPr>
              <w:jc w:val="center"/>
              <w:spacing w:after="0"/>
              <w:rPr>
                <w:sz w:val="20"/>
                <w:szCs w:val="20"/>
                <w:color w:val="auto"/>
              </w:rPr>
            </w:pPr>
            <w:r>
              <w:rPr>
                <w:rFonts w:ascii="Arial" w:cs="Arial" w:eastAsia="Arial" w:hAnsi="Arial"/>
                <w:sz w:val="14"/>
                <w:szCs w:val="14"/>
                <w:color w:val="auto"/>
              </w:rPr>
              <w:t>•  Payout 0-200% of target</w:t>
            </w:r>
          </w:p>
        </w:tc>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080" w:type="dxa"/>
            <w:vAlign w:val="bottom"/>
            <w:vMerge w:val="restart"/>
          </w:tcPr>
          <w:p>
            <w:pPr>
              <w:ind w:left="20"/>
              <w:spacing w:after="0"/>
              <w:rPr>
                <w:sz w:val="20"/>
                <w:szCs w:val="20"/>
                <w:color w:val="auto"/>
              </w:rPr>
            </w:pPr>
            <w:r>
              <w:rPr>
                <w:rFonts w:ascii="Arial" w:cs="Arial" w:eastAsia="Arial" w:hAnsi="Arial"/>
                <w:sz w:val="14"/>
                <w:szCs w:val="14"/>
                <w:color w:val="auto"/>
              </w:rPr>
              <w:t>Payouts</w:t>
            </w:r>
          </w:p>
        </w:tc>
        <w:tc>
          <w:tcPr>
            <w:tcW w:w="16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30% Strategic &amp; Operational</w:t>
            </w:r>
          </w:p>
        </w:tc>
        <w:tc>
          <w:tcPr>
            <w:tcW w:w="200" w:type="dxa"/>
            <w:vAlign w:val="bottom"/>
          </w:tcPr>
          <w:p>
            <w:pPr>
              <w:spacing w:after="0"/>
              <w:rPr>
                <w:sz w:val="8"/>
                <w:szCs w:val="8"/>
                <w:color w:val="auto"/>
              </w:rPr>
            </w:pPr>
          </w:p>
        </w:tc>
        <w:tc>
          <w:tcPr>
            <w:tcW w:w="2040" w:type="dxa"/>
            <w:vAlign w:val="bottom"/>
            <w:vMerge w:val="continue"/>
          </w:tcPr>
          <w:p>
            <w:pPr>
              <w:spacing w:after="0"/>
              <w:rPr>
                <w:sz w:val="8"/>
                <w:szCs w:val="8"/>
                <w:color w:val="auto"/>
              </w:rPr>
            </w:pPr>
          </w:p>
        </w:tc>
        <w:tc>
          <w:tcPr>
            <w:tcW w:w="1900" w:type="dxa"/>
            <w:vAlign w:val="bottom"/>
            <w:vMerge w:val="continue"/>
          </w:tcPr>
          <w:p>
            <w:pPr>
              <w:spacing w:after="0"/>
              <w:rPr>
                <w:sz w:val="8"/>
                <w:szCs w:val="8"/>
                <w:color w:val="auto"/>
              </w:rPr>
            </w:pPr>
          </w:p>
        </w:tc>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08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2040" w:type="dxa"/>
            <w:vAlign w:val="bottom"/>
            <w:vMerge w:val="restart"/>
          </w:tcPr>
          <w:p>
            <w:pPr>
              <w:ind w:left="140"/>
              <w:spacing w:after="0"/>
              <w:rPr>
                <w:sz w:val="20"/>
                <w:szCs w:val="20"/>
                <w:color w:val="auto"/>
              </w:rPr>
            </w:pPr>
            <w:r>
              <w:rPr>
                <w:rFonts w:ascii="Arial" w:cs="Arial" w:eastAsia="Arial" w:hAnsi="Arial"/>
                <w:sz w:val="14"/>
                <w:szCs w:val="14"/>
                <w:color w:val="auto"/>
              </w:rPr>
              <w:t>shares</w:t>
            </w:r>
          </w:p>
        </w:tc>
        <w:tc>
          <w:tcPr>
            <w:tcW w:w="1900" w:type="dxa"/>
            <w:vAlign w:val="bottom"/>
            <w:vMerge w:val="restart"/>
          </w:tcPr>
          <w:p>
            <w:pPr>
              <w:jc w:val="right"/>
              <w:ind w:right="90"/>
              <w:spacing w:after="0"/>
              <w:rPr>
                <w:sz w:val="20"/>
                <w:szCs w:val="20"/>
                <w:color w:val="auto"/>
              </w:rPr>
            </w:pPr>
            <w:r>
              <w:rPr>
                <w:rFonts w:ascii="Arial" w:cs="Arial" w:eastAsia="Arial" w:hAnsi="Arial"/>
                <w:sz w:val="14"/>
                <w:szCs w:val="14"/>
                <w:color w:val="auto"/>
              </w:rPr>
              <w:t>•  Relative TSR measure</w:t>
            </w:r>
          </w:p>
        </w:tc>
        <w:tc>
          <w:tcPr>
            <w:tcW w:w="1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10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Key Metrics: Focus Programs,</w:t>
            </w:r>
          </w:p>
        </w:tc>
        <w:tc>
          <w:tcPr>
            <w:tcW w:w="20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1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0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40" w:type="dxa"/>
            <w:vAlign w:val="bottom"/>
            <w:vMerge w:val="restart"/>
          </w:tcPr>
          <w:p>
            <w:pPr>
              <w:ind w:left="60"/>
              <w:spacing w:after="0"/>
              <w:rPr>
                <w:sz w:val="20"/>
                <w:szCs w:val="20"/>
                <w:color w:val="auto"/>
              </w:rPr>
            </w:pPr>
            <w:r>
              <w:rPr>
                <w:rFonts w:ascii="Arial" w:cs="Arial" w:eastAsia="Arial" w:hAnsi="Arial"/>
                <w:sz w:val="14"/>
                <w:szCs w:val="14"/>
                <w:color w:val="auto"/>
              </w:rPr>
              <w:t>•  Relative TSR measure</w:t>
            </w:r>
          </w:p>
        </w:tc>
        <w:tc>
          <w:tcPr>
            <w:tcW w:w="1900" w:type="dxa"/>
            <w:vAlign w:val="bottom"/>
            <w:vMerge w:val="restart"/>
          </w:tcPr>
          <w:p>
            <w:pPr>
              <w:jc w:val="center"/>
              <w:spacing w:after="0"/>
              <w:rPr>
                <w:sz w:val="20"/>
                <w:szCs w:val="20"/>
                <w:color w:val="auto"/>
              </w:rPr>
            </w:pPr>
            <w:r>
              <w:rPr>
                <w:rFonts w:ascii="Arial" w:cs="Arial" w:eastAsia="Arial" w:hAnsi="Arial"/>
                <w:sz w:val="14"/>
                <w:szCs w:val="14"/>
                <w:color w:val="auto"/>
              </w:rPr>
              <w:t>capped at 100% if TSR is</w:t>
            </w:r>
          </w:p>
        </w:tc>
        <w:tc>
          <w:tcPr>
            <w:tcW w:w="1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0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International, Mission Success®,</w:t>
            </w:r>
          </w:p>
        </w:tc>
        <w:tc>
          <w:tcPr>
            <w:tcW w:w="20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1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0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40" w:type="dxa"/>
            <w:vAlign w:val="bottom"/>
            <w:vMerge w:val="restart"/>
          </w:tcPr>
          <w:p>
            <w:pPr>
              <w:ind w:left="140"/>
              <w:spacing w:after="0"/>
              <w:rPr>
                <w:sz w:val="20"/>
                <w:szCs w:val="20"/>
                <w:color w:val="auto"/>
              </w:rPr>
            </w:pPr>
            <w:r>
              <w:rPr>
                <w:rFonts w:ascii="Arial" w:cs="Arial" w:eastAsia="Arial" w:hAnsi="Arial"/>
                <w:sz w:val="14"/>
                <w:szCs w:val="14"/>
                <w:color w:val="auto"/>
              </w:rPr>
              <w:t>capped at 100% if TSR is</w:t>
            </w:r>
          </w:p>
        </w:tc>
        <w:tc>
          <w:tcPr>
            <w:tcW w:w="1900" w:type="dxa"/>
            <w:vAlign w:val="bottom"/>
            <w:vMerge w:val="restart"/>
          </w:tcPr>
          <w:p>
            <w:pPr>
              <w:ind w:left="160"/>
              <w:spacing w:after="0"/>
              <w:rPr>
                <w:sz w:val="20"/>
                <w:szCs w:val="20"/>
                <w:color w:val="auto"/>
              </w:rPr>
            </w:pPr>
            <w:r>
              <w:rPr>
                <w:rFonts w:ascii="Arial" w:cs="Arial" w:eastAsia="Arial" w:hAnsi="Arial"/>
                <w:sz w:val="14"/>
                <w:szCs w:val="14"/>
                <w:color w:val="auto"/>
              </w:rPr>
              <w:t>negative</w:t>
            </w:r>
          </w:p>
        </w:tc>
        <w:tc>
          <w:tcPr>
            <w:tcW w:w="1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0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Enterprise Performance, Portfolio</w:t>
            </w:r>
          </w:p>
        </w:tc>
        <w:tc>
          <w:tcPr>
            <w:tcW w:w="20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900" w:type="dxa"/>
            <w:vAlign w:val="bottom"/>
            <w:vMerge w:val="continue"/>
          </w:tcPr>
          <w:p>
            <w:pPr>
              <w:spacing w:after="0"/>
              <w:rPr>
                <w:sz w:val="5"/>
                <w:szCs w:val="5"/>
                <w:color w:val="auto"/>
              </w:rPr>
            </w:pPr>
          </w:p>
        </w:tc>
        <w:tc>
          <w:tcPr>
            <w:tcW w:w="1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0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40" w:type="dxa"/>
            <w:vAlign w:val="bottom"/>
            <w:vMerge w:val="restart"/>
          </w:tcPr>
          <w:p>
            <w:pPr>
              <w:ind w:left="140"/>
              <w:spacing w:after="0"/>
              <w:rPr>
                <w:sz w:val="20"/>
                <w:szCs w:val="20"/>
                <w:color w:val="auto"/>
              </w:rPr>
            </w:pPr>
            <w:r>
              <w:rPr>
                <w:rFonts w:ascii="Arial" w:cs="Arial" w:eastAsia="Arial" w:hAnsi="Arial"/>
                <w:sz w:val="14"/>
                <w:szCs w:val="14"/>
                <w:color w:val="auto"/>
              </w:rPr>
              <w:t>negative</w:t>
            </w:r>
          </w:p>
        </w:tc>
        <w:tc>
          <w:tcPr>
            <w:tcW w:w="1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0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Shaping/Enterprise Initiatives,</w:t>
            </w:r>
          </w:p>
        </w:tc>
        <w:tc>
          <w:tcPr>
            <w:tcW w:w="200" w:type="dxa"/>
            <w:vAlign w:val="bottom"/>
          </w:tcPr>
          <w:p>
            <w:pPr>
              <w:spacing w:after="0"/>
              <w:rPr>
                <w:sz w:val="5"/>
                <w:szCs w:val="5"/>
                <w:color w:val="auto"/>
              </w:rPr>
            </w:pPr>
          </w:p>
        </w:tc>
        <w:tc>
          <w:tcPr>
            <w:tcW w:w="2040" w:type="dxa"/>
            <w:vAlign w:val="bottom"/>
            <w:vMerge w:val="continue"/>
          </w:tcPr>
          <w:p>
            <w:pPr>
              <w:spacing w:after="0"/>
              <w:rPr>
                <w:sz w:val="5"/>
                <w:szCs w:val="5"/>
                <w:color w:val="auto"/>
              </w:rPr>
            </w:pPr>
          </w:p>
        </w:tc>
        <w:tc>
          <w:tcPr>
            <w:tcW w:w="19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0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40" w:type="dxa"/>
            <w:vAlign w:val="bottom"/>
            <w:vMerge w:val="restart"/>
          </w:tcPr>
          <w:p>
            <w:pPr>
              <w:ind w:left="60"/>
              <w:spacing w:after="0"/>
              <w:rPr>
                <w:sz w:val="20"/>
                <w:szCs w:val="20"/>
                <w:color w:val="auto"/>
              </w:rPr>
            </w:pPr>
            <w:r>
              <w:rPr>
                <w:rFonts w:ascii="Arial" w:cs="Arial" w:eastAsia="Arial" w:hAnsi="Arial"/>
                <w:sz w:val="14"/>
                <w:szCs w:val="14"/>
                <w:color w:val="auto"/>
              </w:rPr>
              <w:t>• Value capped at 400% of</w:t>
            </w:r>
          </w:p>
        </w:tc>
        <w:tc>
          <w:tcPr>
            <w:tcW w:w="1900" w:type="dxa"/>
            <w:vAlign w:val="bottom"/>
          </w:tcPr>
          <w:p>
            <w:pPr>
              <w:spacing w:after="0"/>
              <w:rPr>
                <w:sz w:val="9"/>
                <w:szCs w:val="9"/>
                <w:color w:val="auto"/>
              </w:rPr>
            </w:pPr>
          </w:p>
        </w:tc>
        <w:tc>
          <w:tcPr>
            <w:tcW w:w="1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0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Innovation, Talent Management</w:t>
            </w:r>
          </w:p>
        </w:tc>
        <w:tc>
          <w:tcPr>
            <w:tcW w:w="20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0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40" w:type="dxa"/>
            <w:vAlign w:val="bottom"/>
            <w:vMerge w:val="restart"/>
          </w:tcPr>
          <w:p>
            <w:pPr>
              <w:ind w:left="140"/>
              <w:spacing w:after="0"/>
              <w:rPr>
                <w:sz w:val="20"/>
                <w:szCs w:val="20"/>
                <w:color w:val="auto"/>
              </w:rPr>
            </w:pPr>
            <w:r>
              <w:rPr>
                <w:rFonts w:ascii="Arial" w:cs="Arial" w:eastAsia="Arial" w:hAnsi="Arial"/>
                <w:sz w:val="14"/>
                <w:szCs w:val="14"/>
                <w:color w:val="auto"/>
              </w:rPr>
              <w:t>stock price on date of grant</w:t>
            </w:r>
          </w:p>
        </w:tc>
        <w:tc>
          <w:tcPr>
            <w:tcW w:w="19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40" w:type="dxa"/>
            <w:vAlign w:val="bottom"/>
            <w:vMerge w:val="restart"/>
          </w:tcPr>
          <w:p>
            <w:pPr>
              <w:ind w:left="20"/>
              <w:spacing w:after="0"/>
              <w:rPr>
                <w:sz w:val="20"/>
                <w:szCs w:val="20"/>
                <w:color w:val="auto"/>
              </w:rPr>
            </w:pPr>
            <w:r>
              <w:rPr>
                <w:rFonts w:ascii="Arial" w:cs="Arial" w:eastAsia="Arial" w:hAnsi="Arial"/>
                <w:sz w:val="14"/>
                <w:szCs w:val="14"/>
                <w:color w:val="auto"/>
              </w:rPr>
              <w:t>Payout: 0-200% of target</w:t>
            </w:r>
          </w:p>
        </w:tc>
        <w:tc>
          <w:tcPr>
            <w:tcW w:w="20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19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10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040" w:type="dxa"/>
            <w:vAlign w:val="bottom"/>
          </w:tcPr>
          <w:p>
            <w:pPr>
              <w:ind w:left="140"/>
              <w:spacing w:after="0"/>
              <w:rPr>
                <w:sz w:val="20"/>
                <w:szCs w:val="20"/>
                <w:color w:val="auto"/>
              </w:rPr>
            </w:pPr>
            <w:r>
              <w:rPr>
                <w:rFonts w:ascii="Arial" w:cs="Arial" w:eastAsia="Arial" w:hAnsi="Arial"/>
                <w:sz w:val="14"/>
                <w:szCs w:val="14"/>
                <w:color w:val="auto"/>
              </w:rPr>
              <w:t>x shares earned</w:t>
            </w:r>
          </w:p>
        </w:tc>
        <w:tc>
          <w:tcPr>
            <w:tcW w:w="19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329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7138035</wp:posOffset>
            </wp:positionH>
            <wp:positionV relativeFrom="paragraph">
              <wp:posOffset>-2014220</wp:posOffset>
            </wp:positionV>
            <wp:extent cx="8255" cy="342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255" cy="34290"/>
                    </a:xfrm>
                    <a:prstGeom prst="rect">
                      <a:avLst/>
                    </a:prstGeom>
                    <a:noFill/>
                  </pic:spPr>
                </pic:pic>
              </a:graphicData>
            </a:graphic>
          </wp:anchor>
        </w:drawing>
        <w:drawing>
          <wp:anchor simplePos="0" relativeHeight="251657728" behindDoc="1" locked="0" layoutInCell="0" allowOverlap="1">
            <wp:simplePos x="0" y="0"/>
            <wp:positionH relativeFrom="column">
              <wp:posOffset>1882140</wp:posOffset>
            </wp:positionH>
            <wp:positionV relativeFrom="paragraph">
              <wp:posOffset>-2014220</wp:posOffset>
            </wp:positionV>
            <wp:extent cx="8255" cy="342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255" cy="34290"/>
                    </a:xfrm>
                    <a:prstGeom prst="rect">
                      <a:avLst/>
                    </a:prstGeom>
                    <a:noFill/>
                  </pic:spPr>
                </pic:pic>
              </a:graphicData>
            </a:graphic>
          </wp:anchor>
        </w:drawing>
        <w:drawing>
          <wp:anchor simplePos="0" relativeHeight="251657728" behindDoc="1" locked="0" layoutInCell="0" allowOverlap="1">
            <wp:simplePos x="0" y="0"/>
            <wp:positionH relativeFrom="column">
              <wp:posOffset>1711325</wp:posOffset>
            </wp:positionH>
            <wp:positionV relativeFrom="paragraph">
              <wp:posOffset>-2014220</wp:posOffset>
            </wp:positionV>
            <wp:extent cx="8255" cy="342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255" cy="34290"/>
                    </a:xfrm>
                    <a:prstGeom prst="rect">
                      <a:avLst/>
                    </a:prstGeom>
                    <a:noFill/>
                  </pic:spPr>
                </pic:pic>
              </a:graphicData>
            </a:graphic>
          </wp:anchor>
        </w:drawing>
        <w:drawing>
          <wp:anchor simplePos="0" relativeHeight="251657728" behindDoc="1" locked="0" layoutInCell="0" allowOverlap="1">
            <wp:simplePos x="0" y="0"/>
            <wp:positionH relativeFrom="column">
              <wp:posOffset>687070</wp:posOffset>
            </wp:positionH>
            <wp:positionV relativeFrom="paragraph">
              <wp:posOffset>-2014220</wp:posOffset>
            </wp:positionV>
            <wp:extent cx="8255" cy="342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255" cy="34290"/>
                    </a:xfrm>
                    <a:prstGeom prst="rect">
                      <a:avLst/>
                    </a:prstGeom>
                    <a:noFill/>
                  </pic:spPr>
                </pic:pic>
              </a:graphicData>
            </a:graphic>
          </wp:anchor>
        </w:drawing>
        <w:drawing>
          <wp:anchor simplePos="0" relativeHeight="251657728" behindDoc="1" locked="0" layoutInCell="0" allowOverlap="1">
            <wp:simplePos x="0" y="0"/>
            <wp:positionH relativeFrom="column">
              <wp:posOffset>4829810</wp:posOffset>
            </wp:positionH>
            <wp:positionV relativeFrom="paragraph">
              <wp:posOffset>-1826260</wp:posOffset>
            </wp:positionV>
            <wp:extent cx="90424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904240" cy="8255"/>
                    </a:xfrm>
                    <a:prstGeom prst="rect">
                      <a:avLst/>
                    </a:prstGeom>
                    <a:noFill/>
                  </pic:spPr>
                </pic:pic>
              </a:graphicData>
            </a:graphic>
          </wp:anchor>
        </w:drawing>
      </w:r>
    </w:p>
    <w:p>
      <w:pPr>
        <w:sectPr>
          <w:pgSz w:w="11900" w:h="16838" w:orient="portrait"/>
          <w:cols w:equalWidth="0" w:num="1">
            <w:col w:w="11260"/>
          </w:cols>
          <w:pgMar w:left="320" w:top="254" w:right="319" w:bottom="1440" w:gutter="0" w:footer="0" w:header="0"/>
        </w:sectPr>
      </w:pP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780" w:type="dxa"/>
            <w:vAlign w:val="bottom"/>
          </w:tcPr>
          <w:p>
            <w:pPr>
              <w:spacing w:after="0"/>
              <w:rPr>
                <w:sz w:val="20"/>
                <w:szCs w:val="20"/>
                <w:color w:val="auto"/>
              </w:rPr>
            </w:pPr>
            <w:r>
              <w:rPr>
                <w:rFonts w:ascii="Arial" w:cs="Arial" w:eastAsia="Arial" w:hAnsi="Arial"/>
                <w:sz w:val="17"/>
                <w:szCs w:val="17"/>
                <w:color w:val="auto"/>
              </w:rPr>
              <w:t>WHY?</w:t>
            </w:r>
          </w:p>
        </w:tc>
        <w:tc>
          <w:tcPr>
            <w:tcW w:w="1900" w:type="dxa"/>
            <w:vAlign w:val="bottom"/>
            <w:vMerge w:val="restart"/>
          </w:tcPr>
          <w:p>
            <w:pPr>
              <w:ind w:left="300"/>
              <w:spacing w:after="0"/>
              <w:rPr>
                <w:sz w:val="20"/>
                <w:szCs w:val="20"/>
                <w:color w:val="auto"/>
              </w:rPr>
            </w:pPr>
            <w:r>
              <w:rPr>
                <w:rFonts w:ascii="Arial" w:cs="Arial" w:eastAsia="Arial" w:hAnsi="Arial"/>
                <w:sz w:val="14"/>
                <w:szCs w:val="14"/>
                <w:color w:val="auto"/>
              </w:rPr>
              <w:t>Provides competitive</w:t>
            </w:r>
          </w:p>
        </w:tc>
        <w:tc>
          <w:tcPr>
            <w:tcW w:w="2420" w:type="dxa"/>
            <w:vAlign w:val="bottom"/>
            <w:vMerge w:val="restart"/>
          </w:tcPr>
          <w:p>
            <w:pPr>
              <w:ind w:left="280"/>
              <w:spacing w:after="0"/>
              <w:rPr>
                <w:sz w:val="20"/>
                <w:szCs w:val="20"/>
                <w:color w:val="auto"/>
              </w:rPr>
            </w:pPr>
            <w:r>
              <w:rPr>
                <w:rFonts w:ascii="Arial" w:cs="Arial" w:eastAsia="Arial" w:hAnsi="Arial"/>
                <w:sz w:val="14"/>
                <w:szCs w:val="14"/>
                <w:color w:val="auto"/>
              </w:rPr>
              <w:t>Attracts and motivates executives</w:t>
            </w:r>
          </w:p>
        </w:tc>
        <w:tc>
          <w:tcPr>
            <w:tcW w:w="0" w:type="dxa"/>
            <w:vAlign w:val="bottom"/>
          </w:tcPr>
          <w:p>
            <w:pPr>
              <w:spacing w:after="0"/>
              <w:rPr>
                <w:sz w:val="1"/>
                <w:szCs w:val="1"/>
                <w:color w:val="auto"/>
              </w:rPr>
            </w:pPr>
          </w:p>
        </w:tc>
      </w:tr>
      <w:tr>
        <w:trPr>
          <w:trHeight w:val="99"/>
        </w:trPr>
        <w:tc>
          <w:tcPr>
            <w:tcW w:w="780" w:type="dxa"/>
            <w:vAlign w:val="bottom"/>
          </w:tcPr>
          <w:p>
            <w:pPr>
              <w:spacing w:after="0"/>
              <w:rPr>
                <w:sz w:val="8"/>
                <w:szCs w:val="8"/>
                <w:color w:val="auto"/>
              </w:rPr>
            </w:pPr>
          </w:p>
        </w:tc>
        <w:tc>
          <w:tcPr>
            <w:tcW w:w="1900" w:type="dxa"/>
            <w:vAlign w:val="bottom"/>
            <w:vMerge w:val="continue"/>
          </w:tcPr>
          <w:p>
            <w:pPr>
              <w:spacing w:after="0"/>
              <w:rPr>
                <w:sz w:val="8"/>
                <w:szCs w:val="8"/>
                <w:color w:val="auto"/>
              </w:rPr>
            </w:pPr>
          </w:p>
        </w:tc>
        <w:tc>
          <w:tcPr>
            <w:tcW w:w="24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900" w:type="dxa"/>
            <w:vAlign w:val="bottom"/>
          </w:tcPr>
          <w:p>
            <w:pPr>
              <w:ind w:left="300"/>
              <w:spacing w:after="0"/>
              <w:rPr>
                <w:sz w:val="20"/>
                <w:szCs w:val="20"/>
                <w:color w:val="auto"/>
              </w:rPr>
            </w:pPr>
            <w:r>
              <w:rPr>
                <w:rFonts w:ascii="Arial" w:cs="Arial" w:eastAsia="Arial" w:hAnsi="Arial"/>
                <w:sz w:val="14"/>
                <w:szCs w:val="14"/>
                <w:color w:val="auto"/>
              </w:rPr>
              <w:t>levels of fixed pay to</w:t>
            </w:r>
          </w:p>
        </w:tc>
        <w:tc>
          <w:tcPr>
            <w:tcW w:w="2420" w:type="dxa"/>
            <w:vAlign w:val="bottom"/>
          </w:tcPr>
          <w:p>
            <w:pPr>
              <w:ind w:left="280"/>
              <w:spacing w:after="0"/>
              <w:rPr>
                <w:sz w:val="20"/>
                <w:szCs w:val="20"/>
                <w:color w:val="auto"/>
              </w:rPr>
            </w:pPr>
            <w:r>
              <w:rPr>
                <w:rFonts w:ascii="Arial" w:cs="Arial" w:eastAsia="Arial" w:hAnsi="Arial"/>
                <w:sz w:val="14"/>
                <w:szCs w:val="14"/>
                <w:color w:val="auto"/>
              </w:rPr>
              <w:t>by linking annual Company</w:t>
            </w: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900" w:type="dxa"/>
            <w:vAlign w:val="bottom"/>
          </w:tcPr>
          <w:p>
            <w:pPr>
              <w:ind w:left="300"/>
              <w:spacing w:after="0"/>
              <w:rPr>
                <w:sz w:val="20"/>
                <w:szCs w:val="20"/>
                <w:color w:val="auto"/>
              </w:rPr>
            </w:pPr>
            <w:r>
              <w:rPr>
                <w:rFonts w:ascii="Arial" w:cs="Arial" w:eastAsia="Arial" w:hAnsi="Arial"/>
                <w:sz w:val="14"/>
                <w:szCs w:val="14"/>
                <w:color w:val="auto"/>
              </w:rPr>
              <w:t>attract and retain</w:t>
            </w:r>
          </w:p>
        </w:tc>
        <w:tc>
          <w:tcPr>
            <w:tcW w:w="2420" w:type="dxa"/>
            <w:vAlign w:val="bottom"/>
          </w:tcPr>
          <w:p>
            <w:pPr>
              <w:ind w:left="280"/>
              <w:spacing w:after="0"/>
              <w:rPr>
                <w:sz w:val="20"/>
                <w:szCs w:val="20"/>
                <w:color w:val="auto"/>
              </w:rPr>
            </w:pPr>
            <w:r>
              <w:rPr>
                <w:rFonts w:ascii="Arial" w:cs="Arial" w:eastAsia="Arial" w:hAnsi="Arial"/>
                <w:sz w:val="14"/>
                <w:szCs w:val="14"/>
                <w:color w:val="auto"/>
              </w:rPr>
              <w:t>performance to an annual cash</w:t>
            </w:r>
          </w:p>
        </w:tc>
        <w:tc>
          <w:tcPr>
            <w:tcW w:w="0" w:type="dxa"/>
            <w:vAlign w:val="bottom"/>
          </w:tcPr>
          <w:p>
            <w:pPr>
              <w:spacing w:after="0"/>
              <w:rPr>
                <w:sz w:val="1"/>
                <w:szCs w:val="1"/>
                <w:color w:val="auto"/>
              </w:rPr>
            </w:pPr>
          </w:p>
        </w:tc>
      </w:tr>
      <w:tr>
        <w:trPr>
          <w:trHeight w:val="175"/>
        </w:trPr>
        <w:tc>
          <w:tcPr>
            <w:tcW w:w="780" w:type="dxa"/>
            <w:vAlign w:val="bottom"/>
          </w:tcPr>
          <w:p>
            <w:pPr>
              <w:spacing w:after="0"/>
              <w:rPr>
                <w:sz w:val="15"/>
                <w:szCs w:val="15"/>
                <w:color w:val="auto"/>
              </w:rPr>
            </w:pPr>
          </w:p>
        </w:tc>
        <w:tc>
          <w:tcPr>
            <w:tcW w:w="1900" w:type="dxa"/>
            <w:vAlign w:val="bottom"/>
          </w:tcPr>
          <w:p>
            <w:pPr>
              <w:ind w:left="300"/>
              <w:spacing w:after="0"/>
              <w:rPr>
                <w:sz w:val="20"/>
                <w:szCs w:val="20"/>
                <w:color w:val="auto"/>
              </w:rPr>
            </w:pPr>
            <w:r>
              <w:rPr>
                <w:rFonts w:ascii="Arial" w:cs="Arial" w:eastAsia="Arial" w:hAnsi="Arial"/>
                <w:sz w:val="14"/>
                <w:szCs w:val="14"/>
                <w:color w:val="auto"/>
              </w:rPr>
              <w:t>executives.</w:t>
            </w:r>
          </w:p>
        </w:tc>
        <w:tc>
          <w:tcPr>
            <w:tcW w:w="2420" w:type="dxa"/>
            <w:vAlign w:val="bottom"/>
          </w:tcPr>
          <w:p>
            <w:pPr>
              <w:ind w:left="280"/>
              <w:spacing w:after="0"/>
              <w:rPr>
                <w:sz w:val="20"/>
                <w:szCs w:val="20"/>
                <w:color w:val="auto"/>
              </w:rPr>
            </w:pPr>
            <w:r>
              <w:rPr>
                <w:rFonts w:ascii="Arial" w:cs="Arial" w:eastAsia="Arial" w:hAnsi="Arial"/>
                <w:sz w:val="14"/>
                <w:szCs w:val="14"/>
                <w:color w:val="auto"/>
              </w:rPr>
              <w:t>incentive.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Creates strong alignment with stockholder interests by linking long-term pay to key performance metrics and stock price. Provides a balance of internal and market-based measures to assess long-term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74295</wp:posOffset>
            </wp:positionV>
            <wp:extent cx="71329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ind w:right="100"/>
        <w:spacing w:after="0" w:line="268" w:lineRule="auto"/>
        <w:rPr>
          <w:sz w:val="20"/>
          <w:szCs w:val="20"/>
          <w:color w:val="auto"/>
        </w:rPr>
      </w:pPr>
      <w:r>
        <w:rPr>
          <w:rFonts w:ascii="Arial" w:cs="Arial" w:eastAsia="Arial" w:hAnsi="Arial"/>
          <w:sz w:val="14"/>
          <w:szCs w:val="14"/>
          <w:color w:val="auto"/>
        </w:rPr>
        <w:t>Promotes retention of key talent and aligns executive and stockholder interests.</w:t>
      </w:r>
    </w:p>
    <w:p>
      <w:pPr>
        <w:spacing w:after="0" w:line="371" w:lineRule="exact"/>
        <w:rPr>
          <w:sz w:val="20"/>
          <w:szCs w:val="20"/>
          <w:color w:val="auto"/>
        </w:rPr>
      </w:pPr>
    </w:p>
    <w:p>
      <w:pPr>
        <w:sectPr>
          <w:pgSz w:w="11900" w:h="16838" w:orient="portrait"/>
          <w:cols w:equalWidth="0" w:num="3">
            <w:col w:w="5120" w:space="300"/>
            <w:col w:w="3900" w:space="160"/>
            <w:col w:w="1780"/>
          </w:cols>
          <w:pgMar w:left="320" w:top="254" w:right="319" w:bottom="1440" w:gutter="0" w:footer="0" w:header="0"/>
          <w:type w:val="continuous"/>
        </w:sectPr>
      </w:pPr>
    </w:p>
    <w:p>
      <w:pPr>
        <w:spacing w:after="0" w:line="83" w:lineRule="exact"/>
        <w:rPr>
          <w:sz w:val="20"/>
          <w:szCs w:val="20"/>
          <w:color w:val="auto"/>
        </w:rPr>
      </w:pPr>
    </w:p>
    <w:p>
      <w:pPr>
        <w:ind w:left="240" w:right="120" w:hanging="233"/>
        <w:spacing w:after="0" w:line="276" w:lineRule="auto"/>
        <w:tabs>
          <w:tab w:leader="none" w:pos="213" w:val="left"/>
        </w:tabs>
        <w:numPr>
          <w:ilvl w:val="0"/>
          <w:numId w:val="74"/>
        </w:numPr>
        <w:rPr>
          <w:rFonts w:ascii="Arial" w:cs="Arial" w:eastAsia="Arial" w:hAnsi="Arial"/>
          <w:sz w:val="14"/>
          <w:szCs w:val="14"/>
          <w:color w:val="auto"/>
        </w:rPr>
      </w:pPr>
      <w:r>
        <w:rPr>
          <w:rFonts w:ascii="Arial" w:cs="Arial" w:eastAsia="Arial" w:hAnsi="Arial"/>
          <w:sz w:val="14"/>
          <w:szCs w:val="14"/>
          <w:color w:val="auto"/>
        </w:rPr>
        <w:t>Reflects long-term incentive mix for the CEO, SVPs and EVPs; Mr. Mollard received a long-term incentive mix in 2021 of 10% PSUs, 40% LTIP and 50% RSUs based on his role as VP and Treasurer. Ms. Hewson did not receive annual or long-term incentives for 2021.</w:t>
      </w:r>
    </w:p>
    <w:p>
      <w:pPr>
        <w:spacing w:after="0" w:line="6" w:lineRule="exact"/>
        <w:rPr>
          <w:sz w:val="20"/>
          <w:szCs w:val="20"/>
          <w:color w:val="auto"/>
        </w:rPr>
      </w:pPr>
    </w:p>
    <w:p>
      <w:pPr>
        <w:ind w:left="240" w:right="320" w:hanging="233"/>
        <w:spacing w:after="0" w:line="268" w:lineRule="auto"/>
        <w:tabs>
          <w:tab w:leader="none" w:pos="269"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Refer to the next page for adjustments made to Cash from Operations for compensation purposes and Appendix A for an explanation of Non-GAAP measures (Segment Operating Profit, ROIC and Performance Cash) as well as our disclosure regarding forward-looking statements concerning future performance or goals for future performance.</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color w:val="818EB4"/>
        </w:rPr>
        <w:t>Base Salary</w:t>
      </w:r>
    </w:p>
    <w:p>
      <w:pPr>
        <w:spacing w:after="0" w:line="122" w:lineRule="exact"/>
        <w:rPr>
          <w:sz w:val="20"/>
          <w:szCs w:val="20"/>
          <w:color w:val="auto"/>
        </w:rPr>
      </w:pPr>
    </w:p>
    <w:p>
      <w:pPr>
        <w:ind w:right="220"/>
        <w:spacing w:after="0" w:line="243" w:lineRule="auto"/>
        <w:rPr>
          <w:sz w:val="20"/>
          <w:szCs w:val="20"/>
          <w:color w:val="auto"/>
        </w:rPr>
      </w:pPr>
      <w:r>
        <w:rPr>
          <w:rFonts w:ascii="Arial" w:cs="Arial" w:eastAsia="Arial" w:hAnsi="Arial"/>
          <w:sz w:val="17"/>
          <w:szCs w:val="17"/>
          <w:color w:val="auto"/>
        </w:rPr>
        <w:t>Base salaries are reviewed and increased annually taking into account the market rate (50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the executive’s individual performance and internal pay equity. In establishing the base salary for each NEO, we determined the market rate using comparator group company data and evaluated whether the market rate should be adjusted up or down based on differences in the scope of the NEO’s position as compared to the industry and the comparator group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2501900</wp:posOffset>
            </wp:positionV>
            <wp:extent cx="963930" cy="2216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43</w:t>
      </w:r>
    </w:p>
    <w:p>
      <w:pPr>
        <w:sectPr>
          <w:pgSz w:w="11900" w:h="16838" w:orient="portrait"/>
          <w:cols w:equalWidth="0" w:num="1">
            <w:col w:w="11260"/>
          </w:cols>
          <w:pgMar w:left="320" w:top="254" w:right="319" w:bottom="1440" w:gutter="0" w:footer="0" w:header="0"/>
          <w:type w:val="continuous"/>
        </w:sectPr>
      </w:pPr>
    </w:p>
    <w:bookmarkStart w:id="49" w:name="page50"/>
    <w:bookmarkEnd w:id="49"/>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1"/>
          <w:szCs w:val="21"/>
          <w:color w:val="818EB4"/>
        </w:rPr>
        <w:t>2021 Annual Incentive</w:t>
      </w:r>
    </w:p>
    <w:p>
      <w:pPr>
        <w:spacing w:after="0" w:line="122" w:lineRule="exact"/>
        <w:rPr>
          <w:sz w:val="20"/>
          <w:szCs w:val="20"/>
          <w:color w:val="auto"/>
        </w:rPr>
      </w:pPr>
    </w:p>
    <w:p>
      <w:pPr>
        <w:ind w:right="180"/>
        <w:spacing w:after="0" w:line="266" w:lineRule="auto"/>
        <w:rPr>
          <w:sz w:val="20"/>
          <w:szCs w:val="20"/>
          <w:color w:val="auto"/>
        </w:rPr>
      </w:pPr>
      <w:r>
        <w:rPr>
          <w:rFonts w:ascii="Arial" w:cs="Arial" w:eastAsia="Arial" w:hAnsi="Arial"/>
          <w:sz w:val="17"/>
          <w:szCs w:val="17"/>
          <w:color w:val="auto"/>
        </w:rPr>
        <w:t>The 2021 annual incentive plan for our CEO, other NEOs and all other officers elected by the Board was based 70% on financial goals and 30% on strategic and operational goals measured at the enterprise level, as illustrated in the graphic below. Although the annual incentive plan uses a formulaic approach, the Compensation Committee retains discretion in administering the plan, which discretion includes choosing and approving goals, assessing strategic and operational results and modifying payouts based on business segment and individual performance for any officer elected by the Board, including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1284605</wp:posOffset>
            </wp:positionH>
            <wp:positionV relativeFrom="paragraph">
              <wp:posOffset>58420</wp:posOffset>
            </wp:positionV>
            <wp:extent cx="4581525" cy="7505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581525" cy="7505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920"/>
        <w:spacing w:after="0" w:line="274" w:lineRule="auto"/>
        <w:rPr>
          <w:sz w:val="20"/>
          <w:szCs w:val="20"/>
          <w:color w:val="auto"/>
        </w:rPr>
      </w:pPr>
      <w:r>
        <w:rPr>
          <w:rFonts w:ascii="Arial" w:cs="Arial" w:eastAsia="Arial" w:hAnsi="Arial"/>
          <w:sz w:val="17"/>
          <w:szCs w:val="17"/>
          <w:color w:val="auto"/>
        </w:rPr>
        <w:t>Under the terms of our annual incentive plan, the CEO’s bonus and the bonus for each of the other NEOs cannot exceed 0.3% and 0.2%, respectively, of Cash from Operations. Annual incentive payouts range from 0% to 200% of target.</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color w:val="003478"/>
        </w:rPr>
        <w:t>2021 Annual Incentive Goals and Results</w:t>
      </w:r>
    </w:p>
    <w:p>
      <w:pPr>
        <w:spacing w:after="0" w:line="117"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At its February 2021 meeting, the Compensation Committee approved enterprise-wide objectives for 2021 reflecting financial and strategic and operational goals. These goals are used as the Enterprise Component for all executives in the Company and serve as the only goals for the CEO, NEOs and all other officers elected by the Board. We have not made any modifications to our annual incentive goals in response to COVID-19 or the Coronavirus Aid, Relief, and Economic Security (CARES) Act.</w:t>
      </w:r>
    </w:p>
    <w:p>
      <w:pPr>
        <w:spacing w:after="0" w:line="7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b w:val="1"/>
          <w:bCs w:val="1"/>
          <w:color w:val="auto"/>
        </w:rPr>
        <w:t xml:space="preserve">Financial Assessment (70% Weight). </w:t>
      </w:r>
      <w:r>
        <w:rPr>
          <w:rFonts w:ascii="Arial" w:cs="Arial" w:eastAsia="Arial" w:hAnsi="Arial"/>
          <w:sz w:val="17"/>
          <w:szCs w:val="17"/>
          <w:color w:val="auto"/>
        </w:rPr>
        <w:t>The financial targets under the annual incentive plan align with the guidance we disclosed publicly at the</w:t>
      </w:r>
      <w:r>
        <w:rPr>
          <w:rFonts w:ascii="Arial" w:cs="Arial" w:eastAsia="Arial" w:hAnsi="Arial"/>
          <w:sz w:val="17"/>
          <w:szCs w:val="17"/>
          <w:b w:val="1"/>
          <w:bCs w:val="1"/>
          <w:color w:val="auto"/>
        </w:rPr>
        <w:t xml:space="preserve"> </w:t>
      </w:r>
      <w:r>
        <w:rPr>
          <w:rFonts w:ascii="Arial" w:cs="Arial" w:eastAsia="Arial" w:hAnsi="Arial"/>
          <w:sz w:val="17"/>
          <w:szCs w:val="17"/>
          <w:color w:val="auto"/>
        </w:rPr>
        <w:t>beginning of 2021. We believe this approach to setting the financial metrics for annual incentive purposes appropriately links compensation to our effectiveness in meeting our public commitments to our stockholders. Our financial commitments are established at the completion of our annual long-range planning process and are consistent with our long-range plan commitments. The long-range planning process includes reviews of the assumptions used by the business segments in generating their financial projections, such as industry trends and competitive assessments, current and future projected program performance levels and the risks and opportunities surrounding these baseline assumptions. The long-range plan on which our financial goals are based is tied to the business environment in which we operate and can vary year-over-year. Our long-range plan values for Sales, Segment Operating Profit (see Appendix A for definition of Non-GAAP measures) and Cash from Operations are set forth in the 2021 guidance we provided publicly to investors in January 2021 and represent the target level (100% performance) for each of these metrics.</w:t>
      </w:r>
    </w:p>
    <w:p>
      <w:pPr>
        <w:spacing w:after="0" w:line="98"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For the purposes of assessing performance under our annual incentive program, Cash from Operations results of $9.2 billion (a record for the Company) were adjusted to reflect the net after tax impact of not making previously planned pension contributions that had been included in the 2021 goal, but which became unnecessary because of the American Rescue Plan Act of 2021, which eased funding requirements for single-employer defined benefit pension plans. We established maximum (200% performance) and threshold payout levels (50% performance) around these targets based on a review of historical performance against long-range plan commitments for each of the three annual incentive metrics, which ensures the appropriate level of rigor on each of the threshold, target and maximum goals. We used straight-line interpolation between target and both maximum and minimum historical performance levels.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 reviewed the methodology and the targets established as part of its annual process during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0" w:type="dxa"/>
            <w:vAlign w:val="bottom"/>
            <w:tcBorders>
              <w:bottom w:val="single" w:sz="8" w:color="E4E6EF"/>
            </w:tcBorders>
            <w:shd w:val="clear" w:color="auto" w:fill="E4E6EF"/>
          </w:tcPr>
          <w:p>
            <w:pPr>
              <w:ind w:left="20"/>
              <w:spacing w:after="0"/>
              <w:rPr>
                <w:sz w:val="20"/>
                <w:szCs w:val="20"/>
                <w:color w:val="auto"/>
              </w:rPr>
            </w:pPr>
            <w:r>
              <w:rPr>
                <w:rFonts w:ascii="Arial" w:cs="Arial" w:eastAsia="Arial" w:hAnsi="Arial"/>
                <w:sz w:val="13"/>
                <w:szCs w:val="13"/>
                <w:color w:val="auto"/>
              </w:rPr>
              <w:t>2021 Financial Measures</w:t>
            </w:r>
          </w:p>
        </w:tc>
        <w:tc>
          <w:tcPr>
            <w:tcW w:w="2060" w:type="dxa"/>
            <w:vAlign w:val="bottom"/>
            <w:tcBorders>
              <w:bottom w:val="single" w:sz="8" w:color="E4E6EF"/>
            </w:tcBorders>
            <w:shd w:val="clear" w:color="auto" w:fill="E4E6EF"/>
          </w:tcPr>
          <w:p>
            <w:pPr>
              <w:jc w:val="center"/>
              <w:ind w:left="967"/>
              <w:spacing w:after="0"/>
              <w:rPr>
                <w:sz w:val="20"/>
                <w:szCs w:val="20"/>
                <w:color w:val="auto"/>
              </w:rPr>
            </w:pPr>
            <w:r>
              <w:rPr>
                <w:rFonts w:ascii="Arial" w:cs="Arial" w:eastAsia="Arial" w:hAnsi="Arial"/>
                <w:sz w:val="13"/>
                <w:szCs w:val="13"/>
                <w:color w:val="auto"/>
                <w:w w:val="93"/>
              </w:rPr>
              <w:t>Weight</w:t>
            </w:r>
          </w:p>
        </w:tc>
        <w:tc>
          <w:tcPr>
            <w:tcW w:w="1740" w:type="dxa"/>
            <w:vAlign w:val="bottom"/>
            <w:tcBorders>
              <w:bottom w:val="single" w:sz="8" w:color="E4E6EF"/>
            </w:tcBorders>
            <w:shd w:val="clear" w:color="auto" w:fill="E4E6EF"/>
          </w:tcPr>
          <w:p>
            <w:pPr>
              <w:jc w:val="right"/>
              <w:ind w:right="231"/>
              <w:spacing w:after="0"/>
              <w:rPr>
                <w:sz w:val="20"/>
                <w:szCs w:val="20"/>
                <w:color w:val="auto"/>
              </w:rPr>
            </w:pPr>
            <w:r>
              <w:rPr>
                <w:rFonts w:ascii="Arial" w:cs="Arial" w:eastAsia="Arial" w:hAnsi="Arial"/>
                <w:sz w:val="13"/>
                <w:szCs w:val="13"/>
                <w:color w:val="auto"/>
              </w:rPr>
              <w:t>2021 Goals ($)</w:t>
            </w:r>
          </w:p>
        </w:tc>
        <w:tc>
          <w:tcPr>
            <w:tcW w:w="1260" w:type="dxa"/>
            <w:vAlign w:val="bottom"/>
            <w:tcBorders>
              <w:bottom w:val="single" w:sz="8" w:color="E4E6EF"/>
            </w:tcBorders>
            <w:shd w:val="clear" w:color="auto" w:fill="E4E6EF"/>
          </w:tcPr>
          <w:p>
            <w:pPr>
              <w:jc w:val="right"/>
              <w:ind w:right="207"/>
              <w:spacing w:after="0"/>
              <w:rPr>
                <w:sz w:val="20"/>
                <w:szCs w:val="20"/>
                <w:color w:val="auto"/>
              </w:rPr>
            </w:pPr>
            <w:r>
              <w:rPr>
                <w:rFonts w:ascii="Arial" w:cs="Arial" w:eastAsia="Arial" w:hAnsi="Arial"/>
                <w:sz w:val="13"/>
                <w:szCs w:val="13"/>
                <w:color w:val="auto"/>
              </w:rPr>
              <w:t>Results ($)</w:t>
            </w:r>
          </w:p>
        </w:tc>
        <w:tc>
          <w:tcPr>
            <w:tcW w:w="1640" w:type="dxa"/>
            <w:vAlign w:val="bottom"/>
            <w:tcBorders>
              <w:bottom w:val="single" w:sz="8" w:color="E4E6EF"/>
            </w:tcBorders>
            <w:shd w:val="clear" w:color="auto" w:fill="E4E6EF"/>
          </w:tcPr>
          <w:p>
            <w:pPr>
              <w:jc w:val="right"/>
              <w:ind w:right="287"/>
              <w:spacing w:after="0"/>
              <w:rPr>
                <w:sz w:val="20"/>
                <w:szCs w:val="20"/>
                <w:color w:val="auto"/>
              </w:rPr>
            </w:pPr>
            <w:r>
              <w:rPr>
                <w:rFonts w:ascii="Arial" w:cs="Arial" w:eastAsia="Arial" w:hAnsi="Arial"/>
                <w:sz w:val="13"/>
                <w:szCs w:val="13"/>
                <w:color w:val="auto"/>
              </w:rPr>
              <w:t>Calculated Payout</w:t>
            </w:r>
          </w:p>
        </w:tc>
        <w:tc>
          <w:tcPr>
            <w:tcW w:w="1340" w:type="dxa"/>
            <w:vAlign w:val="bottom"/>
            <w:tcBorders>
              <w:bottom w:val="single" w:sz="8" w:color="E4E6EF"/>
            </w:tcBorders>
            <w:shd w:val="clear" w:color="auto" w:fill="E4E6EF"/>
          </w:tcPr>
          <w:p>
            <w:pPr>
              <w:jc w:val="right"/>
              <w:spacing w:after="0"/>
              <w:rPr>
                <w:sz w:val="20"/>
                <w:szCs w:val="20"/>
                <w:color w:val="auto"/>
              </w:rPr>
            </w:pPr>
            <w:r>
              <w:rPr>
                <w:rFonts w:ascii="Arial" w:cs="Arial" w:eastAsia="Arial" w:hAnsi="Arial"/>
                <w:sz w:val="13"/>
                <w:szCs w:val="13"/>
                <w:color w:val="auto"/>
              </w:rPr>
              <w:t>Weighted Payout</w:t>
            </w:r>
          </w:p>
        </w:tc>
      </w:tr>
      <w:tr>
        <w:trPr>
          <w:trHeight w:val="195"/>
        </w:trPr>
        <w:tc>
          <w:tcPr>
            <w:tcW w:w="3200" w:type="dxa"/>
            <w:vAlign w:val="bottom"/>
            <w:tcBorders>
              <w:top w:val="single" w:sz="8" w:color="003478"/>
              <w:bottom w:val="single" w:sz="8" w:color="959595"/>
            </w:tcBorders>
          </w:tcPr>
          <w:p>
            <w:pPr>
              <w:ind w:left="20"/>
              <w:spacing w:after="0"/>
              <w:rPr>
                <w:sz w:val="20"/>
                <w:szCs w:val="20"/>
                <w:color w:val="auto"/>
              </w:rPr>
            </w:pPr>
            <w:r>
              <w:rPr>
                <w:rFonts w:ascii="Arial" w:cs="Arial" w:eastAsia="Arial" w:hAnsi="Arial"/>
                <w:sz w:val="15"/>
                <w:szCs w:val="15"/>
                <w:color w:val="auto"/>
              </w:rPr>
              <w:t>Sales</w:t>
            </w:r>
          </w:p>
        </w:tc>
        <w:tc>
          <w:tcPr>
            <w:tcW w:w="2060" w:type="dxa"/>
            <w:vAlign w:val="bottom"/>
            <w:tcBorders>
              <w:top w:val="single" w:sz="8" w:color="003478"/>
              <w:bottom w:val="single" w:sz="8" w:color="959595"/>
            </w:tcBorders>
          </w:tcPr>
          <w:p>
            <w:pPr>
              <w:jc w:val="center"/>
              <w:ind w:left="967"/>
              <w:spacing w:after="0"/>
              <w:rPr>
                <w:sz w:val="20"/>
                <w:szCs w:val="20"/>
                <w:color w:val="auto"/>
              </w:rPr>
            </w:pPr>
            <w:r>
              <w:rPr>
                <w:rFonts w:ascii="Arial" w:cs="Arial" w:eastAsia="Arial" w:hAnsi="Arial"/>
                <w:sz w:val="15"/>
                <w:szCs w:val="15"/>
                <w:color w:val="auto"/>
                <w:w w:val="99"/>
              </w:rPr>
              <w:t>20%</w:t>
            </w:r>
          </w:p>
        </w:tc>
        <w:tc>
          <w:tcPr>
            <w:tcW w:w="1740" w:type="dxa"/>
            <w:vAlign w:val="bottom"/>
            <w:tcBorders>
              <w:top w:val="single" w:sz="8" w:color="003478"/>
              <w:bottom w:val="single" w:sz="8" w:color="959595"/>
            </w:tcBorders>
          </w:tcPr>
          <w:p>
            <w:pPr>
              <w:jc w:val="right"/>
              <w:ind w:right="231"/>
              <w:spacing w:after="0"/>
              <w:rPr>
                <w:sz w:val="20"/>
                <w:szCs w:val="20"/>
                <w:color w:val="auto"/>
              </w:rPr>
            </w:pPr>
            <w:r>
              <w:rPr>
                <w:rFonts w:ascii="Arial" w:cs="Arial" w:eastAsia="Arial" w:hAnsi="Arial"/>
                <w:sz w:val="14"/>
                <w:szCs w:val="14"/>
                <w:color w:val="auto"/>
              </w:rPr>
              <w:t>67,100 - 68,500M</w:t>
            </w:r>
          </w:p>
        </w:tc>
        <w:tc>
          <w:tcPr>
            <w:tcW w:w="1260" w:type="dxa"/>
            <w:vAlign w:val="bottom"/>
            <w:tcBorders>
              <w:top w:val="single" w:sz="8" w:color="003478"/>
              <w:bottom w:val="single" w:sz="8" w:color="959595"/>
            </w:tcBorders>
          </w:tcPr>
          <w:p>
            <w:pPr>
              <w:jc w:val="right"/>
              <w:ind w:right="207"/>
              <w:spacing w:after="0"/>
              <w:rPr>
                <w:sz w:val="20"/>
                <w:szCs w:val="20"/>
                <w:color w:val="auto"/>
              </w:rPr>
            </w:pPr>
            <w:r>
              <w:rPr>
                <w:rFonts w:ascii="Arial" w:cs="Arial" w:eastAsia="Arial" w:hAnsi="Arial"/>
                <w:sz w:val="15"/>
                <w:szCs w:val="15"/>
                <w:color w:val="auto"/>
              </w:rPr>
              <w:t>$67,044M</w:t>
            </w:r>
          </w:p>
        </w:tc>
        <w:tc>
          <w:tcPr>
            <w:tcW w:w="1640" w:type="dxa"/>
            <w:vAlign w:val="bottom"/>
            <w:tcBorders>
              <w:top w:val="single" w:sz="8" w:color="003478"/>
              <w:bottom w:val="single" w:sz="8" w:color="959595"/>
            </w:tcBorders>
          </w:tcPr>
          <w:p>
            <w:pPr>
              <w:jc w:val="right"/>
              <w:ind w:right="287"/>
              <w:spacing w:after="0"/>
              <w:rPr>
                <w:sz w:val="20"/>
                <w:szCs w:val="20"/>
                <w:color w:val="auto"/>
              </w:rPr>
            </w:pPr>
            <w:r>
              <w:rPr>
                <w:rFonts w:ascii="Arial" w:cs="Arial" w:eastAsia="Arial" w:hAnsi="Arial"/>
                <w:sz w:val="15"/>
                <w:szCs w:val="15"/>
                <w:color w:val="auto"/>
              </w:rPr>
              <w:t>89%</w:t>
            </w:r>
          </w:p>
        </w:tc>
        <w:tc>
          <w:tcPr>
            <w:tcW w:w="1340" w:type="dxa"/>
            <w:vAlign w:val="bottom"/>
            <w:tcBorders>
              <w:top w:val="single" w:sz="8" w:color="003478"/>
              <w:bottom w:val="single" w:sz="8" w:color="959595"/>
            </w:tcBorders>
          </w:tcPr>
          <w:p>
            <w:pPr>
              <w:jc w:val="right"/>
              <w:spacing w:after="0"/>
              <w:rPr>
                <w:sz w:val="20"/>
                <w:szCs w:val="20"/>
                <w:color w:val="auto"/>
              </w:rPr>
            </w:pPr>
            <w:r>
              <w:rPr>
                <w:rFonts w:ascii="Arial" w:cs="Arial" w:eastAsia="Arial" w:hAnsi="Arial"/>
                <w:sz w:val="15"/>
                <w:szCs w:val="15"/>
                <w:color w:val="auto"/>
              </w:rPr>
              <w:t>18%</w:t>
            </w:r>
          </w:p>
        </w:tc>
      </w:tr>
      <w:tr>
        <w:trPr>
          <w:trHeight w:val="195"/>
        </w:trPr>
        <w:tc>
          <w:tcPr>
            <w:tcW w:w="3200" w:type="dxa"/>
            <w:vAlign w:val="bottom"/>
            <w:tcBorders>
              <w:bottom w:val="single" w:sz="8" w:color="959595"/>
            </w:tcBorders>
          </w:tcPr>
          <w:p>
            <w:pPr>
              <w:ind w:left="20"/>
              <w:spacing w:after="0"/>
              <w:rPr>
                <w:sz w:val="20"/>
                <w:szCs w:val="20"/>
                <w:color w:val="auto"/>
              </w:rPr>
            </w:pPr>
            <w:r>
              <w:rPr>
                <w:rFonts w:ascii="Arial" w:cs="Arial" w:eastAsia="Arial" w:hAnsi="Arial"/>
                <w:sz w:val="15"/>
                <w:szCs w:val="15"/>
                <w:color w:val="auto"/>
              </w:rPr>
              <w:t>Segment Operating Profit*</w:t>
            </w:r>
          </w:p>
        </w:tc>
        <w:tc>
          <w:tcPr>
            <w:tcW w:w="2060" w:type="dxa"/>
            <w:vAlign w:val="bottom"/>
            <w:tcBorders>
              <w:bottom w:val="single" w:sz="8" w:color="959595"/>
            </w:tcBorders>
          </w:tcPr>
          <w:p>
            <w:pPr>
              <w:jc w:val="center"/>
              <w:ind w:left="967"/>
              <w:spacing w:after="0"/>
              <w:rPr>
                <w:sz w:val="20"/>
                <w:szCs w:val="20"/>
                <w:color w:val="auto"/>
              </w:rPr>
            </w:pPr>
            <w:r>
              <w:rPr>
                <w:rFonts w:ascii="Arial" w:cs="Arial" w:eastAsia="Arial" w:hAnsi="Arial"/>
                <w:sz w:val="15"/>
                <w:szCs w:val="15"/>
                <w:color w:val="auto"/>
                <w:w w:val="99"/>
              </w:rPr>
              <w:t>40%</w:t>
            </w:r>
          </w:p>
        </w:tc>
        <w:tc>
          <w:tcPr>
            <w:tcW w:w="1740" w:type="dxa"/>
            <w:vAlign w:val="bottom"/>
            <w:tcBorders>
              <w:bottom w:val="single" w:sz="8" w:color="959595"/>
            </w:tcBorders>
          </w:tcPr>
          <w:p>
            <w:pPr>
              <w:jc w:val="right"/>
              <w:ind w:right="231"/>
              <w:spacing w:after="0"/>
              <w:rPr>
                <w:sz w:val="20"/>
                <w:szCs w:val="20"/>
                <w:color w:val="auto"/>
              </w:rPr>
            </w:pPr>
            <w:r>
              <w:rPr>
                <w:rFonts w:ascii="Arial" w:cs="Arial" w:eastAsia="Arial" w:hAnsi="Arial"/>
                <w:sz w:val="14"/>
                <w:szCs w:val="14"/>
                <w:color w:val="auto"/>
              </w:rPr>
              <w:t>7,355 - 7,495M</w:t>
            </w:r>
          </w:p>
        </w:tc>
        <w:tc>
          <w:tcPr>
            <w:tcW w:w="1260" w:type="dxa"/>
            <w:vAlign w:val="bottom"/>
            <w:tcBorders>
              <w:bottom w:val="single" w:sz="8" w:color="959595"/>
            </w:tcBorders>
          </w:tcPr>
          <w:p>
            <w:pPr>
              <w:jc w:val="right"/>
              <w:ind w:right="207"/>
              <w:spacing w:after="0"/>
              <w:rPr>
                <w:sz w:val="20"/>
                <w:szCs w:val="20"/>
                <w:color w:val="auto"/>
              </w:rPr>
            </w:pPr>
            <w:r>
              <w:rPr>
                <w:rFonts w:ascii="Arial" w:cs="Arial" w:eastAsia="Arial" w:hAnsi="Arial"/>
                <w:sz w:val="15"/>
                <w:szCs w:val="15"/>
                <w:color w:val="auto"/>
              </w:rPr>
              <w:t>$7,379M</w:t>
            </w:r>
          </w:p>
        </w:tc>
        <w:tc>
          <w:tcPr>
            <w:tcW w:w="1640" w:type="dxa"/>
            <w:vAlign w:val="bottom"/>
            <w:tcBorders>
              <w:bottom w:val="single" w:sz="8" w:color="959595"/>
            </w:tcBorders>
          </w:tcPr>
          <w:p>
            <w:pPr>
              <w:jc w:val="right"/>
              <w:ind w:right="287"/>
              <w:spacing w:after="0"/>
              <w:rPr>
                <w:sz w:val="20"/>
                <w:szCs w:val="20"/>
                <w:color w:val="auto"/>
              </w:rPr>
            </w:pPr>
            <w:r>
              <w:rPr>
                <w:rFonts w:ascii="Arial" w:cs="Arial" w:eastAsia="Arial" w:hAnsi="Arial"/>
                <w:sz w:val="15"/>
                <w:szCs w:val="15"/>
                <w:color w:val="auto"/>
              </w:rPr>
              <w:t>94%</w:t>
            </w:r>
          </w:p>
        </w:tc>
        <w:tc>
          <w:tcPr>
            <w:tcW w:w="1340" w:type="dxa"/>
            <w:vAlign w:val="bottom"/>
            <w:tcBorders>
              <w:bottom w:val="single" w:sz="8" w:color="959595"/>
            </w:tcBorders>
          </w:tcPr>
          <w:p>
            <w:pPr>
              <w:jc w:val="right"/>
              <w:spacing w:after="0"/>
              <w:rPr>
                <w:sz w:val="20"/>
                <w:szCs w:val="20"/>
                <w:color w:val="auto"/>
              </w:rPr>
            </w:pPr>
            <w:r>
              <w:rPr>
                <w:rFonts w:ascii="Arial" w:cs="Arial" w:eastAsia="Arial" w:hAnsi="Arial"/>
                <w:sz w:val="15"/>
                <w:szCs w:val="15"/>
                <w:color w:val="auto"/>
              </w:rPr>
              <w:t>37%</w:t>
            </w:r>
          </w:p>
        </w:tc>
      </w:tr>
      <w:tr>
        <w:trPr>
          <w:trHeight w:val="195"/>
        </w:trPr>
        <w:tc>
          <w:tcPr>
            <w:tcW w:w="3200" w:type="dxa"/>
            <w:vAlign w:val="bottom"/>
            <w:tcBorders>
              <w:bottom w:val="single" w:sz="8" w:color="959595"/>
            </w:tcBorders>
          </w:tcPr>
          <w:p>
            <w:pPr>
              <w:ind w:left="20"/>
              <w:spacing w:after="0"/>
              <w:rPr>
                <w:sz w:val="20"/>
                <w:szCs w:val="20"/>
                <w:color w:val="auto"/>
              </w:rPr>
            </w:pPr>
            <w:r>
              <w:rPr>
                <w:rFonts w:ascii="Arial" w:cs="Arial" w:eastAsia="Arial" w:hAnsi="Arial"/>
                <w:sz w:val="15"/>
                <w:szCs w:val="15"/>
                <w:color w:val="auto"/>
              </w:rPr>
              <w:t>Cash from Operations</w:t>
            </w:r>
          </w:p>
        </w:tc>
        <w:tc>
          <w:tcPr>
            <w:tcW w:w="2060" w:type="dxa"/>
            <w:vAlign w:val="bottom"/>
            <w:tcBorders>
              <w:bottom w:val="single" w:sz="8" w:color="959595"/>
            </w:tcBorders>
          </w:tcPr>
          <w:p>
            <w:pPr>
              <w:jc w:val="center"/>
              <w:ind w:left="967"/>
              <w:spacing w:after="0"/>
              <w:rPr>
                <w:sz w:val="20"/>
                <w:szCs w:val="20"/>
                <w:color w:val="auto"/>
              </w:rPr>
            </w:pPr>
            <w:r>
              <w:rPr>
                <w:rFonts w:ascii="Arial" w:cs="Arial" w:eastAsia="Arial" w:hAnsi="Arial"/>
                <w:sz w:val="15"/>
                <w:szCs w:val="15"/>
                <w:color w:val="auto"/>
                <w:w w:val="99"/>
              </w:rPr>
              <w:t>40%</w:t>
            </w:r>
          </w:p>
        </w:tc>
        <w:tc>
          <w:tcPr>
            <w:tcW w:w="1740" w:type="dxa"/>
            <w:vAlign w:val="bottom"/>
            <w:tcBorders>
              <w:bottom w:val="single" w:sz="8" w:color="959595"/>
            </w:tcBorders>
          </w:tcPr>
          <w:p>
            <w:pPr>
              <w:jc w:val="right"/>
              <w:ind w:right="231"/>
              <w:spacing w:after="0"/>
              <w:rPr>
                <w:sz w:val="20"/>
                <w:szCs w:val="20"/>
                <w:color w:val="auto"/>
              </w:rPr>
            </w:pPr>
            <w:r>
              <w:rPr>
                <w:rFonts w:ascii="Arial" w:cs="Arial" w:eastAsia="Arial" w:hAnsi="Arial"/>
                <w:sz w:val="14"/>
                <w:szCs w:val="14"/>
                <w:color w:val="auto"/>
              </w:rPr>
              <w:t>≥ 8,300M</w:t>
            </w:r>
          </w:p>
        </w:tc>
        <w:tc>
          <w:tcPr>
            <w:tcW w:w="1260" w:type="dxa"/>
            <w:vAlign w:val="bottom"/>
            <w:tcBorders>
              <w:bottom w:val="single" w:sz="8" w:color="959595"/>
            </w:tcBorders>
          </w:tcPr>
          <w:p>
            <w:pPr>
              <w:jc w:val="right"/>
              <w:ind w:right="207"/>
              <w:spacing w:after="0"/>
              <w:rPr>
                <w:sz w:val="20"/>
                <w:szCs w:val="20"/>
                <w:color w:val="auto"/>
              </w:rPr>
            </w:pPr>
            <w:r>
              <w:rPr>
                <w:rFonts w:ascii="Arial" w:cs="Arial" w:eastAsia="Arial" w:hAnsi="Arial"/>
                <w:sz w:val="15"/>
                <w:szCs w:val="15"/>
                <w:color w:val="auto"/>
              </w:rPr>
              <w:t>$8,552M**</w:t>
            </w:r>
          </w:p>
        </w:tc>
        <w:tc>
          <w:tcPr>
            <w:tcW w:w="1640" w:type="dxa"/>
            <w:vAlign w:val="bottom"/>
            <w:tcBorders>
              <w:bottom w:val="single" w:sz="8" w:color="959595"/>
            </w:tcBorders>
          </w:tcPr>
          <w:p>
            <w:pPr>
              <w:jc w:val="right"/>
              <w:ind w:right="287"/>
              <w:spacing w:after="0"/>
              <w:rPr>
                <w:sz w:val="20"/>
                <w:szCs w:val="20"/>
                <w:color w:val="auto"/>
              </w:rPr>
            </w:pPr>
            <w:r>
              <w:rPr>
                <w:rFonts w:ascii="Arial" w:cs="Arial" w:eastAsia="Arial" w:hAnsi="Arial"/>
                <w:sz w:val="15"/>
                <w:szCs w:val="15"/>
                <w:color w:val="auto"/>
              </w:rPr>
              <w:t>120%</w:t>
            </w:r>
          </w:p>
        </w:tc>
        <w:tc>
          <w:tcPr>
            <w:tcW w:w="1340" w:type="dxa"/>
            <w:vAlign w:val="bottom"/>
            <w:tcBorders>
              <w:bottom w:val="single" w:sz="8" w:color="959595"/>
            </w:tcBorders>
          </w:tcPr>
          <w:p>
            <w:pPr>
              <w:jc w:val="right"/>
              <w:spacing w:after="0"/>
              <w:rPr>
                <w:sz w:val="20"/>
                <w:szCs w:val="20"/>
                <w:color w:val="auto"/>
              </w:rPr>
            </w:pPr>
            <w:r>
              <w:rPr>
                <w:rFonts w:ascii="Arial" w:cs="Arial" w:eastAsia="Arial" w:hAnsi="Arial"/>
                <w:sz w:val="15"/>
                <w:szCs w:val="15"/>
                <w:color w:val="auto"/>
              </w:rPr>
              <w:t>48%</w:t>
            </w:r>
          </w:p>
        </w:tc>
      </w:tr>
      <w:tr>
        <w:trPr>
          <w:trHeight w:val="215"/>
        </w:trPr>
        <w:tc>
          <w:tcPr>
            <w:tcW w:w="3200" w:type="dxa"/>
            <w:vAlign w:val="bottom"/>
            <w:tcBorders>
              <w:bottom w:val="single" w:sz="8" w:color="959595"/>
            </w:tcBorders>
          </w:tcPr>
          <w:p>
            <w:pPr>
              <w:ind w:left="20"/>
              <w:spacing w:after="0"/>
              <w:rPr>
                <w:sz w:val="20"/>
                <w:szCs w:val="20"/>
                <w:color w:val="auto"/>
              </w:rPr>
            </w:pPr>
            <w:r>
              <w:rPr>
                <w:rFonts w:ascii="Arial" w:cs="Arial" w:eastAsia="Arial" w:hAnsi="Arial"/>
                <w:sz w:val="16"/>
                <w:szCs w:val="16"/>
                <w:b w:val="1"/>
                <w:bCs w:val="1"/>
                <w:color w:val="002E6D"/>
              </w:rPr>
              <w:t>Financial Payout Factor</w:t>
            </w:r>
          </w:p>
        </w:tc>
        <w:tc>
          <w:tcPr>
            <w:tcW w:w="2060" w:type="dxa"/>
            <w:vAlign w:val="bottom"/>
            <w:tcBorders>
              <w:bottom w:val="single" w:sz="8" w:color="959595"/>
            </w:tcBorders>
          </w:tcPr>
          <w:p>
            <w:pPr>
              <w:spacing w:after="0"/>
              <w:rPr>
                <w:sz w:val="18"/>
                <w:szCs w:val="18"/>
                <w:color w:val="auto"/>
              </w:rPr>
            </w:pPr>
          </w:p>
        </w:tc>
        <w:tc>
          <w:tcPr>
            <w:tcW w:w="1740" w:type="dxa"/>
            <w:vAlign w:val="bottom"/>
            <w:tcBorders>
              <w:bottom w:val="single" w:sz="8" w:color="959595"/>
            </w:tcBorders>
          </w:tcPr>
          <w:p>
            <w:pPr>
              <w:spacing w:after="0"/>
              <w:rPr>
                <w:sz w:val="18"/>
                <w:szCs w:val="18"/>
                <w:color w:val="auto"/>
              </w:rPr>
            </w:pPr>
          </w:p>
        </w:tc>
        <w:tc>
          <w:tcPr>
            <w:tcW w:w="1260" w:type="dxa"/>
            <w:vAlign w:val="bottom"/>
            <w:tcBorders>
              <w:bottom w:val="single" w:sz="8" w:color="959595"/>
            </w:tcBorders>
          </w:tcPr>
          <w:p>
            <w:pPr>
              <w:spacing w:after="0"/>
              <w:rPr>
                <w:sz w:val="18"/>
                <w:szCs w:val="18"/>
                <w:color w:val="auto"/>
              </w:rPr>
            </w:pPr>
          </w:p>
        </w:tc>
        <w:tc>
          <w:tcPr>
            <w:tcW w:w="1640" w:type="dxa"/>
            <w:vAlign w:val="bottom"/>
            <w:tcBorders>
              <w:bottom w:val="single" w:sz="8" w:color="959595"/>
            </w:tcBorders>
          </w:tcPr>
          <w:p>
            <w:pPr>
              <w:spacing w:after="0"/>
              <w:rPr>
                <w:sz w:val="18"/>
                <w:szCs w:val="18"/>
                <w:color w:val="auto"/>
              </w:rPr>
            </w:pPr>
          </w:p>
        </w:tc>
        <w:tc>
          <w:tcPr>
            <w:tcW w:w="1340" w:type="dxa"/>
            <w:vAlign w:val="bottom"/>
            <w:tcBorders>
              <w:bottom w:val="single" w:sz="8" w:color="959595"/>
            </w:tcBorders>
          </w:tcPr>
          <w:p>
            <w:pPr>
              <w:jc w:val="right"/>
              <w:spacing w:after="0"/>
              <w:rPr>
                <w:sz w:val="20"/>
                <w:szCs w:val="20"/>
                <w:color w:val="auto"/>
              </w:rPr>
            </w:pPr>
            <w:r>
              <w:rPr>
                <w:rFonts w:ascii="Arial" w:cs="Arial" w:eastAsia="Arial" w:hAnsi="Arial"/>
                <w:sz w:val="16"/>
                <w:szCs w:val="16"/>
                <w:b w:val="1"/>
                <w:bCs w:val="1"/>
                <w:color w:val="002E6D"/>
              </w:rPr>
              <w:t>103 %</w:t>
            </w:r>
          </w:p>
        </w:tc>
      </w:tr>
    </w:tbl>
    <w:p>
      <w:pPr>
        <w:spacing w:after="0" w:line="153" w:lineRule="exact"/>
        <w:rPr>
          <w:sz w:val="20"/>
          <w:szCs w:val="20"/>
          <w:color w:val="auto"/>
        </w:rPr>
      </w:pPr>
    </w:p>
    <w:p>
      <w:pPr>
        <w:ind w:left="220" w:hanging="213"/>
        <w:spacing w:after="0"/>
        <w:tabs>
          <w:tab w:leader="none" w:pos="2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See Appendix A for definition of Non-GAAP measures.</w:t>
      </w:r>
    </w:p>
    <w:p>
      <w:pPr>
        <w:spacing w:after="0" w:line="54" w:lineRule="exact"/>
        <w:rPr>
          <w:sz w:val="20"/>
          <w:szCs w:val="20"/>
          <w:color w:val="auto"/>
        </w:rPr>
      </w:pPr>
    </w:p>
    <w:p>
      <w:pPr>
        <w:ind w:left="240" w:right="260" w:hanging="233"/>
        <w:spacing w:after="0" w:line="276" w:lineRule="auto"/>
        <w:tabs>
          <w:tab w:leader="none" w:pos="269" w:val="left"/>
        </w:tabs>
        <w:numPr>
          <w:ilvl w:val="0"/>
          <w:numId w:val="77"/>
        </w:numPr>
        <w:rPr>
          <w:rFonts w:ascii="Arial" w:cs="Arial" w:eastAsia="Arial" w:hAnsi="Arial"/>
          <w:sz w:val="14"/>
          <w:szCs w:val="14"/>
          <w:color w:val="auto"/>
        </w:rPr>
      </w:pPr>
      <w:r>
        <w:rPr>
          <w:rFonts w:ascii="Arial" w:cs="Arial" w:eastAsia="Arial" w:hAnsi="Arial"/>
          <w:sz w:val="14"/>
          <w:szCs w:val="14"/>
          <w:color w:val="auto"/>
        </w:rPr>
        <w:t>Reported Cash from Operations for 2021 was $9,221M and is adjusted here to reflect the net after tax impact of not making previously planned pension contributions that had been included in the 2021 goal, but which became unnecessary because of the American Rescue Plan Act of 2021.</w:t>
      </w:r>
    </w:p>
    <w:p>
      <w:pPr>
        <w:spacing w:after="0" w:line="200" w:lineRule="exact"/>
        <w:rPr>
          <w:sz w:val="20"/>
          <w:szCs w:val="20"/>
          <w:color w:val="auto"/>
        </w:rPr>
      </w:pPr>
    </w:p>
    <w:p>
      <w:pPr>
        <w:spacing w:after="0" w:line="393"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44</w:t>
      </w:r>
    </w:p>
    <w:p>
      <w:pPr>
        <w:sectPr>
          <w:pgSz w:w="11900" w:h="16838" w:orient="portrait"/>
          <w:cols w:equalWidth="0" w:num="1">
            <w:col w:w="11240"/>
          </w:cols>
          <w:pgMar w:left="320" w:top="254" w:right="33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b w:val="1"/>
          <w:bCs w:val="1"/>
          <w:color w:val="auto"/>
        </w:rPr>
        <w:t xml:space="preserve">Strategic &amp; Operational Assessment (30% Weight). </w:t>
      </w:r>
      <w:r>
        <w:rPr>
          <w:rFonts w:ascii="Arial" w:cs="Arial" w:eastAsia="Arial" w:hAnsi="Arial"/>
          <w:sz w:val="17"/>
          <w:szCs w:val="17"/>
          <w:color w:val="auto"/>
        </w:rPr>
        <w:t>Our strategic and operational performance assessments are evaluated differently than</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performance assessments. For the 2021 performance year, a broad set of goals was established for our strategic and operational commitments at the beginning of the year, including goals tied to the development of new business, enterprise performance, technological innovation, and executing on sustainability initiatives, such as achievement of pre-established measures and targets related to diversity and talent management. Strategic and operational performance goals are both quantitative and qualitative in nature and measured against pre-established criteria using a scorecard approach. When determining the payout factor, the Compensation Committee considers the results and evaluates performance in totality. The strategic and operational performance goals and results are set forth below.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381"/>
        </w:trPr>
        <w:tc>
          <w:tcPr>
            <w:tcW w:w="5380" w:type="dxa"/>
            <w:vAlign w:val="bottom"/>
            <w:tcBorders>
              <w:bottom w:val="single" w:sz="8" w:color="E4E6EF"/>
            </w:tcBorders>
            <w:shd w:val="clear" w:color="auto" w:fill="E4E6EF"/>
          </w:tcPr>
          <w:p>
            <w:pPr>
              <w:ind w:left="20"/>
              <w:spacing w:after="0"/>
              <w:rPr>
                <w:sz w:val="20"/>
                <w:szCs w:val="20"/>
                <w:color w:val="auto"/>
              </w:rPr>
            </w:pPr>
            <w:r>
              <w:rPr>
                <w:rFonts w:ascii="Arial" w:cs="Arial" w:eastAsia="Arial" w:hAnsi="Arial"/>
                <w:sz w:val="16"/>
                <w:szCs w:val="16"/>
                <w:b w:val="1"/>
                <w:bCs w:val="1"/>
                <w:color w:val="003478"/>
              </w:rPr>
              <w:t>2021 Strategic &amp; Operational Goals Summary</w:t>
            </w:r>
          </w:p>
        </w:tc>
        <w:tc>
          <w:tcPr>
            <w:tcW w:w="5860" w:type="dxa"/>
            <w:vAlign w:val="bottom"/>
            <w:tcBorders>
              <w:bottom w:val="single" w:sz="8" w:color="E4E6EF"/>
            </w:tcBorders>
            <w:shd w:val="clear" w:color="auto" w:fill="E4E6EF"/>
          </w:tcPr>
          <w:p>
            <w:pPr>
              <w:ind w:left="20"/>
              <w:spacing w:after="0"/>
              <w:rPr>
                <w:sz w:val="20"/>
                <w:szCs w:val="20"/>
                <w:color w:val="auto"/>
              </w:rPr>
            </w:pPr>
            <w:r>
              <w:rPr>
                <w:rFonts w:ascii="Arial" w:cs="Arial" w:eastAsia="Arial" w:hAnsi="Arial"/>
                <w:sz w:val="16"/>
                <w:szCs w:val="16"/>
                <w:b w:val="1"/>
                <w:bCs w:val="1"/>
                <w:color w:val="003478"/>
              </w:rPr>
              <w:t>Assessment Summary Highlights</w:t>
            </w:r>
          </w:p>
        </w:tc>
        <w:tc>
          <w:tcPr>
            <w:tcW w:w="0" w:type="dxa"/>
            <w:vAlign w:val="bottom"/>
          </w:tcPr>
          <w:p>
            <w:pPr>
              <w:spacing w:after="0"/>
              <w:rPr>
                <w:sz w:val="1"/>
                <w:szCs w:val="1"/>
                <w:color w:val="auto"/>
              </w:rPr>
            </w:pPr>
          </w:p>
        </w:tc>
      </w:tr>
      <w:tr>
        <w:trPr>
          <w:trHeight w:val="216"/>
        </w:trPr>
        <w:tc>
          <w:tcPr>
            <w:tcW w:w="5380" w:type="dxa"/>
            <w:vAlign w:val="bottom"/>
            <w:tcBorders>
              <w:top w:val="single" w:sz="8" w:color="959595"/>
            </w:tcBorders>
            <w:vMerge w:val="restart"/>
          </w:tcPr>
          <w:p>
            <w:pPr>
              <w:ind w:left="920"/>
              <w:spacing w:after="0"/>
              <w:rPr>
                <w:sz w:val="20"/>
                <w:szCs w:val="20"/>
                <w:color w:val="auto"/>
              </w:rPr>
            </w:pPr>
            <w:r>
              <w:rPr>
                <w:rFonts w:ascii="Arial" w:cs="Arial" w:eastAsia="Arial" w:hAnsi="Arial"/>
                <w:sz w:val="17"/>
                <w:szCs w:val="17"/>
                <w:color w:val="auto"/>
              </w:rPr>
              <w:t>FOCUS PROGRAMS</w:t>
            </w:r>
          </w:p>
        </w:tc>
        <w:tc>
          <w:tcPr>
            <w:tcW w:w="5860" w:type="dxa"/>
            <w:vAlign w:val="bottom"/>
            <w:tcBorders>
              <w:top w:val="single" w:sz="8" w:color="959595"/>
            </w:tcBorders>
          </w:tcPr>
          <w:p>
            <w:pPr>
              <w:ind w:left="20"/>
              <w:spacing w:after="0"/>
              <w:rPr>
                <w:sz w:val="20"/>
                <w:szCs w:val="20"/>
                <w:color w:val="auto"/>
              </w:rPr>
            </w:pPr>
            <w:r>
              <w:rPr>
                <w:rFonts w:ascii="Arial" w:cs="Arial" w:eastAsia="Arial" w:hAnsi="Arial"/>
                <w:sz w:val="16"/>
                <w:szCs w:val="16"/>
                <w:color w:val="003478"/>
              </w:rPr>
              <w:t xml:space="preserve">• </w:t>
            </w:r>
            <w:r>
              <w:rPr>
                <w:rFonts w:ascii="Arial" w:cs="Arial" w:eastAsia="Arial" w:hAnsi="Arial"/>
                <w:sz w:val="16"/>
                <w:szCs w:val="16"/>
                <w:color w:val="000000"/>
              </w:rPr>
              <w:t>Orders of $53.4 billion and year-end backlog of $135.4 billion</w:t>
            </w:r>
          </w:p>
        </w:tc>
        <w:tc>
          <w:tcPr>
            <w:tcW w:w="0" w:type="dxa"/>
            <w:vAlign w:val="bottom"/>
          </w:tcPr>
          <w:p>
            <w:pPr>
              <w:spacing w:after="0"/>
              <w:rPr>
                <w:sz w:val="1"/>
                <w:szCs w:val="1"/>
                <w:color w:val="auto"/>
              </w:rPr>
            </w:pPr>
          </w:p>
        </w:tc>
      </w:tr>
      <w:tr>
        <w:trPr>
          <w:trHeight w:val="109"/>
        </w:trPr>
        <w:tc>
          <w:tcPr>
            <w:tcW w:w="5380" w:type="dxa"/>
            <w:vAlign w:val="bottom"/>
            <w:vMerge w:val="continue"/>
          </w:tcPr>
          <w:p>
            <w:pPr>
              <w:spacing w:after="0"/>
              <w:rPr>
                <w:sz w:val="9"/>
                <w:szCs w:val="9"/>
                <w:color w:val="auto"/>
              </w:rPr>
            </w:pPr>
          </w:p>
        </w:tc>
        <w:tc>
          <w:tcPr>
            <w:tcW w:w="5860" w:type="dxa"/>
            <w:vAlign w:val="bottom"/>
            <w:vMerge w:val="restart"/>
          </w:tcPr>
          <w:p>
            <w:pPr>
              <w:ind w:left="20"/>
              <w:spacing w:after="0"/>
              <w:rPr>
                <w:sz w:val="20"/>
                <w:szCs w:val="20"/>
                <w:color w:val="auto"/>
              </w:rPr>
            </w:pPr>
            <w:r>
              <w:rPr>
                <w:rFonts w:ascii="Arial" w:cs="Arial" w:eastAsia="Arial" w:hAnsi="Arial"/>
                <w:sz w:val="16"/>
                <w:szCs w:val="16"/>
                <w:color w:val="003478"/>
              </w:rPr>
              <w:t xml:space="preserve">• </w:t>
            </w:r>
            <w:r>
              <w:rPr>
                <w:rFonts w:ascii="Arial" w:cs="Arial" w:eastAsia="Arial" w:hAnsi="Arial"/>
                <w:sz w:val="16"/>
                <w:szCs w:val="16"/>
                <w:color w:val="000000"/>
              </w:rPr>
              <w:t>Achieved 100% focus program and 69% keep sold program milestones</w:t>
            </w:r>
          </w:p>
        </w:tc>
        <w:tc>
          <w:tcPr>
            <w:tcW w:w="0" w:type="dxa"/>
            <w:vAlign w:val="bottom"/>
          </w:tcPr>
          <w:p>
            <w:pPr>
              <w:spacing w:after="0"/>
              <w:rPr>
                <w:sz w:val="1"/>
                <w:szCs w:val="1"/>
                <w:color w:val="auto"/>
              </w:rPr>
            </w:pPr>
          </w:p>
        </w:tc>
      </w:tr>
      <w:tr>
        <w:trPr>
          <w:trHeight w:val="92"/>
        </w:trPr>
        <w:tc>
          <w:tcPr>
            <w:tcW w:w="5380" w:type="dxa"/>
            <w:vAlign w:val="bottom"/>
            <w:vMerge w:val="restart"/>
          </w:tcPr>
          <w:p>
            <w:pPr>
              <w:ind w:left="920"/>
              <w:spacing w:after="0"/>
              <w:rPr>
                <w:sz w:val="20"/>
                <w:szCs w:val="20"/>
                <w:color w:val="auto"/>
              </w:rPr>
            </w:pPr>
            <w:r>
              <w:rPr>
                <w:rFonts w:ascii="Arial" w:cs="Arial" w:eastAsia="Arial" w:hAnsi="Arial"/>
                <w:sz w:val="16"/>
                <w:szCs w:val="16"/>
                <w:color w:val="auto"/>
              </w:rPr>
              <w:t>Shape and secure key Focus Program wins and achieve</w:t>
            </w:r>
          </w:p>
        </w:tc>
        <w:tc>
          <w:tcPr>
            <w:tcW w:w="5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5380" w:type="dxa"/>
            <w:vAlign w:val="bottom"/>
            <w:vMerge w:val="continue"/>
          </w:tcPr>
          <w:p>
            <w:pPr>
              <w:spacing w:after="0"/>
              <w:rPr>
                <w:sz w:val="14"/>
                <w:szCs w:val="14"/>
                <w:color w:val="auto"/>
              </w:rPr>
            </w:pPr>
          </w:p>
        </w:tc>
        <w:tc>
          <w:tcPr>
            <w:tcW w:w="5860" w:type="dxa"/>
            <w:vAlign w:val="bottom"/>
          </w:tcPr>
          <w:p>
            <w:pPr>
              <w:ind w:left="20"/>
              <w:spacing w:after="0" w:line="169" w:lineRule="exact"/>
              <w:rPr>
                <w:sz w:val="20"/>
                <w:szCs w:val="20"/>
                <w:color w:val="auto"/>
              </w:rPr>
            </w:pPr>
            <w:r>
              <w:rPr>
                <w:rFonts w:ascii="Arial" w:cs="Arial" w:eastAsia="Arial" w:hAnsi="Arial"/>
                <w:sz w:val="16"/>
                <w:szCs w:val="16"/>
                <w:color w:val="003478"/>
              </w:rPr>
              <w:t xml:space="preserve">• </w:t>
            </w:r>
            <w:r>
              <w:rPr>
                <w:rFonts w:ascii="Arial" w:cs="Arial" w:eastAsia="Arial" w:hAnsi="Arial"/>
                <w:sz w:val="16"/>
                <w:szCs w:val="16"/>
                <w:color w:val="000000"/>
              </w:rPr>
              <w:t>Competitive win rate on programs throughout the year (72% bids, 85% dollars)</w:t>
            </w:r>
          </w:p>
        </w:tc>
        <w:tc>
          <w:tcPr>
            <w:tcW w:w="0" w:type="dxa"/>
            <w:vAlign w:val="bottom"/>
          </w:tcPr>
          <w:p>
            <w:pPr>
              <w:spacing w:after="0"/>
              <w:rPr>
                <w:sz w:val="1"/>
                <w:szCs w:val="1"/>
                <w:color w:val="auto"/>
              </w:rPr>
            </w:pPr>
          </w:p>
        </w:tc>
      </w:tr>
      <w:tr>
        <w:trPr>
          <w:trHeight w:val="194"/>
        </w:trPr>
        <w:tc>
          <w:tcPr>
            <w:tcW w:w="5380" w:type="dxa"/>
            <w:vAlign w:val="bottom"/>
          </w:tcPr>
          <w:p>
            <w:pPr>
              <w:ind w:left="920"/>
              <w:spacing w:after="0"/>
              <w:rPr>
                <w:sz w:val="20"/>
                <w:szCs w:val="20"/>
                <w:color w:val="auto"/>
              </w:rPr>
            </w:pPr>
            <w:r>
              <w:rPr>
                <w:rFonts w:ascii="Arial" w:cs="Arial" w:eastAsia="Arial" w:hAnsi="Arial"/>
                <w:sz w:val="16"/>
                <w:szCs w:val="16"/>
                <w:color w:val="auto"/>
              </w:rPr>
              <w:t>Keep Sold Program milestones</w:t>
            </w:r>
          </w:p>
        </w:tc>
        <w:tc>
          <w:tcPr>
            <w:tcW w:w="5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380" w:type="dxa"/>
            <w:vAlign w:val="bottom"/>
            <w:tcBorders>
              <w:bottom w:val="single" w:sz="8" w:color="929292"/>
            </w:tcBorders>
          </w:tcPr>
          <w:p>
            <w:pPr>
              <w:spacing w:after="0"/>
              <w:rPr>
                <w:sz w:val="19"/>
                <w:szCs w:val="19"/>
                <w:color w:val="auto"/>
              </w:rPr>
            </w:pPr>
          </w:p>
        </w:tc>
        <w:tc>
          <w:tcPr>
            <w:tcW w:w="5860" w:type="dxa"/>
            <w:vAlign w:val="bottom"/>
            <w:tcBorders>
              <w:bottom w:val="single" w:sz="8" w:color="959595"/>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380" w:type="dxa"/>
            <w:vAlign w:val="bottom"/>
          </w:tcPr>
          <w:p>
            <w:pPr>
              <w:ind w:left="920"/>
              <w:spacing w:after="0"/>
              <w:rPr>
                <w:sz w:val="20"/>
                <w:szCs w:val="20"/>
                <w:color w:val="auto"/>
              </w:rPr>
            </w:pPr>
            <w:r>
              <w:rPr>
                <w:rFonts w:ascii="Arial" w:cs="Arial" w:eastAsia="Arial" w:hAnsi="Arial"/>
                <w:sz w:val="17"/>
                <w:szCs w:val="17"/>
                <w:color w:val="auto"/>
              </w:rPr>
              <w:t>INTERNATIONAL</w:t>
            </w:r>
          </w:p>
        </w:tc>
        <w:tc>
          <w:tcPr>
            <w:tcW w:w="5860" w:type="dxa"/>
            <w:vAlign w:val="bottom"/>
          </w:tcPr>
          <w:p>
            <w:pPr>
              <w:ind w:left="20"/>
              <w:spacing w:after="0"/>
              <w:rPr>
                <w:sz w:val="20"/>
                <w:szCs w:val="20"/>
                <w:color w:val="auto"/>
              </w:rPr>
            </w:pPr>
            <w:r>
              <w:rPr>
                <w:rFonts w:ascii="Arial" w:cs="Arial" w:eastAsia="Arial" w:hAnsi="Arial"/>
                <w:sz w:val="16"/>
                <w:szCs w:val="16"/>
                <w:color w:val="003478"/>
              </w:rPr>
              <w:t xml:space="preserve">• </w:t>
            </w:r>
            <w:r>
              <w:rPr>
                <w:rFonts w:ascii="Arial" w:cs="Arial" w:eastAsia="Arial" w:hAnsi="Arial"/>
                <w:sz w:val="16"/>
                <w:szCs w:val="16"/>
                <w:color w:val="000000"/>
              </w:rPr>
              <w:t>$18.4 billion of net sales to international customers (including foreign military</w:t>
            </w:r>
          </w:p>
        </w:tc>
        <w:tc>
          <w:tcPr>
            <w:tcW w:w="0" w:type="dxa"/>
            <w:vAlign w:val="bottom"/>
          </w:tcPr>
          <w:p>
            <w:pPr>
              <w:spacing w:after="0"/>
              <w:rPr>
                <w:sz w:val="1"/>
                <w:szCs w:val="1"/>
                <w:color w:val="auto"/>
              </w:rPr>
            </w:pPr>
          </w:p>
        </w:tc>
      </w:tr>
      <w:tr>
        <w:trPr>
          <w:trHeight w:val="194"/>
        </w:trPr>
        <w:tc>
          <w:tcPr>
            <w:tcW w:w="5380" w:type="dxa"/>
            <w:vAlign w:val="bottom"/>
            <w:vMerge w:val="restart"/>
          </w:tcPr>
          <w:p>
            <w:pPr>
              <w:ind w:left="920"/>
              <w:spacing w:after="0"/>
              <w:rPr>
                <w:sz w:val="20"/>
                <w:szCs w:val="20"/>
                <w:color w:val="auto"/>
              </w:rPr>
            </w:pPr>
            <w:r>
              <w:rPr>
                <w:rFonts w:ascii="Arial" w:cs="Arial" w:eastAsia="Arial" w:hAnsi="Arial"/>
                <w:sz w:val="16"/>
                <w:szCs w:val="16"/>
                <w:color w:val="auto"/>
              </w:rPr>
              <w:t>Continue international expansion through increased</w:t>
            </w:r>
          </w:p>
        </w:tc>
        <w:tc>
          <w:tcPr>
            <w:tcW w:w="5860" w:type="dxa"/>
            <w:vAlign w:val="bottom"/>
          </w:tcPr>
          <w:p>
            <w:pPr>
              <w:ind w:left="180"/>
              <w:spacing w:after="0"/>
              <w:rPr>
                <w:sz w:val="20"/>
                <w:szCs w:val="20"/>
                <w:color w:val="auto"/>
              </w:rPr>
            </w:pPr>
            <w:r>
              <w:rPr>
                <w:rFonts w:ascii="Arial" w:cs="Arial" w:eastAsia="Arial" w:hAnsi="Arial"/>
                <w:sz w:val="16"/>
                <w:szCs w:val="16"/>
                <w:color w:val="auto"/>
              </w:rPr>
              <w:t>sales)</w:t>
            </w:r>
          </w:p>
        </w:tc>
        <w:tc>
          <w:tcPr>
            <w:tcW w:w="0" w:type="dxa"/>
            <w:vAlign w:val="bottom"/>
          </w:tcPr>
          <w:p>
            <w:pPr>
              <w:spacing w:after="0"/>
              <w:rPr>
                <w:sz w:val="1"/>
                <w:szCs w:val="1"/>
                <w:color w:val="auto"/>
              </w:rPr>
            </w:pPr>
          </w:p>
        </w:tc>
      </w:tr>
      <w:tr>
        <w:trPr>
          <w:trHeight w:val="107"/>
        </w:trPr>
        <w:tc>
          <w:tcPr>
            <w:tcW w:w="5380" w:type="dxa"/>
            <w:vAlign w:val="bottom"/>
            <w:vMerge w:val="continue"/>
          </w:tcPr>
          <w:p>
            <w:pPr>
              <w:spacing w:after="0"/>
              <w:rPr>
                <w:sz w:val="9"/>
                <w:szCs w:val="9"/>
                <w:color w:val="auto"/>
              </w:rPr>
            </w:pPr>
          </w:p>
        </w:tc>
        <w:tc>
          <w:tcPr>
            <w:tcW w:w="5860" w:type="dxa"/>
            <w:vAlign w:val="bottom"/>
            <w:vMerge w:val="restart"/>
          </w:tcPr>
          <w:p>
            <w:pPr>
              <w:ind w:left="20"/>
              <w:spacing w:after="0"/>
              <w:rPr>
                <w:sz w:val="20"/>
                <w:szCs w:val="20"/>
                <w:color w:val="auto"/>
              </w:rPr>
            </w:pPr>
            <w:r>
              <w:rPr>
                <w:rFonts w:ascii="Arial" w:cs="Arial" w:eastAsia="Arial" w:hAnsi="Arial"/>
                <w:sz w:val="16"/>
                <w:szCs w:val="16"/>
                <w:color w:val="003478"/>
              </w:rPr>
              <w:t xml:space="preserve">• </w:t>
            </w:r>
            <w:r>
              <w:rPr>
                <w:rFonts w:ascii="Arial" w:cs="Arial" w:eastAsia="Arial" w:hAnsi="Arial"/>
                <w:sz w:val="16"/>
                <w:szCs w:val="16"/>
                <w:color w:val="000000"/>
              </w:rPr>
              <w:t>Continued strong international interest in our programs and focus on</w:t>
            </w:r>
          </w:p>
        </w:tc>
        <w:tc>
          <w:tcPr>
            <w:tcW w:w="0" w:type="dxa"/>
            <w:vAlign w:val="bottom"/>
          </w:tcPr>
          <w:p>
            <w:pPr>
              <w:spacing w:after="0"/>
              <w:rPr>
                <w:sz w:val="1"/>
                <w:szCs w:val="1"/>
                <w:color w:val="auto"/>
              </w:rPr>
            </w:pPr>
          </w:p>
        </w:tc>
      </w:tr>
      <w:tr>
        <w:trPr>
          <w:trHeight w:val="94"/>
        </w:trPr>
        <w:tc>
          <w:tcPr>
            <w:tcW w:w="5380" w:type="dxa"/>
            <w:vAlign w:val="bottom"/>
            <w:vMerge w:val="restart"/>
          </w:tcPr>
          <w:p>
            <w:pPr>
              <w:ind w:left="920"/>
              <w:spacing w:after="0"/>
              <w:rPr>
                <w:sz w:val="20"/>
                <w:szCs w:val="20"/>
                <w:color w:val="auto"/>
              </w:rPr>
            </w:pPr>
            <w:r>
              <w:rPr>
                <w:rFonts w:ascii="Arial" w:cs="Arial" w:eastAsia="Arial" w:hAnsi="Arial"/>
                <w:sz w:val="16"/>
                <w:szCs w:val="16"/>
                <w:color w:val="auto"/>
              </w:rPr>
              <w:t>orders and sales</w:t>
            </w:r>
          </w:p>
        </w:tc>
        <w:tc>
          <w:tcPr>
            <w:tcW w:w="5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5380" w:type="dxa"/>
            <w:vAlign w:val="bottom"/>
            <w:vMerge w:val="continue"/>
          </w:tcPr>
          <w:p>
            <w:pPr>
              <w:spacing w:after="0"/>
              <w:rPr>
                <w:sz w:val="9"/>
                <w:szCs w:val="9"/>
                <w:color w:val="auto"/>
              </w:rPr>
            </w:pPr>
          </w:p>
        </w:tc>
        <w:tc>
          <w:tcPr>
            <w:tcW w:w="5860" w:type="dxa"/>
            <w:vAlign w:val="bottom"/>
            <w:vMerge w:val="restart"/>
          </w:tcPr>
          <w:p>
            <w:pPr>
              <w:ind w:left="180"/>
              <w:spacing w:after="0"/>
              <w:rPr>
                <w:sz w:val="20"/>
                <w:szCs w:val="20"/>
                <w:color w:val="auto"/>
              </w:rPr>
            </w:pPr>
            <w:r>
              <w:rPr>
                <w:rFonts w:ascii="Arial" w:cs="Arial" w:eastAsia="Arial" w:hAnsi="Arial"/>
                <w:sz w:val="16"/>
                <w:szCs w:val="16"/>
                <w:color w:val="auto"/>
              </w:rPr>
              <w:t>strengthening international relationships</w:t>
            </w:r>
          </w:p>
        </w:tc>
        <w:tc>
          <w:tcPr>
            <w:tcW w:w="0" w:type="dxa"/>
            <w:vAlign w:val="bottom"/>
          </w:tcPr>
          <w:p>
            <w:pPr>
              <w:spacing w:after="0"/>
              <w:rPr>
                <w:sz w:val="1"/>
                <w:szCs w:val="1"/>
                <w:color w:val="auto"/>
              </w:rPr>
            </w:pPr>
          </w:p>
        </w:tc>
      </w:tr>
      <w:tr>
        <w:trPr>
          <w:trHeight w:val="94"/>
        </w:trPr>
        <w:tc>
          <w:tcPr>
            <w:tcW w:w="5380" w:type="dxa"/>
            <w:vAlign w:val="bottom"/>
          </w:tcPr>
          <w:p>
            <w:pPr>
              <w:spacing w:after="0"/>
              <w:rPr>
                <w:sz w:val="8"/>
                <w:szCs w:val="8"/>
                <w:color w:val="auto"/>
              </w:rPr>
            </w:pPr>
          </w:p>
        </w:tc>
        <w:tc>
          <w:tcPr>
            <w:tcW w:w="5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5380" w:type="dxa"/>
            <w:vAlign w:val="bottom"/>
            <w:tcBorders>
              <w:bottom w:val="single" w:sz="8" w:color="959595"/>
            </w:tcBorders>
          </w:tcPr>
          <w:p>
            <w:pPr>
              <w:spacing w:after="0"/>
              <w:rPr>
                <w:sz w:val="2"/>
                <w:szCs w:val="2"/>
                <w:color w:val="auto"/>
              </w:rPr>
            </w:pPr>
          </w:p>
        </w:tc>
        <w:tc>
          <w:tcPr>
            <w:tcW w:w="5860" w:type="dxa"/>
            <w:vAlign w:val="bottom"/>
            <w:tcBorders>
              <w:bottom w:val="single" w:sz="8" w:color="959595"/>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5380" w:type="dxa"/>
            <w:vAlign w:val="bottom"/>
          </w:tcPr>
          <w:p>
            <w:pPr>
              <w:ind w:left="920"/>
              <w:spacing w:after="0"/>
              <w:rPr>
                <w:sz w:val="20"/>
                <w:szCs w:val="20"/>
                <w:color w:val="auto"/>
              </w:rPr>
            </w:pPr>
            <w:r>
              <w:rPr>
                <w:rFonts w:ascii="Arial" w:cs="Arial" w:eastAsia="Arial" w:hAnsi="Arial"/>
                <w:sz w:val="17"/>
                <w:szCs w:val="17"/>
                <w:color w:val="auto"/>
              </w:rPr>
              <w:t>MISSION SUCCESS</w:t>
            </w:r>
          </w:p>
        </w:tc>
        <w:tc>
          <w:tcPr>
            <w:tcW w:w="5860" w:type="dxa"/>
            <w:vAlign w:val="bottom"/>
          </w:tcPr>
          <w:p>
            <w:pPr>
              <w:ind w:left="20"/>
              <w:spacing w:after="0"/>
              <w:rPr>
                <w:sz w:val="20"/>
                <w:szCs w:val="20"/>
                <w:color w:val="auto"/>
              </w:rPr>
            </w:pPr>
            <w:r>
              <w:rPr>
                <w:rFonts w:ascii="Arial" w:cs="Arial" w:eastAsia="Arial" w:hAnsi="Arial"/>
                <w:sz w:val="16"/>
                <w:szCs w:val="16"/>
                <w:color w:val="003478"/>
              </w:rPr>
              <w:t xml:space="preserve">• </w:t>
            </w:r>
            <w:r>
              <w:rPr>
                <w:rFonts w:ascii="Arial" w:cs="Arial" w:eastAsia="Arial" w:hAnsi="Arial"/>
                <w:sz w:val="16"/>
                <w:szCs w:val="16"/>
                <w:color w:val="000000"/>
              </w:rPr>
              <w:t>Achieved objectives for key metrics while mitigating external factors with</w:t>
            </w:r>
          </w:p>
        </w:tc>
        <w:tc>
          <w:tcPr>
            <w:tcW w:w="0" w:type="dxa"/>
            <w:vAlign w:val="bottom"/>
          </w:tcPr>
          <w:p>
            <w:pPr>
              <w:spacing w:after="0"/>
              <w:rPr>
                <w:sz w:val="1"/>
                <w:szCs w:val="1"/>
                <w:color w:val="auto"/>
              </w:rPr>
            </w:pPr>
          </w:p>
        </w:tc>
      </w:tr>
      <w:tr>
        <w:trPr>
          <w:trHeight w:val="194"/>
        </w:trPr>
        <w:tc>
          <w:tcPr>
            <w:tcW w:w="5380" w:type="dxa"/>
            <w:vAlign w:val="bottom"/>
            <w:vMerge w:val="restart"/>
          </w:tcPr>
          <w:p>
            <w:pPr>
              <w:ind w:left="920"/>
              <w:spacing w:after="0"/>
              <w:rPr>
                <w:sz w:val="20"/>
                <w:szCs w:val="20"/>
                <w:color w:val="auto"/>
              </w:rPr>
            </w:pPr>
            <w:r>
              <w:rPr>
                <w:rFonts w:ascii="Arial" w:cs="Arial" w:eastAsia="Arial" w:hAnsi="Arial"/>
                <w:sz w:val="16"/>
                <w:szCs w:val="16"/>
                <w:color w:val="auto"/>
              </w:rPr>
              <w:t>Achieve Mission Success milestones</w:t>
            </w:r>
          </w:p>
        </w:tc>
        <w:tc>
          <w:tcPr>
            <w:tcW w:w="5860" w:type="dxa"/>
            <w:vAlign w:val="bottom"/>
          </w:tcPr>
          <w:p>
            <w:pPr>
              <w:ind w:left="180"/>
              <w:spacing w:after="0"/>
              <w:rPr>
                <w:sz w:val="20"/>
                <w:szCs w:val="20"/>
                <w:color w:val="auto"/>
              </w:rPr>
            </w:pPr>
            <w:r>
              <w:rPr>
                <w:rFonts w:ascii="Arial" w:cs="Arial" w:eastAsia="Arial" w:hAnsi="Arial"/>
                <w:sz w:val="16"/>
                <w:szCs w:val="16"/>
                <w:color w:val="auto"/>
              </w:rPr>
              <w:t>completion of 91% targeted Mission Success events</w:t>
            </w:r>
          </w:p>
        </w:tc>
        <w:tc>
          <w:tcPr>
            <w:tcW w:w="0" w:type="dxa"/>
            <w:vAlign w:val="bottom"/>
          </w:tcPr>
          <w:p>
            <w:pPr>
              <w:spacing w:after="0"/>
              <w:rPr>
                <w:sz w:val="1"/>
                <w:szCs w:val="1"/>
                <w:color w:val="auto"/>
              </w:rPr>
            </w:pPr>
          </w:p>
        </w:tc>
      </w:tr>
      <w:tr>
        <w:trPr>
          <w:trHeight w:val="107"/>
        </w:trPr>
        <w:tc>
          <w:tcPr>
            <w:tcW w:w="5380" w:type="dxa"/>
            <w:vAlign w:val="bottom"/>
            <w:vMerge w:val="continue"/>
          </w:tcPr>
          <w:p>
            <w:pPr>
              <w:spacing w:after="0"/>
              <w:rPr>
                <w:sz w:val="9"/>
                <w:szCs w:val="9"/>
                <w:color w:val="auto"/>
              </w:rPr>
            </w:pPr>
          </w:p>
        </w:tc>
        <w:tc>
          <w:tcPr>
            <w:tcW w:w="5860" w:type="dxa"/>
            <w:vAlign w:val="bottom"/>
            <w:vMerge w:val="restart"/>
          </w:tcPr>
          <w:p>
            <w:pPr>
              <w:ind w:left="20"/>
              <w:spacing w:after="0"/>
              <w:rPr>
                <w:sz w:val="20"/>
                <w:szCs w:val="20"/>
                <w:color w:val="auto"/>
              </w:rPr>
            </w:pPr>
            <w:r>
              <w:rPr>
                <w:rFonts w:ascii="Arial" w:cs="Arial" w:eastAsia="Arial" w:hAnsi="Arial"/>
                <w:sz w:val="16"/>
                <w:szCs w:val="16"/>
                <w:color w:val="003478"/>
              </w:rPr>
              <w:t xml:space="preserve">• </w:t>
            </w:r>
            <w:r>
              <w:rPr>
                <w:rFonts w:ascii="Arial" w:cs="Arial" w:eastAsia="Arial" w:hAnsi="Arial"/>
                <w:sz w:val="16"/>
                <w:szCs w:val="16"/>
                <w:color w:val="000000"/>
              </w:rPr>
              <w:t>Key program milestones achieved throughout the Company in all customer</w:t>
            </w:r>
          </w:p>
        </w:tc>
        <w:tc>
          <w:tcPr>
            <w:tcW w:w="0" w:type="dxa"/>
            <w:vAlign w:val="bottom"/>
          </w:tcPr>
          <w:p>
            <w:pPr>
              <w:spacing w:after="0"/>
              <w:rPr>
                <w:sz w:val="1"/>
                <w:szCs w:val="1"/>
                <w:color w:val="auto"/>
              </w:rPr>
            </w:pPr>
          </w:p>
        </w:tc>
      </w:tr>
      <w:tr>
        <w:trPr>
          <w:trHeight w:val="94"/>
        </w:trPr>
        <w:tc>
          <w:tcPr>
            <w:tcW w:w="5380" w:type="dxa"/>
            <w:vAlign w:val="bottom"/>
          </w:tcPr>
          <w:p>
            <w:pPr>
              <w:spacing w:after="0"/>
              <w:rPr>
                <w:sz w:val="8"/>
                <w:szCs w:val="8"/>
                <w:color w:val="auto"/>
              </w:rPr>
            </w:pPr>
          </w:p>
        </w:tc>
        <w:tc>
          <w:tcPr>
            <w:tcW w:w="5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5380" w:type="dxa"/>
            <w:vAlign w:val="bottom"/>
          </w:tcPr>
          <w:p>
            <w:pPr>
              <w:spacing w:after="0"/>
              <w:rPr>
                <w:sz w:val="17"/>
                <w:szCs w:val="17"/>
                <w:color w:val="auto"/>
              </w:rPr>
            </w:pPr>
          </w:p>
        </w:tc>
        <w:tc>
          <w:tcPr>
            <w:tcW w:w="5860" w:type="dxa"/>
            <w:vAlign w:val="bottom"/>
          </w:tcPr>
          <w:p>
            <w:pPr>
              <w:ind w:left="180"/>
              <w:spacing w:after="0"/>
              <w:rPr>
                <w:sz w:val="20"/>
                <w:szCs w:val="20"/>
                <w:color w:val="auto"/>
              </w:rPr>
            </w:pPr>
            <w:r>
              <w:rPr>
                <w:rFonts w:ascii="Arial" w:cs="Arial" w:eastAsia="Arial" w:hAnsi="Arial"/>
                <w:sz w:val="16"/>
                <w:szCs w:val="16"/>
                <w:color w:val="auto"/>
              </w:rPr>
              <w:t>operational domains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71329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-1718945</wp:posOffset>
            </wp:positionV>
            <wp:extent cx="340995" cy="3924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0995" cy="392430"/>
                    </a:xfrm>
                    <a:prstGeom prst="rect">
                      <a:avLst/>
                    </a:prstGeom>
                    <a:noFill/>
                  </pic:spPr>
                </pic:pic>
              </a:graphicData>
            </a:graphic>
          </wp:anchor>
        </w:drawing>
        <w:drawing>
          <wp:anchor simplePos="0" relativeHeight="251657728" behindDoc="1" locked="0" layoutInCell="0" allowOverlap="1">
            <wp:simplePos x="0" y="0"/>
            <wp:positionH relativeFrom="column">
              <wp:posOffset>140970</wp:posOffset>
            </wp:positionH>
            <wp:positionV relativeFrom="paragraph">
              <wp:posOffset>-985520</wp:posOffset>
            </wp:positionV>
            <wp:extent cx="298450" cy="2984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98450" cy="298450"/>
                    </a:xfrm>
                    <a:prstGeom prst="rect">
                      <a:avLst/>
                    </a:prstGeom>
                    <a:noFill/>
                  </pic:spPr>
                </pic:pic>
              </a:graphicData>
            </a:graphic>
          </wp:anchor>
        </w:drawing>
        <w:drawing>
          <wp:anchor simplePos="0" relativeHeight="251657728" behindDoc="1" locked="0" layoutInCell="0" allowOverlap="1">
            <wp:simplePos x="0" y="0"/>
            <wp:positionH relativeFrom="column">
              <wp:posOffset>140970</wp:posOffset>
            </wp:positionH>
            <wp:positionV relativeFrom="paragraph">
              <wp:posOffset>-456565</wp:posOffset>
            </wp:positionV>
            <wp:extent cx="307340" cy="3409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07340" cy="34099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ENTERPRISE PERFORMANCE</w:t>
      </w:r>
    </w:p>
    <w:p>
      <w:pPr>
        <w:spacing w:after="0" w:line="68" w:lineRule="exact"/>
        <w:rPr>
          <w:sz w:val="20"/>
          <w:szCs w:val="20"/>
          <w:color w:val="auto"/>
        </w:rPr>
      </w:pPr>
    </w:p>
    <w:p>
      <w:pPr>
        <w:ind w:left="920" w:right="400"/>
        <w:spacing w:after="0" w:line="267" w:lineRule="auto"/>
        <w:rPr>
          <w:sz w:val="20"/>
          <w:szCs w:val="20"/>
          <w:color w:val="auto"/>
        </w:rPr>
      </w:pPr>
      <w:r>
        <w:rPr>
          <w:rFonts w:ascii="Arial" w:cs="Arial" w:eastAsia="Arial" w:hAnsi="Arial"/>
          <w:sz w:val="16"/>
          <w:szCs w:val="16"/>
          <w:color w:val="auto"/>
        </w:rPr>
        <w:t>Achieve customer commitments and increase stockholder value through Program Performance, Product Deliveries, Supply Chain Performance and Affordability and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195580</wp:posOffset>
            </wp:positionV>
            <wp:extent cx="34131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413125" cy="8255"/>
                    </a:xfrm>
                    <a:prstGeom prst="rect">
                      <a:avLst/>
                    </a:prstGeom>
                    <a:noFill/>
                  </pic:spPr>
                </pic:pic>
              </a:graphicData>
            </a:graphic>
          </wp:anchor>
        </w:drawing>
        <w:drawing>
          <wp:anchor simplePos="0" relativeHeight="251657728" behindDoc="1" locked="0" layoutInCell="0" allowOverlap="1">
            <wp:simplePos x="0" y="0"/>
            <wp:positionH relativeFrom="column">
              <wp:posOffset>140970</wp:posOffset>
            </wp:positionH>
            <wp:positionV relativeFrom="paragraph">
              <wp:posOffset>-477520</wp:posOffset>
            </wp:positionV>
            <wp:extent cx="307340" cy="3498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07340" cy="349885"/>
                    </a:xfrm>
                    <a:prstGeom prst="rect">
                      <a:avLst/>
                    </a:prstGeom>
                    <a:noFill/>
                  </pic:spPr>
                </pic:pic>
              </a:graphicData>
            </a:graphic>
          </wp:anchor>
        </w:drawing>
      </w:r>
    </w:p>
    <w:p>
      <w:pPr>
        <w:spacing w:after="0" w:line="37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PORTFOLIO SHAPING / ENTERPRISE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15240</wp:posOffset>
            </wp:positionV>
            <wp:extent cx="315595" cy="3752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15595" cy="375285"/>
                    </a:xfrm>
                    <a:prstGeom prst="rect">
                      <a:avLst/>
                    </a:prstGeom>
                    <a:noFill/>
                  </pic:spPr>
                </pic:pic>
              </a:graphicData>
            </a:graphic>
          </wp:anchor>
        </w:drawing>
      </w:r>
    </w:p>
    <w:p>
      <w:pPr>
        <w:spacing w:after="0" w:line="59" w:lineRule="exact"/>
        <w:rPr>
          <w:sz w:val="20"/>
          <w:szCs w:val="20"/>
          <w:color w:val="auto"/>
        </w:rPr>
      </w:pPr>
    </w:p>
    <w:p>
      <w:pPr>
        <w:ind w:left="920" w:right="340"/>
        <w:spacing w:after="0" w:line="269" w:lineRule="auto"/>
        <w:rPr>
          <w:sz w:val="20"/>
          <w:szCs w:val="20"/>
          <w:color w:val="auto"/>
        </w:rPr>
      </w:pPr>
      <w:r>
        <w:rPr>
          <w:rFonts w:ascii="Arial" w:cs="Arial" w:eastAsia="Arial" w:hAnsi="Arial"/>
          <w:sz w:val="16"/>
          <w:szCs w:val="16"/>
          <w:color w:val="auto"/>
        </w:rPr>
        <w:t>Assess portfolio on an ongoing basis to maximize stockholder value, which includes M&amp;A activity, cost competitiveness, and other enterprise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34131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13125" cy="8255"/>
                    </a:xfrm>
                    <a:prstGeom prst="rect">
                      <a:avLst/>
                    </a:prstGeom>
                    <a:noFill/>
                  </pic:spPr>
                </pic:pic>
              </a:graphicData>
            </a:graphic>
          </wp:anchor>
        </w:drawing>
      </w:r>
    </w:p>
    <w:p>
      <w:pPr>
        <w:spacing w:after="0" w:line="37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INNOVATION</w:t>
      </w:r>
    </w:p>
    <w:p>
      <w:pPr>
        <w:spacing w:after="0" w:line="65" w:lineRule="exact"/>
        <w:rPr>
          <w:sz w:val="20"/>
          <w:szCs w:val="20"/>
          <w:color w:val="auto"/>
        </w:rPr>
      </w:pPr>
    </w:p>
    <w:p>
      <w:pPr>
        <w:ind w:left="920" w:right="560"/>
        <w:spacing w:after="0" w:line="241" w:lineRule="auto"/>
        <w:rPr>
          <w:sz w:val="20"/>
          <w:szCs w:val="20"/>
          <w:color w:val="auto"/>
        </w:rPr>
      </w:pPr>
      <w:r>
        <w:rPr>
          <w:rFonts w:ascii="Arial" w:cs="Arial" w:eastAsia="Arial" w:hAnsi="Arial"/>
          <w:sz w:val="16"/>
          <w:szCs w:val="16"/>
          <w:color w:val="auto"/>
        </w:rPr>
        <w:t>Execute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Century Security strategy to include technology development, demonstrations, and commercial partnerships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-192405</wp:posOffset>
            </wp:positionV>
            <wp:extent cx="290195" cy="3498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90195" cy="349885"/>
                    </a:xfrm>
                    <a:prstGeom prst="rect">
                      <a:avLst/>
                    </a:prstGeom>
                    <a:noFill/>
                  </pic:spPr>
                </pic:pic>
              </a:graphicData>
            </a:graphic>
          </wp:anchor>
        </w:drawing>
      </w:r>
    </w:p>
    <w:p>
      <w:pPr>
        <w:spacing w:after="0" w:line="41" w:lineRule="exact"/>
        <w:rPr>
          <w:sz w:val="20"/>
          <w:szCs w:val="20"/>
          <w:color w:val="auto"/>
        </w:rPr>
      </w:pPr>
    </w:p>
    <w:p>
      <w:pPr>
        <w:ind w:left="920" w:right="500"/>
        <w:spacing w:after="0" w:line="269" w:lineRule="auto"/>
        <w:rPr>
          <w:sz w:val="20"/>
          <w:szCs w:val="20"/>
          <w:color w:val="auto"/>
        </w:rPr>
      </w:pPr>
      <w:r>
        <w:rPr>
          <w:rFonts w:ascii="Arial" w:cs="Arial" w:eastAsia="Arial" w:hAnsi="Arial"/>
          <w:sz w:val="16"/>
          <w:szCs w:val="16"/>
          <w:color w:val="auto"/>
        </w:rPr>
        <w:t>Drive infrastructure modernization, technology development and functional capability adoption to digitally transform the enterprise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160" w:right="800" w:hanging="160"/>
        <w:spacing w:after="0" w:line="262" w:lineRule="auto"/>
        <w:tabs>
          <w:tab w:leader="none" w:pos="136" w:val="left"/>
        </w:tabs>
        <w:numPr>
          <w:ilvl w:val="0"/>
          <w:numId w:val="78"/>
        </w:numPr>
        <w:rPr>
          <w:rFonts w:ascii="Arial" w:cs="Arial" w:eastAsia="Arial" w:hAnsi="Arial"/>
          <w:sz w:val="16"/>
          <w:szCs w:val="16"/>
          <w:color w:val="003478"/>
        </w:rPr>
      </w:pPr>
      <w:r>
        <w:rPr>
          <w:rFonts w:ascii="Arial" w:cs="Arial" w:eastAsia="Arial" w:hAnsi="Arial"/>
          <w:sz w:val="16"/>
          <w:szCs w:val="16"/>
          <w:color w:val="auto"/>
        </w:rPr>
        <w:t>Implemented industry leading effort to support our customer mission, employees, supply chain, and community through COVID-19</w:t>
      </w:r>
    </w:p>
    <w:p>
      <w:pPr>
        <w:spacing w:after="0" w:line="1" w:lineRule="exact"/>
        <w:rPr>
          <w:rFonts w:ascii="Arial" w:cs="Arial" w:eastAsia="Arial" w:hAnsi="Arial"/>
          <w:sz w:val="16"/>
          <w:szCs w:val="16"/>
          <w:color w:val="003478"/>
        </w:rPr>
      </w:pPr>
    </w:p>
    <w:p>
      <w:pPr>
        <w:ind w:left="160" w:right="300" w:hanging="160"/>
        <w:spacing w:after="0" w:line="275" w:lineRule="auto"/>
        <w:tabs>
          <w:tab w:leader="none" w:pos="136" w:val="left"/>
        </w:tabs>
        <w:numPr>
          <w:ilvl w:val="0"/>
          <w:numId w:val="78"/>
        </w:numPr>
        <w:rPr>
          <w:rFonts w:ascii="Arial" w:cs="Arial" w:eastAsia="Arial" w:hAnsi="Arial"/>
          <w:sz w:val="16"/>
          <w:szCs w:val="16"/>
          <w:color w:val="003478"/>
        </w:rPr>
      </w:pPr>
      <w:r>
        <w:rPr>
          <w:rFonts w:ascii="Arial" w:cs="Arial" w:eastAsia="Arial" w:hAnsi="Arial"/>
          <w:sz w:val="16"/>
          <w:szCs w:val="16"/>
          <w:color w:val="auto"/>
        </w:rPr>
        <w:t>Returned $7 billion of cash to our stockholders through dividends and share repurchases</w:t>
      </w:r>
    </w:p>
    <w:p>
      <w:pPr>
        <w:spacing w:after="0" w:line="200" w:lineRule="exact"/>
        <w:rPr>
          <w:rFonts w:ascii="Arial" w:cs="Arial" w:eastAsia="Arial" w:hAnsi="Arial"/>
          <w:sz w:val="16"/>
          <w:szCs w:val="16"/>
          <w:color w:val="003478"/>
        </w:rPr>
      </w:pPr>
    </w:p>
    <w:p>
      <w:pPr>
        <w:spacing w:after="0" w:line="200" w:lineRule="exact"/>
        <w:rPr>
          <w:rFonts w:ascii="Arial" w:cs="Arial" w:eastAsia="Arial" w:hAnsi="Arial"/>
          <w:sz w:val="16"/>
          <w:szCs w:val="16"/>
          <w:color w:val="003478"/>
        </w:rPr>
      </w:pPr>
    </w:p>
    <w:p>
      <w:pPr>
        <w:spacing w:after="0" w:line="253" w:lineRule="exact"/>
        <w:rPr>
          <w:rFonts w:ascii="Arial" w:cs="Arial" w:eastAsia="Arial" w:hAnsi="Arial"/>
          <w:sz w:val="16"/>
          <w:szCs w:val="16"/>
          <w:color w:val="003478"/>
        </w:rPr>
      </w:pPr>
    </w:p>
    <w:p>
      <w:pPr>
        <w:ind w:left="140" w:hanging="140"/>
        <w:spacing w:after="0"/>
        <w:tabs>
          <w:tab w:leader="none" w:pos="140" w:val="left"/>
        </w:tabs>
        <w:numPr>
          <w:ilvl w:val="0"/>
          <w:numId w:val="78"/>
        </w:numPr>
        <w:rPr>
          <w:rFonts w:ascii="Arial" w:cs="Arial" w:eastAsia="Arial" w:hAnsi="Arial"/>
          <w:sz w:val="16"/>
          <w:szCs w:val="16"/>
          <w:color w:val="003478"/>
        </w:rPr>
      </w:pPr>
      <w:r>
        <w:rPr>
          <w:rFonts w:ascii="Arial" w:cs="Arial" w:eastAsia="Arial" w:hAnsi="Arial"/>
          <w:sz w:val="16"/>
          <w:szCs w:val="16"/>
          <w:color w:val="auto"/>
        </w:rPr>
        <w:t>Pursued strategic acquisitions and partnerships to drive business growth</w:t>
      </w:r>
    </w:p>
    <w:p>
      <w:pPr>
        <w:spacing w:after="0" w:line="17" w:lineRule="exact"/>
        <w:rPr>
          <w:rFonts w:ascii="Arial" w:cs="Arial" w:eastAsia="Arial" w:hAnsi="Arial"/>
          <w:sz w:val="16"/>
          <w:szCs w:val="16"/>
          <w:color w:val="003478"/>
        </w:rPr>
      </w:pPr>
    </w:p>
    <w:p>
      <w:pPr>
        <w:ind w:left="140" w:hanging="140"/>
        <w:spacing w:after="0"/>
        <w:tabs>
          <w:tab w:leader="none" w:pos="140" w:val="left"/>
        </w:tabs>
        <w:numPr>
          <w:ilvl w:val="0"/>
          <w:numId w:val="78"/>
        </w:numPr>
        <w:rPr>
          <w:rFonts w:ascii="Arial" w:cs="Arial" w:eastAsia="Arial" w:hAnsi="Arial"/>
          <w:sz w:val="16"/>
          <w:szCs w:val="16"/>
          <w:color w:val="003478"/>
        </w:rPr>
      </w:pPr>
      <w:r>
        <w:rPr>
          <w:rFonts w:ascii="Arial" w:cs="Arial" w:eastAsia="Arial" w:hAnsi="Arial"/>
          <w:sz w:val="16"/>
          <w:szCs w:val="16"/>
          <w:color w:val="auto"/>
        </w:rPr>
        <w:t>Exceeded affordability goals and realized corporate overhead savings</w:t>
      </w:r>
    </w:p>
    <w:p>
      <w:pPr>
        <w:spacing w:after="0" w:line="17" w:lineRule="exact"/>
        <w:rPr>
          <w:rFonts w:ascii="Arial" w:cs="Arial" w:eastAsia="Arial" w:hAnsi="Arial"/>
          <w:sz w:val="16"/>
          <w:szCs w:val="16"/>
          <w:color w:val="003478"/>
        </w:rPr>
      </w:pPr>
    </w:p>
    <w:p>
      <w:pPr>
        <w:ind w:left="160" w:right="120" w:hanging="160"/>
        <w:spacing w:after="0" w:line="269" w:lineRule="auto"/>
        <w:tabs>
          <w:tab w:leader="none" w:pos="136" w:val="left"/>
        </w:tabs>
        <w:numPr>
          <w:ilvl w:val="0"/>
          <w:numId w:val="78"/>
        </w:numPr>
        <w:rPr>
          <w:rFonts w:ascii="Arial" w:cs="Arial" w:eastAsia="Arial" w:hAnsi="Arial"/>
          <w:sz w:val="16"/>
          <w:szCs w:val="16"/>
          <w:color w:val="003478"/>
        </w:rPr>
      </w:pPr>
      <w:r>
        <w:rPr>
          <w:rFonts w:ascii="Arial" w:cs="Arial" w:eastAsia="Arial" w:hAnsi="Arial"/>
          <w:sz w:val="16"/>
          <w:szCs w:val="16"/>
          <w:color w:val="auto"/>
        </w:rPr>
        <w:t>Achievement or substantial progress on 2021 Sustainability Management Plan goals relating to: Business Integrity, Product Impact, Employee Wellbeing, Resource Efficiency and Information Security</w:t>
      </w:r>
    </w:p>
    <w:p>
      <w:pPr>
        <w:spacing w:after="0" w:line="252" w:lineRule="exact"/>
        <w:rPr>
          <w:rFonts w:ascii="Arial" w:cs="Arial" w:eastAsia="Arial" w:hAnsi="Arial"/>
          <w:sz w:val="16"/>
          <w:szCs w:val="16"/>
          <w:color w:val="003478"/>
        </w:rPr>
      </w:pPr>
    </w:p>
    <w:p>
      <w:pPr>
        <w:ind w:left="160" w:right="640" w:hanging="160"/>
        <w:spacing w:after="0" w:line="230" w:lineRule="auto"/>
        <w:tabs>
          <w:tab w:leader="none" w:pos="136" w:val="left"/>
        </w:tabs>
        <w:numPr>
          <w:ilvl w:val="0"/>
          <w:numId w:val="78"/>
        </w:numPr>
        <w:rPr>
          <w:rFonts w:ascii="Arial" w:cs="Arial" w:eastAsia="Arial" w:hAnsi="Arial"/>
          <w:sz w:val="16"/>
          <w:szCs w:val="16"/>
          <w:color w:val="003478"/>
        </w:rPr>
      </w:pPr>
      <w:r>
        <w:rPr>
          <w:rFonts w:ascii="Arial" w:cs="Arial" w:eastAsia="Arial" w:hAnsi="Arial"/>
          <w:sz w:val="16"/>
          <w:szCs w:val="16"/>
          <w:color w:val="auto"/>
        </w:rPr>
        <w:t>Aligned enterprise objectives and milestones with 21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Century Security strategic vision</w:t>
      </w:r>
    </w:p>
    <w:p>
      <w:pPr>
        <w:spacing w:after="0" w:line="9" w:lineRule="exact"/>
        <w:rPr>
          <w:rFonts w:ascii="Arial" w:cs="Arial" w:eastAsia="Arial" w:hAnsi="Arial"/>
          <w:sz w:val="16"/>
          <w:szCs w:val="16"/>
          <w:color w:val="003478"/>
        </w:rPr>
      </w:pPr>
    </w:p>
    <w:p>
      <w:pPr>
        <w:ind w:left="140" w:hanging="140"/>
        <w:spacing w:after="0"/>
        <w:tabs>
          <w:tab w:leader="none" w:pos="140" w:val="left"/>
        </w:tabs>
        <w:numPr>
          <w:ilvl w:val="0"/>
          <w:numId w:val="78"/>
        </w:numPr>
        <w:rPr>
          <w:rFonts w:ascii="Arial" w:cs="Arial" w:eastAsia="Arial" w:hAnsi="Arial"/>
          <w:sz w:val="16"/>
          <w:szCs w:val="16"/>
          <w:color w:val="003478"/>
        </w:rPr>
      </w:pPr>
      <w:r>
        <w:rPr>
          <w:rFonts w:ascii="Arial" w:cs="Arial" w:eastAsia="Arial" w:hAnsi="Arial"/>
          <w:sz w:val="16"/>
          <w:szCs w:val="16"/>
          <w:color w:val="auto"/>
        </w:rPr>
        <w:t>Accelerated enterprise-wide business process and digital transformation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-3423920</wp:posOffset>
            </wp:positionH>
            <wp:positionV relativeFrom="paragraph">
              <wp:posOffset>829310</wp:posOffset>
            </wp:positionV>
            <wp:extent cx="713295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-398780</wp:posOffset>
            </wp:positionV>
            <wp:extent cx="371983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71983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-1209675</wp:posOffset>
            </wp:positionV>
            <wp:extent cx="371983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719830" cy="8255"/>
                    </a:xfrm>
                    <a:prstGeom prst="rect">
                      <a:avLst/>
                    </a:prstGeom>
                    <a:noFill/>
                  </pic:spPr>
                </pic:pic>
              </a:graphicData>
            </a:graphic>
          </wp:anchor>
        </w:drawing>
      </w:r>
    </w:p>
    <w:p>
      <w:pPr>
        <w:spacing w:after="0" w:line="1199" w:lineRule="exact"/>
        <w:rPr>
          <w:sz w:val="20"/>
          <w:szCs w:val="20"/>
          <w:color w:val="auto"/>
        </w:rPr>
      </w:pPr>
    </w:p>
    <w:p>
      <w:pPr>
        <w:sectPr>
          <w:pgSz w:w="11900" w:h="16838" w:orient="portrait"/>
          <w:cols w:equalWidth="0" w:num="2">
            <w:col w:w="4960" w:space="440"/>
            <w:col w:w="5840"/>
          </w:cols>
          <w:pgMar w:left="320" w:top="254" w:right="339" w:bottom="1440" w:gutter="0" w:footer="0" w:header="0"/>
          <w:type w:val="continuous"/>
        </w:sectPr>
      </w:pPr>
    </w:p>
    <w:p>
      <w:pPr>
        <w:spacing w:after="0" w:line="19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TALENT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-76835</wp:posOffset>
            </wp:positionV>
            <wp:extent cx="324485" cy="3244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24485" cy="324485"/>
                    </a:xfrm>
                    <a:prstGeom prst="rect">
                      <a:avLst/>
                    </a:prstGeom>
                    <a:noFill/>
                  </pic:spPr>
                </pic:pic>
              </a:graphicData>
            </a:graphic>
          </wp:anchor>
        </w:drawing>
      </w:r>
    </w:p>
    <w:p>
      <w:pPr>
        <w:spacing w:after="0" w:line="48" w:lineRule="exact"/>
        <w:rPr>
          <w:sz w:val="20"/>
          <w:szCs w:val="20"/>
          <w:color w:val="auto"/>
        </w:rPr>
      </w:pPr>
    </w:p>
    <w:p>
      <w:pPr>
        <w:ind w:left="920" w:right="40"/>
        <w:spacing w:after="0" w:line="275" w:lineRule="auto"/>
        <w:rPr>
          <w:sz w:val="20"/>
          <w:szCs w:val="20"/>
          <w:color w:val="auto"/>
        </w:rPr>
      </w:pPr>
      <w:r>
        <w:rPr>
          <w:rFonts w:ascii="Arial" w:cs="Arial" w:eastAsia="Arial" w:hAnsi="Arial"/>
          <w:sz w:val="16"/>
          <w:szCs w:val="16"/>
          <w:color w:val="auto"/>
        </w:rPr>
        <w:t>Attract, develop and retain the workforce needed to deliver commitments to customers and stockholders</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140" w:hanging="140"/>
        <w:spacing w:after="0"/>
        <w:tabs>
          <w:tab w:leader="none" w:pos="140" w:val="left"/>
        </w:tabs>
        <w:numPr>
          <w:ilvl w:val="0"/>
          <w:numId w:val="79"/>
        </w:numPr>
        <w:rPr>
          <w:rFonts w:ascii="Arial" w:cs="Arial" w:eastAsia="Arial" w:hAnsi="Arial"/>
          <w:sz w:val="16"/>
          <w:szCs w:val="16"/>
          <w:color w:val="003478"/>
        </w:rPr>
      </w:pPr>
      <w:r>
        <w:rPr>
          <w:rFonts w:ascii="Arial" w:cs="Arial" w:eastAsia="Arial" w:hAnsi="Arial"/>
          <w:sz w:val="16"/>
          <w:szCs w:val="16"/>
          <w:color w:val="auto"/>
        </w:rPr>
        <w:t>Demonstrated success in a new hybrid virtual environment</w:t>
      </w:r>
    </w:p>
    <w:p>
      <w:pPr>
        <w:spacing w:after="0" w:line="17" w:lineRule="exact"/>
        <w:rPr>
          <w:rFonts w:ascii="Arial" w:cs="Arial" w:eastAsia="Arial" w:hAnsi="Arial"/>
          <w:sz w:val="16"/>
          <w:szCs w:val="16"/>
          <w:color w:val="003478"/>
        </w:rPr>
      </w:pPr>
    </w:p>
    <w:p>
      <w:pPr>
        <w:ind w:left="140" w:hanging="140"/>
        <w:spacing w:after="0"/>
        <w:tabs>
          <w:tab w:leader="none" w:pos="140" w:val="left"/>
        </w:tabs>
        <w:numPr>
          <w:ilvl w:val="0"/>
          <w:numId w:val="79"/>
        </w:numPr>
        <w:rPr>
          <w:rFonts w:ascii="Arial" w:cs="Arial" w:eastAsia="Arial" w:hAnsi="Arial"/>
          <w:sz w:val="16"/>
          <w:szCs w:val="16"/>
          <w:color w:val="003478"/>
        </w:rPr>
      </w:pPr>
      <w:r>
        <w:rPr>
          <w:rFonts w:ascii="Arial" w:cs="Arial" w:eastAsia="Arial" w:hAnsi="Arial"/>
          <w:sz w:val="16"/>
          <w:szCs w:val="16"/>
          <w:color w:val="auto"/>
        </w:rPr>
        <w:t>Increased leadership representation for people of color and women</w:t>
      </w:r>
    </w:p>
    <w:p>
      <w:pPr>
        <w:spacing w:after="0" w:line="17" w:lineRule="exact"/>
        <w:rPr>
          <w:rFonts w:ascii="Arial" w:cs="Arial" w:eastAsia="Arial" w:hAnsi="Arial"/>
          <w:sz w:val="16"/>
          <w:szCs w:val="16"/>
          <w:color w:val="003478"/>
        </w:rPr>
      </w:pPr>
    </w:p>
    <w:p>
      <w:pPr>
        <w:ind w:left="140" w:hanging="140"/>
        <w:spacing w:after="0"/>
        <w:tabs>
          <w:tab w:leader="none" w:pos="140" w:val="left"/>
        </w:tabs>
        <w:numPr>
          <w:ilvl w:val="0"/>
          <w:numId w:val="79"/>
        </w:numPr>
        <w:rPr>
          <w:rFonts w:ascii="Arial" w:cs="Arial" w:eastAsia="Arial" w:hAnsi="Arial"/>
          <w:sz w:val="16"/>
          <w:szCs w:val="16"/>
          <w:color w:val="003478"/>
        </w:rPr>
      </w:pPr>
      <w:r>
        <w:rPr>
          <w:rFonts w:ascii="Arial" w:cs="Arial" w:eastAsia="Arial" w:hAnsi="Arial"/>
          <w:sz w:val="16"/>
          <w:szCs w:val="16"/>
          <w:color w:val="auto"/>
        </w:rPr>
        <w:t>Achieved business objectives in all (7) union negotiations</w:t>
      </w:r>
    </w:p>
    <w:p>
      <w:pPr>
        <w:spacing w:after="0" w:line="264" w:lineRule="exact"/>
        <w:rPr>
          <w:sz w:val="20"/>
          <w:szCs w:val="20"/>
          <w:color w:val="auto"/>
        </w:rPr>
      </w:pPr>
    </w:p>
    <w:p>
      <w:pPr>
        <w:sectPr>
          <w:pgSz w:w="11900" w:h="16838" w:orient="portrait"/>
          <w:cols w:equalWidth="0" w:num="2">
            <w:col w:w="4680" w:space="720"/>
            <w:col w:w="5840"/>
          </w:cols>
          <w:pgMar w:left="320" w:top="254" w:right="33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6860" w:type="dxa"/>
            <w:vAlign w:val="bottom"/>
            <w:tcBorders>
              <w:top w:val="single" w:sz="8" w:color="959595"/>
              <w:bottom w:val="single" w:sz="8" w:color="929292"/>
            </w:tcBorders>
          </w:tcPr>
          <w:p>
            <w:pPr>
              <w:ind w:left="20"/>
              <w:spacing w:after="0"/>
              <w:rPr>
                <w:sz w:val="20"/>
                <w:szCs w:val="20"/>
                <w:color w:val="auto"/>
              </w:rPr>
            </w:pPr>
            <w:r>
              <w:rPr>
                <w:rFonts w:ascii="Arial" w:cs="Arial" w:eastAsia="Arial" w:hAnsi="Arial"/>
                <w:sz w:val="16"/>
                <w:szCs w:val="16"/>
                <w:b w:val="1"/>
                <w:bCs w:val="1"/>
                <w:color w:val="002E6D"/>
              </w:rPr>
              <w:t>Strategic &amp; Operational Payout Factor</w:t>
            </w:r>
          </w:p>
        </w:tc>
        <w:tc>
          <w:tcPr>
            <w:tcW w:w="4380" w:type="dxa"/>
            <w:vAlign w:val="bottom"/>
            <w:tcBorders>
              <w:top w:val="single" w:sz="8" w:color="959595"/>
              <w:bottom w:val="single" w:sz="8" w:color="929292"/>
            </w:tcBorders>
          </w:tcPr>
          <w:p>
            <w:pPr>
              <w:jc w:val="right"/>
              <w:spacing w:after="0"/>
              <w:rPr>
                <w:sz w:val="20"/>
                <w:szCs w:val="20"/>
                <w:color w:val="auto"/>
              </w:rPr>
            </w:pPr>
            <w:r>
              <w:rPr>
                <w:rFonts w:ascii="Arial" w:cs="Arial" w:eastAsia="Arial" w:hAnsi="Arial"/>
                <w:sz w:val="16"/>
                <w:szCs w:val="16"/>
                <w:b w:val="1"/>
                <w:bCs w:val="1"/>
                <w:color w:val="002E6D"/>
              </w:rPr>
              <w:t>175 %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332740</wp:posOffset>
            </wp:positionV>
            <wp:extent cx="963930" cy="2216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45</w:t>
      </w:r>
    </w:p>
    <w:p>
      <w:pPr>
        <w:sectPr>
          <w:pgSz w:w="11900" w:h="16838" w:orient="portrait"/>
          <w:cols w:equalWidth="0" w:num="1">
            <w:col w:w="11240"/>
          </w:cols>
          <w:pgMar w:left="320" w:top="254" w:right="339" w:bottom="1440" w:gutter="0" w:footer="0" w:header="0"/>
          <w:type w:val="continuous"/>
        </w:sectPr>
      </w:pPr>
    </w:p>
    <w:bookmarkStart w:id="51" w:name="page52"/>
    <w:bookmarkEnd w:id="51"/>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ind w:left="9560"/>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7" w:lineRule="exact"/>
        <w:rPr>
          <w:sz w:val="20"/>
          <w:szCs w:val="20"/>
          <w:color w:val="auto"/>
        </w:rPr>
      </w:pPr>
    </w:p>
    <w:p>
      <w:pPr>
        <w:ind w:right="560"/>
        <w:spacing w:after="0" w:line="274" w:lineRule="auto"/>
        <w:rPr>
          <w:sz w:val="20"/>
          <w:szCs w:val="20"/>
          <w:color w:val="auto"/>
        </w:rPr>
      </w:pPr>
      <w:r>
        <w:rPr>
          <w:rFonts w:ascii="Arial" w:cs="Arial" w:eastAsia="Arial" w:hAnsi="Arial"/>
          <w:sz w:val="17"/>
          <w:szCs w:val="17"/>
          <w:color w:val="auto"/>
        </w:rPr>
        <w:t>The Compensation Committee reviewed these accomplishments and recommended this factor to recognize the Company’s strong operational performance in a highly competitive environment while undertaking and executing major strategic initiatives.</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color w:val="003478"/>
        </w:rPr>
        <w:t>Summary of Annual Incentive Payout Calculations</w:t>
      </w:r>
    </w:p>
    <w:p>
      <w:pPr>
        <w:spacing w:after="0" w:line="117" w:lineRule="exact"/>
        <w:rPr>
          <w:sz w:val="20"/>
          <w:szCs w:val="20"/>
          <w:color w:val="auto"/>
        </w:rPr>
      </w:pPr>
    </w:p>
    <w:p>
      <w:pPr>
        <w:ind w:right="60"/>
        <w:spacing w:after="0" w:line="248" w:lineRule="auto"/>
        <w:rPr>
          <w:sz w:val="20"/>
          <w:szCs w:val="20"/>
          <w:color w:val="auto"/>
        </w:rPr>
      </w:pPr>
      <w:r>
        <w:rPr>
          <w:rFonts w:ascii="Arial" w:cs="Arial" w:eastAsia="Arial" w:hAnsi="Arial"/>
          <w:sz w:val="17"/>
          <w:szCs w:val="17"/>
          <w:color w:val="auto"/>
        </w:rPr>
        <w:t>For 2021, the Compensation Committee approved an annual incentive target of 185% of base salary for Mr. Taiclet, aligning with the 2021 market rates (50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Mr. St. John’s and Mr. Possenriede’s annual incentive target percentage also aligned with market at 125% of base salary. Our business segment EVPs’ targets were set to 110% of their base salaries. Mr. Mollard’s target of 70% of base salary was set in alignment with his role as VP and Treasurer and did not change in connection with his appointment as Acting CFO during 2021. The final payout factor and payout amounts for each of our NEOs, as determined by the Board, are shown below.</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7"/>
          <w:szCs w:val="17"/>
          <w:color w:val="475C90"/>
        </w:rPr>
        <w:t>Summary of 2021 Enterprise Performance &amp; Overall Payout Factor</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Borders>
              <w:bottom w:val="single" w:sz="8" w:color="E4E6EF"/>
            </w:tcBorders>
            <w:shd w:val="clear" w:color="auto" w:fill="E4E6EF"/>
          </w:tcPr>
          <w:p>
            <w:pPr>
              <w:spacing w:after="0"/>
              <w:rPr>
                <w:sz w:val="18"/>
                <w:szCs w:val="18"/>
                <w:color w:val="auto"/>
              </w:rPr>
            </w:pPr>
          </w:p>
        </w:tc>
        <w:tc>
          <w:tcPr>
            <w:tcW w:w="1120" w:type="dxa"/>
            <w:vAlign w:val="bottom"/>
            <w:tcBorders>
              <w:bottom w:val="single" w:sz="8" w:color="E4E6EF"/>
            </w:tcBorders>
            <w:shd w:val="clear" w:color="auto" w:fill="E4E6EF"/>
          </w:tcPr>
          <w:p>
            <w:pPr>
              <w:jc w:val="right"/>
              <w:ind w:right="331"/>
              <w:spacing w:after="0"/>
              <w:rPr>
                <w:sz w:val="20"/>
                <w:szCs w:val="20"/>
                <w:color w:val="auto"/>
              </w:rPr>
            </w:pPr>
            <w:r>
              <w:rPr>
                <w:rFonts w:ascii="Arial" w:cs="Arial" w:eastAsia="Arial" w:hAnsi="Arial"/>
                <w:sz w:val="13"/>
                <w:szCs w:val="13"/>
                <w:color w:val="auto"/>
              </w:rPr>
              <w:t>Weight</w:t>
            </w:r>
          </w:p>
        </w:tc>
        <w:tc>
          <w:tcPr>
            <w:tcW w:w="420" w:type="dxa"/>
            <w:vAlign w:val="bottom"/>
            <w:tcBorders>
              <w:bottom w:val="single" w:sz="8" w:color="E4E6EF"/>
            </w:tcBorders>
            <w:shd w:val="clear" w:color="auto" w:fill="E4E6EF"/>
          </w:tcPr>
          <w:p>
            <w:pPr>
              <w:spacing w:after="0"/>
              <w:rPr>
                <w:sz w:val="18"/>
                <w:szCs w:val="18"/>
                <w:color w:val="auto"/>
              </w:rPr>
            </w:pPr>
          </w:p>
        </w:tc>
        <w:tc>
          <w:tcPr>
            <w:tcW w:w="1160" w:type="dxa"/>
            <w:vAlign w:val="bottom"/>
            <w:tcBorders>
              <w:bottom w:val="single" w:sz="8" w:color="E4E6EF"/>
            </w:tcBorders>
            <w:shd w:val="clear" w:color="auto" w:fill="E4E6EF"/>
          </w:tcPr>
          <w:p>
            <w:pPr>
              <w:jc w:val="right"/>
              <w:ind w:right="233"/>
              <w:spacing w:after="0"/>
              <w:rPr>
                <w:sz w:val="20"/>
                <w:szCs w:val="20"/>
                <w:color w:val="auto"/>
              </w:rPr>
            </w:pPr>
            <w:r>
              <w:rPr>
                <w:rFonts w:ascii="Arial" w:cs="Arial" w:eastAsia="Arial" w:hAnsi="Arial"/>
                <w:sz w:val="13"/>
                <w:szCs w:val="13"/>
                <w:color w:val="auto"/>
              </w:rPr>
              <w:t>2021 Factors</w:t>
            </w:r>
          </w:p>
        </w:tc>
        <w:tc>
          <w:tcPr>
            <w:tcW w:w="400" w:type="dxa"/>
            <w:vAlign w:val="bottom"/>
            <w:tcBorders>
              <w:bottom w:val="single" w:sz="8" w:color="E4E6EF"/>
            </w:tcBorders>
            <w:shd w:val="clear" w:color="auto" w:fill="E4E6EF"/>
          </w:tcPr>
          <w:p>
            <w:pPr>
              <w:spacing w:after="0"/>
              <w:rPr>
                <w:sz w:val="18"/>
                <w:szCs w:val="18"/>
                <w:color w:val="auto"/>
              </w:rPr>
            </w:pPr>
          </w:p>
        </w:tc>
        <w:tc>
          <w:tcPr>
            <w:tcW w:w="1120" w:type="dxa"/>
            <w:vAlign w:val="bottom"/>
            <w:tcBorders>
              <w:bottom w:val="single" w:sz="8" w:color="E4E6EF"/>
            </w:tcBorders>
            <w:gridSpan w:val="2"/>
            <w:shd w:val="clear" w:color="auto" w:fill="E4E6EF"/>
          </w:tcPr>
          <w:p>
            <w:pPr>
              <w:jc w:val="right"/>
              <w:ind w:right="20"/>
              <w:spacing w:after="0"/>
              <w:rPr>
                <w:sz w:val="20"/>
                <w:szCs w:val="20"/>
                <w:color w:val="auto"/>
              </w:rPr>
            </w:pPr>
            <w:r>
              <w:rPr>
                <w:rFonts w:ascii="Arial" w:cs="Arial" w:eastAsia="Arial" w:hAnsi="Arial"/>
                <w:sz w:val="13"/>
                <w:szCs w:val="13"/>
                <w:color w:val="auto"/>
              </w:rPr>
              <w:t>Weighted Payout</w:t>
            </w:r>
          </w:p>
        </w:tc>
        <w:tc>
          <w:tcPr>
            <w:tcW w:w="0" w:type="dxa"/>
            <w:vAlign w:val="bottom"/>
          </w:tcPr>
          <w:p>
            <w:pPr>
              <w:spacing w:after="0"/>
              <w:rPr>
                <w:sz w:val="1"/>
                <w:szCs w:val="1"/>
                <w:color w:val="auto"/>
              </w:rPr>
            </w:pPr>
          </w:p>
        </w:tc>
      </w:tr>
      <w:tr>
        <w:trPr>
          <w:trHeight w:val="182"/>
        </w:trPr>
        <w:tc>
          <w:tcPr>
            <w:tcW w:w="4180" w:type="dxa"/>
            <w:vAlign w:val="bottom"/>
            <w:tcBorders>
              <w:top w:val="single" w:sz="8" w:color="003478"/>
              <w:bottom w:val="single" w:sz="8" w:color="929292"/>
            </w:tcBorders>
          </w:tcPr>
          <w:p>
            <w:pPr>
              <w:ind w:left="20"/>
              <w:spacing w:after="0"/>
              <w:rPr>
                <w:sz w:val="20"/>
                <w:szCs w:val="20"/>
                <w:color w:val="auto"/>
              </w:rPr>
            </w:pPr>
            <w:r>
              <w:rPr>
                <w:rFonts w:ascii="Arial" w:cs="Arial" w:eastAsia="Arial" w:hAnsi="Arial"/>
                <w:sz w:val="14"/>
                <w:szCs w:val="14"/>
                <w:color w:val="auto"/>
              </w:rPr>
              <w:t>Financial</w:t>
            </w:r>
          </w:p>
        </w:tc>
        <w:tc>
          <w:tcPr>
            <w:tcW w:w="1220" w:type="dxa"/>
            <w:vAlign w:val="bottom"/>
            <w:tcBorders>
              <w:top w:val="single" w:sz="8" w:color="003478"/>
              <w:bottom w:val="single" w:sz="8" w:color="929292"/>
            </w:tcBorders>
          </w:tcPr>
          <w:p>
            <w:pPr>
              <w:spacing w:after="0"/>
              <w:rPr>
                <w:sz w:val="15"/>
                <w:szCs w:val="15"/>
                <w:color w:val="auto"/>
              </w:rPr>
            </w:pPr>
          </w:p>
        </w:tc>
        <w:tc>
          <w:tcPr>
            <w:tcW w:w="820" w:type="dxa"/>
            <w:vAlign w:val="bottom"/>
            <w:tcBorders>
              <w:top w:val="single" w:sz="8" w:color="003478"/>
              <w:bottom w:val="single" w:sz="8" w:color="929292"/>
            </w:tcBorders>
          </w:tcPr>
          <w:p>
            <w:pPr>
              <w:spacing w:after="0"/>
              <w:rPr>
                <w:sz w:val="15"/>
                <w:szCs w:val="15"/>
                <w:color w:val="auto"/>
              </w:rPr>
            </w:pPr>
          </w:p>
        </w:tc>
        <w:tc>
          <w:tcPr>
            <w:tcW w:w="800" w:type="dxa"/>
            <w:vAlign w:val="bottom"/>
            <w:tcBorders>
              <w:top w:val="single" w:sz="8" w:color="003478"/>
              <w:bottom w:val="single" w:sz="8" w:color="929292"/>
            </w:tcBorders>
          </w:tcPr>
          <w:p>
            <w:pPr>
              <w:spacing w:after="0"/>
              <w:rPr>
                <w:sz w:val="15"/>
                <w:szCs w:val="15"/>
                <w:color w:val="auto"/>
              </w:rPr>
            </w:pPr>
          </w:p>
        </w:tc>
        <w:tc>
          <w:tcPr>
            <w:tcW w:w="1120" w:type="dxa"/>
            <w:vAlign w:val="bottom"/>
            <w:tcBorders>
              <w:top w:val="single" w:sz="8" w:color="003478"/>
              <w:bottom w:val="single" w:sz="8" w:color="929292"/>
            </w:tcBorders>
          </w:tcPr>
          <w:p>
            <w:pPr>
              <w:jc w:val="right"/>
              <w:ind w:right="331"/>
              <w:spacing w:after="0"/>
              <w:rPr>
                <w:sz w:val="20"/>
                <w:szCs w:val="20"/>
                <w:color w:val="auto"/>
              </w:rPr>
            </w:pPr>
            <w:r>
              <w:rPr>
                <w:rFonts w:ascii="Arial" w:cs="Arial" w:eastAsia="Arial" w:hAnsi="Arial"/>
                <w:sz w:val="14"/>
                <w:szCs w:val="14"/>
                <w:color w:val="auto"/>
              </w:rPr>
              <w:t>70%</w:t>
            </w:r>
          </w:p>
        </w:tc>
        <w:tc>
          <w:tcPr>
            <w:tcW w:w="420" w:type="dxa"/>
            <w:vAlign w:val="bottom"/>
            <w:tcBorders>
              <w:top w:val="single" w:sz="8" w:color="003478"/>
              <w:bottom w:val="single" w:sz="8" w:color="929292"/>
            </w:tcBorders>
          </w:tcPr>
          <w:p>
            <w:pPr>
              <w:spacing w:after="0"/>
              <w:rPr>
                <w:sz w:val="15"/>
                <w:szCs w:val="15"/>
                <w:color w:val="auto"/>
              </w:rPr>
            </w:pPr>
          </w:p>
        </w:tc>
        <w:tc>
          <w:tcPr>
            <w:tcW w:w="1160" w:type="dxa"/>
            <w:vAlign w:val="bottom"/>
            <w:tcBorders>
              <w:top w:val="single" w:sz="8" w:color="003478"/>
              <w:bottom w:val="single" w:sz="8" w:color="929292"/>
            </w:tcBorders>
          </w:tcPr>
          <w:p>
            <w:pPr>
              <w:jc w:val="right"/>
              <w:ind w:right="233"/>
              <w:spacing w:after="0"/>
              <w:rPr>
                <w:sz w:val="20"/>
                <w:szCs w:val="20"/>
                <w:color w:val="auto"/>
              </w:rPr>
            </w:pPr>
            <w:r>
              <w:rPr>
                <w:rFonts w:ascii="Arial" w:cs="Arial" w:eastAsia="Arial" w:hAnsi="Arial"/>
                <w:sz w:val="14"/>
                <w:szCs w:val="14"/>
                <w:color w:val="auto"/>
              </w:rPr>
              <w:t>103%</w:t>
            </w:r>
          </w:p>
        </w:tc>
        <w:tc>
          <w:tcPr>
            <w:tcW w:w="400" w:type="dxa"/>
            <w:vAlign w:val="bottom"/>
            <w:tcBorders>
              <w:top w:val="single" w:sz="8" w:color="003478"/>
              <w:bottom w:val="single" w:sz="8" w:color="929292"/>
            </w:tcBorders>
          </w:tcPr>
          <w:p>
            <w:pPr>
              <w:spacing w:after="0"/>
              <w:rPr>
                <w:sz w:val="15"/>
                <w:szCs w:val="15"/>
                <w:color w:val="auto"/>
              </w:rPr>
            </w:pPr>
          </w:p>
        </w:tc>
        <w:tc>
          <w:tcPr>
            <w:tcW w:w="1120" w:type="dxa"/>
            <w:vAlign w:val="bottom"/>
            <w:tcBorders>
              <w:top w:val="single" w:sz="8" w:color="003478"/>
              <w:bottom w:val="single" w:sz="8" w:color="929292"/>
            </w:tcBorders>
            <w:gridSpan w:val="2"/>
          </w:tcPr>
          <w:p>
            <w:pPr>
              <w:jc w:val="right"/>
              <w:ind w:right="2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82"/>
        </w:trPr>
        <w:tc>
          <w:tcPr>
            <w:tcW w:w="4180" w:type="dxa"/>
            <w:vAlign w:val="bottom"/>
            <w:tcBorders>
              <w:bottom w:val="single" w:sz="8" w:color="929292"/>
            </w:tcBorders>
          </w:tcPr>
          <w:p>
            <w:pPr>
              <w:ind w:left="20"/>
              <w:spacing w:after="0"/>
              <w:rPr>
                <w:sz w:val="20"/>
                <w:szCs w:val="20"/>
                <w:color w:val="auto"/>
              </w:rPr>
            </w:pPr>
            <w:r>
              <w:rPr>
                <w:rFonts w:ascii="Arial" w:cs="Arial" w:eastAsia="Arial" w:hAnsi="Arial"/>
                <w:sz w:val="14"/>
                <w:szCs w:val="14"/>
                <w:color w:val="auto"/>
              </w:rPr>
              <w:t>Strategic &amp; Operational</w:t>
            </w:r>
          </w:p>
        </w:tc>
        <w:tc>
          <w:tcPr>
            <w:tcW w:w="1220" w:type="dxa"/>
            <w:vAlign w:val="bottom"/>
            <w:tcBorders>
              <w:bottom w:val="single" w:sz="8" w:color="929292"/>
            </w:tcBorders>
          </w:tcPr>
          <w:p>
            <w:pPr>
              <w:spacing w:after="0"/>
              <w:rPr>
                <w:sz w:val="15"/>
                <w:szCs w:val="15"/>
                <w:color w:val="auto"/>
              </w:rPr>
            </w:pPr>
          </w:p>
        </w:tc>
        <w:tc>
          <w:tcPr>
            <w:tcW w:w="820" w:type="dxa"/>
            <w:vAlign w:val="bottom"/>
            <w:tcBorders>
              <w:bottom w:val="single" w:sz="8" w:color="929292"/>
            </w:tcBorders>
          </w:tcPr>
          <w:p>
            <w:pPr>
              <w:spacing w:after="0"/>
              <w:rPr>
                <w:sz w:val="15"/>
                <w:szCs w:val="15"/>
                <w:color w:val="auto"/>
              </w:rPr>
            </w:pPr>
          </w:p>
        </w:tc>
        <w:tc>
          <w:tcPr>
            <w:tcW w:w="800" w:type="dxa"/>
            <w:vAlign w:val="bottom"/>
            <w:tcBorders>
              <w:bottom w:val="single" w:sz="8" w:color="929292"/>
            </w:tcBorders>
          </w:tcPr>
          <w:p>
            <w:pPr>
              <w:spacing w:after="0"/>
              <w:rPr>
                <w:sz w:val="15"/>
                <w:szCs w:val="15"/>
                <w:color w:val="auto"/>
              </w:rPr>
            </w:pPr>
          </w:p>
        </w:tc>
        <w:tc>
          <w:tcPr>
            <w:tcW w:w="1120" w:type="dxa"/>
            <w:vAlign w:val="bottom"/>
            <w:tcBorders>
              <w:bottom w:val="single" w:sz="8" w:color="929292"/>
            </w:tcBorders>
          </w:tcPr>
          <w:p>
            <w:pPr>
              <w:jc w:val="right"/>
              <w:ind w:right="331"/>
              <w:spacing w:after="0"/>
              <w:rPr>
                <w:sz w:val="20"/>
                <w:szCs w:val="20"/>
                <w:color w:val="auto"/>
              </w:rPr>
            </w:pPr>
            <w:r>
              <w:rPr>
                <w:rFonts w:ascii="Arial" w:cs="Arial" w:eastAsia="Arial" w:hAnsi="Arial"/>
                <w:sz w:val="14"/>
                <w:szCs w:val="14"/>
                <w:color w:val="auto"/>
              </w:rPr>
              <w:t>30%</w:t>
            </w:r>
          </w:p>
        </w:tc>
        <w:tc>
          <w:tcPr>
            <w:tcW w:w="420" w:type="dxa"/>
            <w:vAlign w:val="bottom"/>
            <w:tcBorders>
              <w:bottom w:val="single" w:sz="8" w:color="929292"/>
            </w:tcBorders>
          </w:tcPr>
          <w:p>
            <w:pPr>
              <w:spacing w:after="0"/>
              <w:rPr>
                <w:sz w:val="15"/>
                <w:szCs w:val="15"/>
                <w:color w:val="auto"/>
              </w:rPr>
            </w:pPr>
          </w:p>
        </w:tc>
        <w:tc>
          <w:tcPr>
            <w:tcW w:w="1160" w:type="dxa"/>
            <w:vAlign w:val="bottom"/>
            <w:tcBorders>
              <w:bottom w:val="single" w:sz="8" w:color="929292"/>
            </w:tcBorders>
          </w:tcPr>
          <w:p>
            <w:pPr>
              <w:jc w:val="right"/>
              <w:ind w:right="233"/>
              <w:spacing w:after="0"/>
              <w:rPr>
                <w:sz w:val="20"/>
                <w:szCs w:val="20"/>
                <w:color w:val="auto"/>
              </w:rPr>
            </w:pPr>
            <w:r>
              <w:rPr>
                <w:rFonts w:ascii="Arial" w:cs="Arial" w:eastAsia="Arial" w:hAnsi="Arial"/>
                <w:sz w:val="14"/>
                <w:szCs w:val="14"/>
                <w:color w:val="auto"/>
              </w:rPr>
              <w:t>175%</w:t>
            </w:r>
          </w:p>
        </w:tc>
        <w:tc>
          <w:tcPr>
            <w:tcW w:w="400" w:type="dxa"/>
            <w:vAlign w:val="bottom"/>
            <w:tcBorders>
              <w:bottom w:val="single" w:sz="8" w:color="929292"/>
            </w:tcBorders>
          </w:tcPr>
          <w:p>
            <w:pPr>
              <w:spacing w:after="0"/>
              <w:rPr>
                <w:sz w:val="15"/>
                <w:szCs w:val="15"/>
                <w:color w:val="auto"/>
              </w:rPr>
            </w:pPr>
          </w:p>
        </w:tc>
        <w:tc>
          <w:tcPr>
            <w:tcW w:w="1120" w:type="dxa"/>
            <w:vAlign w:val="bottom"/>
            <w:tcBorders>
              <w:bottom w:val="single" w:sz="8" w:color="929292"/>
            </w:tcBorders>
            <w:gridSpan w:val="2"/>
          </w:tcPr>
          <w:p>
            <w:pPr>
              <w:jc w:val="right"/>
              <w:ind w:right="2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15"/>
        </w:trPr>
        <w:tc>
          <w:tcPr>
            <w:tcW w:w="4180" w:type="dxa"/>
            <w:vAlign w:val="bottom"/>
            <w:tcBorders>
              <w:bottom w:val="single" w:sz="8" w:color="929292"/>
            </w:tcBorders>
          </w:tcPr>
          <w:p>
            <w:pPr>
              <w:ind w:left="20"/>
              <w:spacing w:after="0"/>
              <w:rPr>
                <w:sz w:val="20"/>
                <w:szCs w:val="20"/>
                <w:color w:val="auto"/>
              </w:rPr>
            </w:pPr>
            <w:r>
              <w:rPr>
                <w:rFonts w:ascii="Arial" w:cs="Arial" w:eastAsia="Arial" w:hAnsi="Arial"/>
                <w:sz w:val="16"/>
                <w:szCs w:val="16"/>
                <w:b w:val="1"/>
                <w:bCs w:val="1"/>
                <w:color w:val="002F6C"/>
              </w:rPr>
              <w:t>Overall Payout Factor</w:t>
            </w:r>
          </w:p>
        </w:tc>
        <w:tc>
          <w:tcPr>
            <w:tcW w:w="1220" w:type="dxa"/>
            <w:vAlign w:val="bottom"/>
            <w:tcBorders>
              <w:bottom w:val="single" w:sz="8" w:color="929292"/>
            </w:tcBorders>
          </w:tcPr>
          <w:p>
            <w:pPr>
              <w:spacing w:after="0"/>
              <w:rPr>
                <w:sz w:val="18"/>
                <w:szCs w:val="18"/>
                <w:color w:val="auto"/>
              </w:rPr>
            </w:pPr>
          </w:p>
        </w:tc>
        <w:tc>
          <w:tcPr>
            <w:tcW w:w="820" w:type="dxa"/>
            <w:vAlign w:val="bottom"/>
            <w:tcBorders>
              <w:bottom w:val="single" w:sz="8" w:color="929292"/>
            </w:tcBorders>
          </w:tcPr>
          <w:p>
            <w:pPr>
              <w:spacing w:after="0"/>
              <w:rPr>
                <w:sz w:val="18"/>
                <w:szCs w:val="18"/>
                <w:color w:val="auto"/>
              </w:rPr>
            </w:pPr>
          </w:p>
        </w:tc>
        <w:tc>
          <w:tcPr>
            <w:tcW w:w="800" w:type="dxa"/>
            <w:vAlign w:val="bottom"/>
            <w:tcBorders>
              <w:bottom w:val="single" w:sz="8" w:color="929292"/>
            </w:tcBorders>
          </w:tcPr>
          <w:p>
            <w:pPr>
              <w:spacing w:after="0"/>
              <w:rPr>
                <w:sz w:val="18"/>
                <w:szCs w:val="18"/>
                <w:color w:val="auto"/>
              </w:rPr>
            </w:pPr>
          </w:p>
        </w:tc>
        <w:tc>
          <w:tcPr>
            <w:tcW w:w="1120" w:type="dxa"/>
            <w:vAlign w:val="bottom"/>
            <w:tcBorders>
              <w:bottom w:val="single" w:sz="8" w:color="929292"/>
            </w:tcBorders>
          </w:tcPr>
          <w:p>
            <w:pPr>
              <w:spacing w:after="0"/>
              <w:rPr>
                <w:sz w:val="18"/>
                <w:szCs w:val="18"/>
                <w:color w:val="auto"/>
              </w:rPr>
            </w:pPr>
          </w:p>
        </w:tc>
        <w:tc>
          <w:tcPr>
            <w:tcW w:w="420" w:type="dxa"/>
            <w:vAlign w:val="bottom"/>
            <w:tcBorders>
              <w:bottom w:val="single" w:sz="8" w:color="929292"/>
            </w:tcBorders>
          </w:tcPr>
          <w:p>
            <w:pPr>
              <w:spacing w:after="0"/>
              <w:rPr>
                <w:sz w:val="18"/>
                <w:szCs w:val="18"/>
                <w:color w:val="auto"/>
              </w:rPr>
            </w:pPr>
          </w:p>
        </w:tc>
        <w:tc>
          <w:tcPr>
            <w:tcW w:w="1160" w:type="dxa"/>
            <w:vAlign w:val="bottom"/>
            <w:tcBorders>
              <w:bottom w:val="single" w:sz="8" w:color="929292"/>
            </w:tcBorders>
          </w:tcPr>
          <w:p>
            <w:pPr>
              <w:spacing w:after="0"/>
              <w:rPr>
                <w:sz w:val="18"/>
                <w:szCs w:val="18"/>
                <w:color w:val="auto"/>
              </w:rPr>
            </w:pPr>
          </w:p>
        </w:tc>
        <w:tc>
          <w:tcPr>
            <w:tcW w:w="400" w:type="dxa"/>
            <w:vAlign w:val="bottom"/>
            <w:tcBorders>
              <w:bottom w:val="single" w:sz="8" w:color="929292"/>
            </w:tcBorders>
          </w:tcPr>
          <w:p>
            <w:pPr>
              <w:spacing w:after="0"/>
              <w:rPr>
                <w:sz w:val="18"/>
                <w:szCs w:val="18"/>
                <w:color w:val="auto"/>
              </w:rPr>
            </w:pPr>
          </w:p>
        </w:tc>
        <w:tc>
          <w:tcPr>
            <w:tcW w:w="1120" w:type="dxa"/>
            <w:vAlign w:val="bottom"/>
            <w:tcBorders>
              <w:bottom w:val="single" w:sz="8" w:color="929292"/>
            </w:tcBorders>
            <w:gridSpan w:val="2"/>
          </w:tcPr>
          <w:p>
            <w:pPr>
              <w:jc w:val="right"/>
              <w:ind w:right="20"/>
              <w:spacing w:after="0"/>
              <w:rPr>
                <w:sz w:val="20"/>
                <w:szCs w:val="20"/>
                <w:color w:val="auto"/>
              </w:rPr>
            </w:pPr>
            <w:r>
              <w:rPr>
                <w:rFonts w:ascii="Arial" w:cs="Arial" w:eastAsia="Arial" w:hAnsi="Arial"/>
                <w:sz w:val="16"/>
                <w:szCs w:val="16"/>
                <w:b w:val="1"/>
                <w:bCs w:val="1"/>
                <w:color w:val="002F6C"/>
              </w:rPr>
              <w:t>125 %</w:t>
            </w:r>
          </w:p>
        </w:tc>
        <w:tc>
          <w:tcPr>
            <w:tcW w:w="0" w:type="dxa"/>
            <w:vAlign w:val="bottom"/>
          </w:tcPr>
          <w:p>
            <w:pPr>
              <w:spacing w:after="0"/>
              <w:rPr>
                <w:sz w:val="1"/>
                <w:szCs w:val="1"/>
                <w:color w:val="auto"/>
              </w:rPr>
            </w:pPr>
          </w:p>
        </w:tc>
      </w:tr>
      <w:tr>
        <w:trPr>
          <w:trHeight w:val="215"/>
        </w:trPr>
        <w:tc>
          <w:tcPr>
            <w:tcW w:w="4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180" w:type="dxa"/>
            <w:vAlign w:val="bottom"/>
            <w:shd w:val="clear" w:color="auto" w:fill="E4E6EF"/>
          </w:tcPr>
          <w:p>
            <w:pPr>
              <w:spacing w:after="0"/>
              <w:rPr>
                <w:sz w:val="15"/>
                <w:szCs w:val="15"/>
                <w:color w:val="auto"/>
              </w:rPr>
            </w:pPr>
          </w:p>
        </w:tc>
        <w:tc>
          <w:tcPr>
            <w:tcW w:w="1220" w:type="dxa"/>
            <w:vAlign w:val="bottom"/>
            <w:shd w:val="clear" w:color="auto" w:fill="E4E6EF"/>
          </w:tcPr>
          <w:p>
            <w:pPr>
              <w:jc w:val="right"/>
              <w:ind w:right="191"/>
              <w:spacing w:after="0"/>
              <w:rPr>
                <w:sz w:val="20"/>
                <w:szCs w:val="20"/>
                <w:color w:val="auto"/>
              </w:rPr>
            </w:pPr>
            <w:r>
              <w:rPr>
                <w:rFonts w:ascii="Arial" w:cs="Arial" w:eastAsia="Arial" w:hAnsi="Arial"/>
                <w:sz w:val="13"/>
                <w:szCs w:val="13"/>
                <w:color w:val="auto"/>
              </w:rPr>
              <w:t>Base Salary</w:t>
            </w:r>
          </w:p>
        </w:tc>
        <w:tc>
          <w:tcPr>
            <w:tcW w:w="1620" w:type="dxa"/>
            <w:vAlign w:val="bottom"/>
            <w:gridSpan w:val="2"/>
            <w:shd w:val="clear" w:color="auto" w:fill="E4E6EF"/>
          </w:tcPr>
          <w:p>
            <w:pPr>
              <w:jc w:val="right"/>
              <w:ind w:right="320"/>
              <w:spacing w:after="0"/>
              <w:rPr>
                <w:sz w:val="20"/>
                <w:szCs w:val="20"/>
                <w:color w:val="auto"/>
              </w:rPr>
            </w:pPr>
            <w:r>
              <w:rPr>
                <w:rFonts w:ascii="Arial" w:cs="Arial" w:eastAsia="Arial" w:hAnsi="Arial"/>
                <w:sz w:val="13"/>
                <w:szCs w:val="13"/>
                <w:color w:val="auto"/>
              </w:rPr>
              <w:t>Target % of Salary</w:t>
            </w:r>
          </w:p>
        </w:tc>
        <w:tc>
          <w:tcPr>
            <w:tcW w:w="1120" w:type="dxa"/>
            <w:vAlign w:val="bottom"/>
            <w:shd w:val="clear" w:color="auto" w:fill="E4E6EF"/>
          </w:tcPr>
          <w:p>
            <w:pPr>
              <w:jc w:val="right"/>
              <w:spacing w:after="0"/>
              <w:rPr>
                <w:sz w:val="20"/>
                <w:szCs w:val="20"/>
                <w:color w:val="auto"/>
              </w:rPr>
            </w:pPr>
            <w:r>
              <w:rPr>
                <w:rFonts w:ascii="Arial" w:cs="Arial" w:eastAsia="Arial" w:hAnsi="Arial"/>
                <w:sz w:val="13"/>
                <w:szCs w:val="13"/>
                <w:color w:val="auto"/>
              </w:rPr>
              <w:t>Target Award</w:t>
            </w:r>
          </w:p>
        </w:tc>
        <w:tc>
          <w:tcPr>
            <w:tcW w:w="420" w:type="dxa"/>
            <w:vAlign w:val="bottom"/>
            <w:vMerge w:val="restart"/>
            <w:shd w:val="clear" w:color="auto" w:fill="E4E6EF"/>
          </w:tcPr>
          <w:p>
            <w:pPr>
              <w:ind w:left="200"/>
              <w:spacing w:after="0"/>
              <w:rPr>
                <w:sz w:val="20"/>
                <w:szCs w:val="20"/>
                <w:color w:val="auto"/>
              </w:rPr>
            </w:pPr>
            <w:r>
              <w:rPr>
                <w:rFonts w:ascii="Arial" w:cs="Arial" w:eastAsia="Arial" w:hAnsi="Arial"/>
                <w:sz w:val="13"/>
                <w:szCs w:val="13"/>
                <w:color w:val="auto"/>
              </w:rPr>
              <w:t>X</w:t>
            </w:r>
          </w:p>
        </w:tc>
        <w:tc>
          <w:tcPr>
            <w:tcW w:w="1160" w:type="dxa"/>
            <w:vAlign w:val="bottom"/>
            <w:shd w:val="clear" w:color="auto" w:fill="E4E6EF"/>
          </w:tcPr>
          <w:p>
            <w:pPr>
              <w:jc w:val="right"/>
              <w:ind w:right="73"/>
              <w:spacing w:after="0"/>
              <w:rPr>
                <w:sz w:val="20"/>
                <w:szCs w:val="20"/>
                <w:color w:val="auto"/>
              </w:rPr>
            </w:pPr>
            <w:r>
              <w:rPr>
                <w:rFonts w:ascii="Arial" w:cs="Arial" w:eastAsia="Arial" w:hAnsi="Arial"/>
                <w:sz w:val="13"/>
                <w:szCs w:val="13"/>
                <w:color w:val="auto"/>
              </w:rPr>
              <w:t>Overall Payout</w:t>
            </w:r>
          </w:p>
        </w:tc>
        <w:tc>
          <w:tcPr>
            <w:tcW w:w="400" w:type="dxa"/>
            <w:vAlign w:val="bottom"/>
            <w:vMerge w:val="restart"/>
            <w:shd w:val="clear" w:color="auto" w:fill="E4E6EF"/>
          </w:tcPr>
          <w:p>
            <w:pPr>
              <w:jc w:val="right"/>
              <w:ind w:right="77"/>
              <w:spacing w:after="0"/>
              <w:rPr>
                <w:sz w:val="20"/>
                <w:szCs w:val="20"/>
                <w:color w:val="auto"/>
              </w:rPr>
            </w:pPr>
            <w:r>
              <w:rPr>
                <w:rFonts w:ascii="Arial" w:cs="Arial" w:eastAsia="Arial" w:hAnsi="Arial"/>
                <w:sz w:val="13"/>
                <w:szCs w:val="13"/>
                <w:color w:val="auto"/>
              </w:rPr>
              <w:t>=</w:t>
            </w:r>
          </w:p>
        </w:tc>
        <w:tc>
          <w:tcPr>
            <w:tcW w:w="1100" w:type="dxa"/>
            <w:vAlign w:val="bottom"/>
            <w:shd w:val="clear" w:color="auto" w:fill="E4E6EF"/>
          </w:tcPr>
          <w:p>
            <w:pPr>
              <w:jc w:val="right"/>
              <w:spacing w:after="0"/>
              <w:rPr>
                <w:sz w:val="20"/>
                <w:szCs w:val="20"/>
                <w:color w:val="auto"/>
              </w:rPr>
            </w:pPr>
            <w:r>
              <w:rPr>
                <w:rFonts w:ascii="Arial" w:cs="Arial" w:eastAsia="Arial" w:hAnsi="Arial"/>
                <w:sz w:val="13"/>
                <w:szCs w:val="13"/>
                <w:color w:val="auto"/>
              </w:rPr>
              <w:t>Payout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4"/>
        </w:trPr>
        <w:tc>
          <w:tcPr>
            <w:tcW w:w="4180" w:type="dxa"/>
            <w:vAlign w:val="bottom"/>
            <w:vMerge w:val="restart"/>
            <w:shd w:val="clear" w:color="auto" w:fill="E4E6EF"/>
          </w:tcPr>
          <w:p>
            <w:pPr>
              <w:ind w:left="20"/>
              <w:spacing w:after="0"/>
              <w:rPr>
                <w:sz w:val="20"/>
                <w:szCs w:val="20"/>
                <w:color w:val="auto"/>
              </w:rPr>
            </w:pPr>
            <w:r>
              <w:rPr>
                <w:rFonts w:ascii="Arial" w:cs="Arial" w:eastAsia="Arial" w:hAnsi="Arial"/>
                <w:sz w:val="13"/>
                <w:szCs w:val="13"/>
                <w:color w:val="auto"/>
              </w:rPr>
              <w:t>NEO*</w:t>
            </w:r>
          </w:p>
        </w:tc>
        <w:tc>
          <w:tcPr>
            <w:tcW w:w="1220" w:type="dxa"/>
            <w:vAlign w:val="bottom"/>
            <w:vMerge w:val="restart"/>
            <w:shd w:val="clear" w:color="auto" w:fill="E4E6EF"/>
          </w:tcPr>
          <w:p>
            <w:pPr>
              <w:jc w:val="right"/>
              <w:ind w:right="191"/>
              <w:spacing w:after="0"/>
              <w:rPr>
                <w:sz w:val="20"/>
                <w:szCs w:val="20"/>
                <w:color w:val="auto"/>
              </w:rPr>
            </w:pPr>
            <w:r>
              <w:rPr>
                <w:rFonts w:ascii="Arial" w:cs="Arial" w:eastAsia="Arial" w:hAnsi="Arial"/>
                <w:sz w:val="13"/>
                <w:szCs w:val="13"/>
                <w:color w:val="auto"/>
              </w:rPr>
              <w:t>($)</w:t>
            </w:r>
          </w:p>
        </w:tc>
        <w:tc>
          <w:tcPr>
            <w:tcW w:w="1620" w:type="dxa"/>
            <w:vAlign w:val="bottom"/>
            <w:gridSpan w:val="2"/>
            <w:vMerge w:val="restart"/>
            <w:shd w:val="clear" w:color="auto" w:fill="E4E6EF"/>
          </w:tcPr>
          <w:p>
            <w:pPr>
              <w:jc w:val="right"/>
              <w:ind w:right="320"/>
              <w:spacing w:after="0"/>
              <w:rPr>
                <w:sz w:val="20"/>
                <w:szCs w:val="20"/>
                <w:color w:val="auto"/>
              </w:rPr>
            </w:pPr>
            <w:r>
              <w:rPr>
                <w:rFonts w:ascii="Arial" w:cs="Arial" w:eastAsia="Arial" w:hAnsi="Arial"/>
                <w:sz w:val="13"/>
                <w:szCs w:val="13"/>
                <w:color w:val="auto"/>
              </w:rPr>
              <w:t>(%)</w:t>
            </w:r>
          </w:p>
        </w:tc>
        <w:tc>
          <w:tcPr>
            <w:tcW w:w="1120" w:type="dxa"/>
            <w:vAlign w:val="bottom"/>
            <w:vMerge w:val="restart"/>
            <w:shd w:val="clear" w:color="auto" w:fill="E4E6EF"/>
          </w:tcPr>
          <w:p>
            <w:pPr>
              <w:jc w:val="right"/>
              <w:spacing w:after="0"/>
              <w:rPr>
                <w:sz w:val="20"/>
                <w:szCs w:val="20"/>
                <w:color w:val="auto"/>
              </w:rPr>
            </w:pPr>
            <w:r>
              <w:rPr>
                <w:rFonts w:ascii="Arial" w:cs="Arial" w:eastAsia="Arial" w:hAnsi="Arial"/>
                <w:sz w:val="13"/>
                <w:szCs w:val="13"/>
                <w:color w:val="auto"/>
              </w:rPr>
              <w:t>($)</w:t>
            </w:r>
          </w:p>
        </w:tc>
        <w:tc>
          <w:tcPr>
            <w:tcW w:w="420" w:type="dxa"/>
            <w:vAlign w:val="bottom"/>
            <w:vMerge w:val="continue"/>
            <w:shd w:val="clear" w:color="auto" w:fill="E4E6EF"/>
          </w:tcPr>
          <w:p>
            <w:pPr>
              <w:spacing w:after="0"/>
              <w:rPr>
                <w:sz w:val="8"/>
                <w:szCs w:val="8"/>
                <w:color w:val="auto"/>
              </w:rPr>
            </w:pPr>
          </w:p>
        </w:tc>
        <w:tc>
          <w:tcPr>
            <w:tcW w:w="1160" w:type="dxa"/>
            <w:vAlign w:val="bottom"/>
            <w:vMerge w:val="restart"/>
            <w:shd w:val="clear" w:color="auto" w:fill="E4E6EF"/>
          </w:tcPr>
          <w:p>
            <w:pPr>
              <w:jc w:val="right"/>
              <w:ind w:right="313"/>
              <w:spacing w:after="0"/>
              <w:rPr>
                <w:sz w:val="20"/>
                <w:szCs w:val="20"/>
                <w:color w:val="auto"/>
              </w:rPr>
            </w:pPr>
            <w:r>
              <w:rPr>
                <w:rFonts w:ascii="Arial" w:cs="Arial" w:eastAsia="Arial" w:hAnsi="Arial"/>
                <w:sz w:val="13"/>
                <w:szCs w:val="13"/>
                <w:color w:val="auto"/>
              </w:rPr>
              <w:t>Factor</w:t>
            </w:r>
          </w:p>
        </w:tc>
        <w:tc>
          <w:tcPr>
            <w:tcW w:w="400" w:type="dxa"/>
            <w:vAlign w:val="bottom"/>
            <w:vMerge w:val="continue"/>
            <w:shd w:val="clear" w:color="auto" w:fill="E4E6EF"/>
          </w:tcPr>
          <w:p>
            <w:pPr>
              <w:spacing w:after="0"/>
              <w:rPr>
                <w:sz w:val="8"/>
                <w:szCs w:val="8"/>
                <w:color w:val="auto"/>
              </w:rPr>
            </w:pPr>
          </w:p>
        </w:tc>
        <w:tc>
          <w:tcPr>
            <w:tcW w:w="1100" w:type="dxa"/>
            <w:vAlign w:val="bottom"/>
            <w:vMerge w:val="restart"/>
            <w:shd w:val="clear" w:color="auto" w:fill="E4E6E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2"/>
        </w:trPr>
        <w:tc>
          <w:tcPr>
            <w:tcW w:w="4180" w:type="dxa"/>
            <w:vAlign w:val="bottom"/>
            <w:tcBorders>
              <w:bottom w:val="single" w:sz="8" w:color="E4E6EF"/>
            </w:tcBorders>
            <w:vMerge w:val="continue"/>
            <w:shd w:val="clear" w:color="auto" w:fill="E4E6EF"/>
          </w:tcPr>
          <w:p>
            <w:pPr>
              <w:spacing w:after="0"/>
              <w:rPr>
                <w:sz w:val="13"/>
                <w:szCs w:val="13"/>
                <w:color w:val="auto"/>
              </w:rPr>
            </w:pPr>
          </w:p>
        </w:tc>
        <w:tc>
          <w:tcPr>
            <w:tcW w:w="1220" w:type="dxa"/>
            <w:vAlign w:val="bottom"/>
            <w:tcBorders>
              <w:bottom w:val="single" w:sz="8" w:color="E4E6EF"/>
            </w:tcBorders>
            <w:vMerge w:val="continue"/>
            <w:shd w:val="clear" w:color="auto" w:fill="E4E6EF"/>
          </w:tcPr>
          <w:p>
            <w:pPr>
              <w:spacing w:after="0"/>
              <w:rPr>
                <w:sz w:val="13"/>
                <w:szCs w:val="13"/>
                <w:color w:val="auto"/>
              </w:rPr>
            </w:pPr>
          </w:p>
        </w:tc>
        <w:tc>
          <w:tcPr>
            <w:tcW w:w="1620" w:type="dxa"/>
            <w:vAlign w:val="bottom"/>
            <w:tcBorders>
              <w:bottom w:val="single" w:sz="8" w:color="E4E6EF"/>
            </w:tcBorders>
            <w:gridSpan w:val="2"/>
            <w:vMerge w:val="continue"/>
            <w:shd w:val="clear" w:color="auto" w:fill="E4E6EF"/>
          </w:tcPr>
          <w:p>
            <w:pPr>
              <w:spacing w:after="0"/>
              <w:rPr>
                <w:sz w:val="13"/>
                <w:szCs w:val="13"/>
                <w:color w:val="auto"/>
              </w:rPr>
            </w:pPr>
          </w:p>
        </w:tc>
        <w:tc>
          <w:tcPr>
            <w:tcW w:w="1120" w:type="dxa"/>
            <w:vAlign w:val="bottom"/>
            <w:tcBorders>
              <w:bottom w:val="single" w:sz="8" w:color="E4E6EF"/>
            </w:tcBorders>
            <w:vMerge w:val="continue"/>
            <w:shd w:val="clear" w:color="auto" w:fill="E4E6EF"/>
          </w:tcPr>
          <w:p>
            <w:pPr>
              <w:spacing w:after="0"/>
              <w:rPr>
                <w:sz w:val="13"/>
                <w:szCs w:val="13"/>
                <w:color w:val="auto"/>
              </w:rPr>
            </w:pPr>
          </w:p>
        </w:tc>
        <w:tc>
          <w:tcPr>
            <w:tcW w:w="420" w:type="dxa"/>
            <w:vAlign w:val="bottom"/>
            <w:tcBorders>
              <w:bottom w:val="single" w:sz="8" w:color="E4E6EF"/>
            </w:tcBorders>
            <w:shd w:val="clear" w:color="auto" w:fill="E4E6EF"/>
          </w:tcPr>
          <w:p>
            <w:pPr>
              <w:spacing w:after="0"/>
              <w:rPr>
                <w:sz w:val="13"/>
                <w:szCs w:val="13"/>
                <w:color w:val="auto"/>
              </w:rPr>
            </w:pPr>
          </w:p>
        </w:tc>
        <w:tc>
          <w:tcPr>
            <w:tcW w:w="1160" w:type="dxa"/>
            <w:vAlign w:val="bottom"/>
            <w:tcBorders>
              <w:bottom w:val="single" w:sz="8" w:color="E4E6EF"/>
            </w:tcBorders>
            <w:vMerge w:val="continue"/>
            <w:shd w:val="clear" w:color="auto" w:fill="E4E6EF"/>
          </w:tcPr>
          <w:p>
            <w:pPr>
              <w:spacing w:after="0"/>
              <w:rPr>
                <w:sz w:val="13"/>
                <w:szCs w:val="13"/>
                <w:color w:val="auto"/>
              </w:rPr>
            </w:pPr>
          </w:p>
        </w:tc>
        <w:tc>
          <w:tcPr>
            <w:tcW w:w="400" w:type="dxa"/>
            <w:vAlign w:val="bottom"/>
            <w:tcBorders>
              <w:bottom w:val="single" w:sz="8" w:color="E4E6EF"/>
            </w:tcBorders>
            <w:shd w:val="clear" w:color="auto" w:fill="E4E6EF"/>
          </w:tcPr>
          <w:p>
            <w:pPr>
              <w:spacing w:after="0"/>
              <w:rPr>
                <w:sz w:val="13"/>
                <w:szCs w:val="13"/>
                <w:color w:val="auto"/>
              </w:rPr>
            </w:pPr>
          </w:p>
        </w:tc>
        <w:tc>
          <w:tcPr>
            <w:tcW w:w="1100" w:type="dxa"/>
            <w:vAlign w:val="bottom"/>
            <w:tcBorders>
              <w:bottom w:val="single" w:sz="8" w:color="E4E6EF"/>
            </w:tcBorders>
            <w:vMerge w:val="continue"/>
            <w:shd w:val="clear" w:color="auto" w:fill="E4E6E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180" w:type="dxa"/>
            <w:vAlign w:val="bottom"/>
            <w:tcBorders>
              <w:top w:val="single" w:sz="8" w:color="003478"/>
              <w:bottom w:val="single" w:sz="8" w:color="9D9D9C"/>
            </w:tcBorders>
          </w:tcPr>
          <w:p>
            <w:pPr>
              <w:ind w:left="20"/>
              <w:spacing w:after="0"/>
              <w:rPr>
                <w:sz w:val="20"/>
                <w:szCs w:val="20"/>
                <w:color w:val="auto"/>
              </w:rPr>
            </w:pPr>
            <w:r>
              <w:rPr>
                <w:rFonts w:ascii="Arial" w:cs="Arial" w:eastAsia="Arial" w:hAnsi="Arial"/>
                <w:sz w:val="14"/>
                <w:szCs w:val="14"/>
                <w:b w:val="1"/>
                <w:bCs w:val="1"/>
                <w:color w:val="003478"/>
              </w:rPr>
              <w:t>Mr. Taiclet</w:t>
            </w:r>
          </w:p>
        </w:tc>
        <w:tc>
          <w:tcPr>
            <w:tcW w:w="1220" w:type="dxa"/>
            <w:vAlign w:val="bottom"/>
            <w:tcBorders>
              <w:top w:val="single" w:sz="8" w:color="003478"/>
              <w:bottom w:val="single" w:sz="8" w:color="9D9D9C"/>
            </w:tcBorders>
          </w:tcPr>
          <w:p>
            <w:pPr>
              <w:jc w:val="right"/>
              <w:ind w:right="191"/>
              <w:spacing w:after="0"/>
              <w:rPr>
                <w:sz w:val="20"/>
                <w:szCs w:val="20"/>
                <w:color w:val="auto"/>
              </w:rPr>
            </w:pPr>
            <w:r>
              <w:rPr>
                <w:rFonts w:ascii="Arial" w:cs="Arial" w:eastAsia="Arial" w:hAnsi="Arial"/>
                <w:sz w:val="14"/>
                <w:szCs w:val="14"/>
                <w:color w:val="auto"/>
              </w:rPr>
              <w:t>1,751,000</w:t>
            </w:r>
          </w:p>
        </w:tc>
        <w:tc>
          <w:tcPr>
            <w:tcW w:w="1620" w:type="dxa"/>
            <w:vAlign w:val="bottom"/>
            <w:tcBorders>
              <w:top w:val="single" w:sz="8" w:color="003478"/>
              <w:bottom w:val="single" w:sz="8" w:color="9D9D9C"/>
            </w:tcBorders>
            <w:gridSpan w:val="2"/>
          </w:tcPr>
          <w:p>
            <w:pPr>
              <w:jc w:val="right"/>
              <w:ind w:right="320"/>
              <w:spacing w:after="0"/>
              <w:rPr>
                <w:sz w:val="20"/>
                <w:szCs w:val="20"/>
                <w:color w:val="auto"/>
              </w:rPr>
            </w:pPr>
            <w:r>
              <w:rPr>
                <w:rFonts w:ascii="Arial" w:cs="Arial" w:eastAsia="Arial" w:hAnsi="Arial"/>
                <w:sz w:val="14"/>
                <w:szCs w:val="14"/>
                <w:color w:val="auto"/>
              </w:rPr>
              <w:t>185</w:t>
            </w:r>
          </w:p>
        </w:tc>
        <w:tc>
          <w:tcPr>
            <w:tcW w:w="1120" w:type="dxa"/>
            <w:vAlign w:val="bottom"/>
            <w:tcBorders>
              <w:top w:val="single" w:sz="8" w:color="003478"/>
              <w:bottom w:val="single" w:sz="8" w:color="9D9D9C"/>
            </w:tcBorders>
          </w:tcPr>
          <w:p>
            <w:pPr>
              <w:jc w:val="right"/>
              <w:spacing w:after="0"/>
              <w:rPr>
                <w:sz w:val="20"/>
                <w:szCs w:val="20"/>
                <w:color w:val="auto"/>
              </w:rPr>
            </w:pPr>
            <w:r>
              <w:rPr>
                <w:rFonts w:ascii="Arial" w:cs="Arial" w:eastAsia="Arial" w:hAnsi="Arial"/>
                <w:sz w:val="14"/>
                <w:szCs w:val="14"/>
                <w:color w:val="auto"/>
              </w:rPr>
              <w:t>3,239,350</w:t>
            </w:r>
          </w:p>
        </w:tc>
        <w:tc>
          <w:tcPr>
            <w:tcW w:w="420" w:type="dxa"/>
            <w:vAlign w:val="bottom"/>
            <w:tcBorders>
              <w:top w:val="single" w:sz="8" w:color="003478"/>
            </w:tcBorders>
          </w:tcPr>
          <w:p>
            <w:pPr>
              <w:spacing w:after="0"/>
              <w:rPr>
                <w:sz w:val="16"/>
                <w:szCs w:val="16"/>
                <w:color w:val="auto"/>
              </w:rPr>
            </w:pPr>
          </w:p>
        </w:tc>
        <w:tc>
          <w:tcPr>
            <w:tcW w:w="1160" w:type="dxa"/>
            <w:vAlign w:val="bottom"/>
            <w:tcBorders>
              <w:top w:val="single" w:sz="8" w:color="003478"/>
            </w:tcBorders>
          </w:tcPr>
          <w:p>
            <w:pPr>
              <w:spacing w:after="0"/>
              <w:rPr>
                <w:sz w:val="16"/>
                <w:szCs w:val="16"/>
                <w:color w:val="auto"/>
              </w:rPr>
            </w:pPr>
          </w:p>
        </w:tc>
        <w:tc>
          <w:tcPr>
            <w:tcW w:w="400" w:type="dxa"/>
            <w:vAlign w:val="bottom"/>
            <w:tcBorders>
              <w:top w:val="single" w:sz="8" w:color="003478"/>
              <w:bottom w:val="single" w:sz="8" w:color="9D9D9C"/>
            </w:tcBorders>
          </w:tcPr>
          <w:p>
            <w:pPr>
              <w:spacing w:after="0"/>
              <w:rPr>
                <w:sz w:val="16"/>
                <w:szCs w:val="16"/>
                <w:color w:val="auto"/>
              </w:rPr>
            </w:pPr>
          </w:p>
        </w:tc>
        <w:tc>
          <w:tcPr>
            <w:tcW w:w="1100" w:type="dxa"/>
            <w:vAlign w:val="bottom"/>
            <w:tcBorders>
              <w:top w:val="single" w:sz="8" w:color="003478"/>
              <w:bottom w:val="single" w:sz="8" w:color="9D9D9C"/>
            </w:tcBorders>
          </w:tcPr>
          <w:p>
            <w:pPr>
              <w:jc w:val="right"/>
              <w:spacing w:after="0"/>
              <w:rPr>
                <w:sz w:val="20"/>
                <w:szCs w:val="20"/>
                <w:color w:val="auto"/>
              </w:rPr>
            </w:pPr>
            <w:r>
              <w:rPr>
                <w:rFonts w:ascii="Arial" w:cs="Arial" w:eastAsia="Arial" w:hAnsi="Arial"/>
                <w:sz w:val="14"/>
                <w:szCs w:val="14"/>
                <w:color w:val="auto"/>
              </w:rPr>
              <w:t>4,049,200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tcBorders>
              <w:bottom w:val="single" w:sz="8" w:color="9D9D9C"/>
            </w:tcBorders>
          </w:tcPr>
          <w:p>
            <w:pPr>
              <w:ind w:left="20"/>
              <w:spacing w:after="0"/>
              <w:rPr>
                <w:sz w:val="20"/>
                <w:szCs w:val="20"/>
                <w:color w:val="auto"/>
              </w:rPr>
            </w:pPr>
            <w:r>
              <w:rPr>
                <w:rFonts w:ascii="Arial" w:cs="Arial" w:eastAsia="Arial" w:hAnsi="Arial"/>
                <w:sz w:val="14"/>
                <w:szCs w:val="14"/>
                <w:b w:val="1"/>
                <w:bCs w:val="1"/>
                <w:color w:val="003478"/>
              </w:rPr>
              <w:t>Mr. Mollard**</w:t>
            </w:r>
          </w:p>
        </w:tc>
        <w:tc>
          <w:tcPr>
            <w:tcW w:w="1220" w:type="dxa"/>
            <w:vAlign w:val="bottom"/>
            <w:tcBorders>
              <w:bottom w:val="single" w:sz="8" w:color="9D9D9C"/>
            </w:tcBorders>
          </w:tcPr>
          <w:p>
            <w:pPr>
              <w:jc w:val="right"/>
              <w:ind w:right="191"/>
              <w:spacing w:after="0"/>
              <w:rPr>
                <w:sz w:val="20"/>
                <w:szCs w:val="20"/>
                <w:color w:val="auto"/>
              </w:rPr>
            </w:pPr>
            <w:r>
              <w:rPr>
                <w:rFonts w:ascii="Arial" w:cs="Arial" w:eastAsia="Arial" w:hAnsi="Arial"/>
                <w:sz w:val="14"/>
                <w:szCs w:val="14"/>
                <w:color w:val="auto"/>
              </w:rPr>
              <w:t>495,000</w:t>
            </w:r>
          </w:p>
        </w:tc>
        <w:tc>
          <w:tcPr>
            <w:tcW w:w="1620" w:type="dxa"/>
            <w:vAlign w:val="bottom"/>
            <w:tcBorders>
              <w:bottom w:val="single" w:sz="8" w:color="9D9D9C"/>
            </w:tcBorders>
            <w:gridSpan w:val="2"/>
          </w:tcPr>
          <w:p>
            <w:pPr>
              <w:jc w:val="right"/>
              <w:ind w:right="320"/>
              <w:spacing w:after="0"/>
              <w:rPr>
                <w:sz w:val="20"/>
                <w:szCs w:val="20"/>
                <w:color w:val="auto"/>
              </w:rPr>
            </w:pPr>
            <w:r>
              <w:rPr>
                <w:rFonts w:ascii="Arial" w:cs="Arial" w:eastAsia="Arial" w:hAnsi="Arial"/>
                <w:sz w:val="14"/>
                <w:szCs w:val="14"/>
                <w:color w:val="auto"/>
              </w:rPr>
              <w:t>70</w:t>
            </w:r>
          </w:p>
        </w:tc>
        <w:tc>
          <w:tcPr>
            <w:tcW w:w="112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346,500</w:t>
            </w: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Borders>
              <w:bottom w:val="single" w:sz="8" w:color="9D9D9C"/>
            </w:tcBorders>
          </w:tcPr>
          <w:p>
            <w:pPr>
              <w:spacing w:after="0"/>
              <w:rPr>
                <w:sz w:val="16"/>
                <w:szCs w:val="16"/>
                <w:color w:val="auto"/>
              </w:rPr>
            </w:pPr>
          </w:p>
        </w:tc>
        <w:tc>
          <w:tcPr>
            <w:tcW w:w="110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433,100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tcBorders>
              <w:bottom w:val="single" w:sz="8" w:color="9D9D9C"/>
            </w:tcBorders>
          </w:tcPr>
          <w:p>
            <w:pPr>
              <w:ind w:left="20"/>
              <w:spacing w:after="0"/>
              <w:rPr>
                <w:sz w:val="20"/>
                <w:szCs w:val="20"/>
                <w:color w:val="auto"/>
              </w:rPr>
            </w:pPr>
            <w:r>
              <w:rPr>
                <w:rFonts w:ascii="Arial" w:cs="Arial" w:eastAsia="Arial" w:hAnsi="Arial"/>
                <w:sz w:val="14"/>
                <w:szCs w:val="14"/>
                <w:b w:val="1"/>
                <w:bCs w:val="1"/>
                <w:color w:val="003478"/>
              </w:rPr>
              <w:t>Mr. Possenriede***</w:t>
            </w:r>
          </w:p>
        </w:tc>
        <w:tc>
          <w:tcPr>
            <w:tcW w:w="1220" w:type="dxa"/>
            <w:vAlign w:val="bottom"/>
            <w:tcBorders>
              <w:bottom w:val="single" w:sz="8" w:color="9D9D9C"/>
            </w:tcBorders>
          </w:tcPr>
          <w:p>
            <w:pPr>
              <w:jc w:val="right"/>
              <w:ind w:right="191"/>
              <w:spacing w:after="0"/>
              <w:rPr>
                <w:sz w:val="20"/>
                <w:szCs w:val="20"/>
                <w:color w:val="auto"/>
              </w:rPr>
            </w:pPr>
            <w:r>
              <w:rPr>
                <w:rFonts w:ascii="Arial" w:cs="Arial" w:eastAsia="Arial" w:hAnsi="Arial"/>
                <w:sz w:val="14"/>
                <w:szCs w:val="14"/>
                <w:color w:val="auto"/>
              </w:rPr>
              <w:t>1,000,000</w:t>
            </w:r>
          </w:p>
        </w:tc>
        <w:tc>
          <w:tcPr>
            <w:tcW w:w="1620" w:type="dxa"/>
            <w:vAlign w:val="bottom"/>
            <w:tcBorders>
              <w:bottom w:val="single" w:sz="8" w:color="9D9D9C"/>
            </w:tcBorders>
            <w:gridSpan w:val="2"/>
          </w:tcPr>
          <w:p>
            <w:pPr>
              <w:jc w:val="right"/>
              <w:ind w:right="320"/>
              <w:spacing w:after="0"/>
              <w:rPr>
                <w:sz w:val="20"/>
                <w:szCs w:val="20"/>
                <w:color w:val="auto"/>
              </w:rPr>
            </w:pPr>
            <w:r>
              <w:rPr>
                <w:rFonts w:ascii="Arial" w:cs="Arial" w:eastAsia="Arial" w:hAnsi="Arial"/>
                <w:sz w:val="14"/>
                <w:szCs w:val="14"/>
                <w:color w:val="auto"/>
              </w:rPr>
              <w:t>125</w:t>
            </w:r>
          </w:p>
        </w:tc>
        <w:tc>
          <w:tcPr>
            <w:tcW w:w="112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732,877</w:t>
            </w:r>
          </w:p>
        </w:tc>
        <w:tc>
          <w:tcPr>
            <w:tcW w:w="420" w:type="dxa"/>
            <w:vAlign w:val="bottom"/>
          </w:tcPr>
          <w:p>
            <w:pPr>
              <w:spacing w:after="0"/>
              <w:rPr>
                <w:sz w:val="16"/>
                <w:szCs w:val="16"/>
                <w:color w:val="auto"/>
              </w:rPr>
            </w:pPr>
          </w:p>
        </w:tc>
        <w:tc>
          <w:tcPr>
            <w:tcW w:w="1160" w:type="dxa"/>
            <w:vAlign w:val="bottom"/>
            <w:vMerge w:val="restart"/>
          </w:tcPr>
          <w:p>
            <w:pPr>
              <w:jc w:val="right"/>
              <w:ind w:right="533"/>
              <w:spacing w:after="0"/>
              <w:rPr>
                <w:sz w:val="20"/>
                <w:szCs w:val="20"/>
                <w:color w:val="auto"/>
              </w:rPr>
            </w:pPr>
            <w:r>
              <w:rPr>
                <w:rFonts w:ascii="Arial" w:cs="Arial" w:eastAsia="Arial" w:hAnsi="Arial"/>
                <w:sz w:val="14"/>
                <w:szCs w:val="14"/>
                <w:color w:val="242424"/>
              </w:rPr>
              <w:t>125%</w:t>
            </w:r>
          </w:p>
        </w:tc>
        <w:tc>
          <w:tcPr>
            <w:tcW w:w="400" w:type="dxa"/>
            <w:vAlign w:val="bottom"/>
            <w:tcBorders>
              <w:bottom w:val="single" w:sz="8" w:color="9D9D9C"/>
            </w:tcBorders>
          </w:tcPr>
          <w:p>
            <w:pPr>
              <w:spacing w:after="0"/>
              <w:rPr>
                <w:sz w:val="16"/>
                <w:szCs w:val="16"/>
                <w:color w:val="auto"/>
              </w:rPr>
            </w:pPr>
          </w:p>
        </w:tc>
        <w:tc>
          <w:tcPr>
            <w:tcW w:w="110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916,100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4180" w:type="dxa"/>
            <w:vAlign w:val="bottom"/>
            <w:vMerge w:val="restart"/>
          </w:tcPr>
          <w:p>
            <w:pPr>
              <w:ind w:left="20"/>
              <w:spacing w:after="0"/>
              <w:rPr>
                <w:sz w:val="20"/>
                <w:szCs w:val="20"/>
                <w:color w:val="auto"/>
              </w:rPr>
            </w:pPr>
            <w:r>
              <w:rPr>
                <w:rFonts w:ascii="Arial" w:cs="Arial" w:eastAsia="Arial" w:hAnsi="Arial"/>
                <w:sz w:val="14"/>
                <w:szCs w:val="14"/>
                <w:b w:val="1"/>
                <w:bCs w:val="1"/>
                <w:color w:val="003478"/>
              </w:rPr>
              <w:t>Mr. St. John</w:t>
            </w:r>
          </w:p>
        </w:tc>
        <w:tc>
          <w:tcPr>
            <w:tcW w:w="1220" w:type="dxa"/>
            <w:vAlign w:val="bottom"/>
            <w:vMerge w:val="restart"/>
          </w:tcPr>
          <w:p>
            <w:pPr>
              <w:jc w:val="right"/>
              <w:ind w:right="191"/>
              <w:spacing w:after="0"/>
              <w:rPr>
                <w:sz w:val="20"/>
                <w:szCs w:val="20"/>
                <w:color w:val="auto"/>
              </w:rPr>
            </w:pPr>
            <w:r>
              <w:rPr>
                <w:rFonts w:ascii="Arial" w:cs="Arial" w:eastAsia="Arial" w:hAnsi="Arial"/>
                <w:sz w:val="14"/>
                <w:szCs w:val="14"/>
                <w:color w:val="auto"/>
              </w:rPr>
              <w:t>1,000,000</w:t>
            </w:r>
          </w:p>
        </w:tc>
        <w:tc>
          <w:tcPr>
            <w:tcW w:w="1620" w:type="dxa"/>
            <w:vAlign w:val="bottom"/>
            <w:gridSpan w:val="2"/>
            <w:vMerge w:val="restart"/>
          </w:tcPr>
          <w:p>
            <w:pPr>
              <w:jc w:val="right"/>
              <w:ind w:right="320"/>
              <w:spacing w:after="0"/>
              <w:rPr>
                <w:sz w:val="20"/>
                <w:szCs w:val="20"/>
                <w:color w:val="auto"/>
              </w:rPr>
            </w:pPr>
            <w:r>
              <w:rPr>
                <w:rFonts w:ascii="Arial" w:cs="Arial" w:eastAsia="Arial" w:hAnsi="Arial"/>
                <w:sz w:val="14"/>
                <w:szCs w:val="14"/>
                <w:color w:val="auto"/>
              </w:rPr>
              <w:t>125</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1,250,000</w:t>
            </w:r>
          </w:p>
        </w:tc>
        <w:tc>
          <w:tcPr>
            <w:tcW w:w="4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1,562,500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4180" w:type="dxa"/>
            <w:vAlign w:val="bottom"/>
            <w:tcBorders>
              <w:bottom w:val="single" w:sz="8" w:color="9D9D9C"/>
            </w:tcBorders>
            <w:vMerge w:val="continue"/>
          </w:tcPr>
          <w:p>
            <w:pPr>
              <w:spacing w:after="0"/>
              <w:rPr>
                <w:sz w:val="10"/>
                <w:szCs w:val="10"/>
                <w:color w:val="auto"/>
              </w:rPr>
            </w:pPr>
          </w:p>
        </w:tc>
        <w:tc>
          <w:tcPr>
            <w:tcW w:w="1220" w:type="dxa"/>
            <w:vAlign w:val="bottom"/>
            <w:tcBorders>
              <w:bottom w:val="single" w:sz="8" w:color="9D9D9C"/>
            </w:tcBorders>
            <w:vMerge w:val="continue"/>
          </w:tcPr>
          <w:p>
            <w:pPr>
              <w:spacing w:after="0"/>
              <w:rPr>
                <w:sz w:val="10"/>
                <w:szCs w:val="10"/>
                <w:color w:val="auto"/>
              </w:rPr>
            </w:pPr>
          </w:p>
        </w:tc>
        <w:tc>
          <w:tcPr>
            <w:tcW w:w="1620" w:type="dxa"/>
            <w:vAlign w:val="bottom"/>
            <w:tcBorders>
              <w:bottom w:val="single" w:sz="8" w:color="9D9D9C"/>
            </w:tcBorders>
            <w:gridSpan w:val="2"/>
            <w:vMerge w:val="continue"/>
          </w:tcPr>
          <w:p>
            <w:pPr>
              <w:spacing w:after="0"/>
              <w:rPr>
                <w:sz w:val="10"/>
                <w:szCs w:val="10"/>
                <w:color w:val="auto"/>
              </w:rPr>
            </w:pPr>
          </w:p>
        </w:tc>
        <w:tc>
          <w:tcPr>
            <w:tcW w:w="1120" w:type="dxa"/>
            <w:vAlign w:val="bottom"/>
            <w:tcBorders>
              <w:bottom w:val="single" w:sz="8" w:color="9D9D9C"/>
            </w:tcBorders>
            <w:vMerge w:val="continue"/>
          </w:tcPr>
          <w:p>
            <w:pPr>
              <w:spacing w:after="0"/>
              <w:rPr>
                <w:sz w:val="10"/>
                <w:szCs w:val="10"/>
                <w:color w:val="auto"/>
              </w:rPr>
            </w:pPr>
          </w:p>
        </w:tc>
        <w:tc>
          <w:tcPr>
            <w:tcW w:w="4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00" w:type="dxa"/>
            <w:vAlign w:val="bottom"/>
            <w:tcBorders>
              <w:bottom w:val="single" w:sz="8" w:color="9D9D9C"/>
            </w:tcBorders>
          </w:tcPr>
          <w:p>
            <w:pPr>
              <w:spacing w:after="0"/>
              <w:rPr>
                <w:sz w:val="10"/>
                <w:szCs w:val="10"/>
                <w:color w:val="auto"/>
              </w:rPr>
            </w:pPr>
          </w:p>
        </w:tc>
        <w:tc>
          <w:tcPr>
            <w:tcW w:w="1100" w:type="dxa"/>
            <w:vAlign w:val="bottom"/>
            <w:tcBorders>
              <w:bottom w:val="single" w:sz="8" w:color="9D9D9C"/>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4180" w:type="dxa"/>
            <w:vAlign w:val="bottom"/>
            <w:tcBorders>
              <w:bottom w:val="single" w:sz="8" w:color="9D9D9C"/>
            </w:tcBorders>
          </w:tcPr>
          <w:p>
            <w:pPr>
              <w:ind w:left="20"/>
              <w:spacing w:after="0"/>
              <w:rPr>
                <w:sz w:val="20"/>
                <w:szCs w:val="20"/>
                <w:color w:val="auto"/>
              </w:rPr>
            </w:pPr>
            <w:r>
              <w:rPr>
                <w:rFonts w:ascii="Arial" w:cs="Arial" w:eastAsia="Arial" w:hAnsi="Arial"/>
                <w:sz w:val="14"/>
                <w:szCs w:val="14"/>
                <w:b w:val="1"/>
                <w:bCs w:val="1"/>
                <w:color w:val="003478"/>
              </w:rPr>
              <w:t>Mr. Ambrose</w:t>
            </w:r>
          </w:p>
        </w:tc>
        <w:tc>
          <w:tcPr>
            <w:tcW w:w="1220" w:type="dxa"/>
            <w:vAlign w:val="bottom"/>
            <w:tcBorders>
              <w:bottom w:val="single" w:sz="8" w:color="9D9D9C"/>
            </w:tcBorders>
          </w:tcPr>
          <w:p>
            <w:pPr>
              <w:jc w:val="right"/>
              <w:ind w:right="191"/>
              <w:spacing w:after="0"/>
              <w:rPr>
                <w:sz w:val="20"/>
                <w:szCs w:val="20"/>
                <w:color w:val="auto"/>
              </w:rPr>
            </w:pPr>
            <w:r>
              <w:rPr>
                <w:rFonts w:ascii="Arial" w:cs="Arial" w:eastAsia="Arial" w:hAnsi="Arial"/>
                <w:sz w:val="14"/>
                <w:szCs w:val="14"/>
                <w:color w:val="auto"/>
              </w:rPr>
              <w:t>965,000</w:t>
            </w:r>
          </w:p>
        </w:tc>
        <w:tc>
          <w:tcPr>
            <w:tcW w:w="1620" w:type="dxa"/>
            <w:vAlign w:val="bottom"/>
            <w:tcBorders>
              <w:bottom w:val="single" w:sz="8" w:color="9D9D9C"/>
            </w:tcBorders>
            <w:gridSpan w:val="2"/>
          </w:tcPr>
          <w:p>
            <w:pPr>
              <w:jc w:val="right"/>
              <w:ind w:right="320"/>
              <w:spacing w:after="0"/>
              <w:rPr>
                <w:sz w:val="20"/>
                <w:szCs w:val="20"/>
                <w:color w:val="auto"/>
              </w:rPr>
            </w:pPr>
            <w:r>
              <w:rPr>
                <w:rFonts w:ascii="Arial" w:cs="Arial" w:eastAsia="Arial" w:hAnsi="Arial"/>
                <w:sz w:val="14"/>
                <w:szCs w:val="14"/>
                <w:color w:val="auto"/>
              </w:rPr>
              <w:t>110</w:t>
            </w:r>
          </w:p>
        </w:tc>
        <w:tc>
          <w:tcPr>
            <w:tcW w:w="112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1,061,500</w:t>
            </w:r>
          </w:p>
        </w:tc>
        <w:tc>
          <w:tcPr>
            <w:tcW w:w="4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Borders>
              <w:bottom w:val="single" w:sz="8" w:color="9D9D9C"/>
            </w:tcBorders>
          </w:tcPr>
          <w:p>
            <w:pPr>
              <w:spacing w:after="0"/>
              <w:rPr>
                <w:sz w:val="16"/>
                <w:szCs w:val="16"/>
                <w:color w:val="auto"/>
              </w:rPr>
            </w:pPr>
          </w:p>
        </w:tc>
        <w:tc>
          <w:tcPr>
            <w:tcW w:w="110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1,326,900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80" w:type="dxa"/>
            <w:vAlign w:val="bottom"/>
            <w:tcBorders>
              <w:bottom w:val="single" w:sz="8" w:color="9D9D9C"/>
            </w:tcBorders>
          </w:tcPr>
          <w:p>
            <w:pPr>
              <w:ind w:left="20"/>
              <w:spacing w:after="0"/>
              <w:rPr>
                <w:sz w:val="20"/>
                <w:szCs w:val="20"/>
                <w:color w:val="auto"/>
              </w:rPr>
            </w:pPr>
            <w:r>
              <w:rPr>
                <w:rFonts w:ascii="Arial" w:cs="Arial" w:eastAsia="Arial" w:hAnsi="Arial"/>
                <w:sz w:val="14"/>
                <w:szCs w:val="14"/>
                <w:b w:val="1"/>
                <w:bCs w:val="1"/>
                <w:color w:val="003478"/>
              </w:rPr>
              <w:t>Ms. Hill</w:t>
            </w:r>
          </w:p>
        </w:tc>
        <w:tc>
          <w:tcPr>
            <w:tcW w:w="1220" w:type="dxa"/>
            <w:vAlign w:val="bottom"/>
            <w:tcBorders>
              <w:bottom w:val="single" w:sz="8" w:color="9D9D9C"/>
            </w:tcBorders>
          </w:tcPr>
          <w:p>
            <w:pPr>
              <w:jc w:val="right"/>
              <w:ind w:right="191"/>
              <w:spacing w:after="0"/>
              <w:rPr>
                <w:sz w:val="20"/>
                <w:szCs w:val="20"/>
                <w:color w:val="auto"/>
              </w:rPr>
            </w:pPr>
            <w:r>
              <w:rPr>
                <w:rFonts w:ascii="Arial" w:cs="Arial" w:eastAsia="Arial" w:hAnsi="Arial"/>
                <w:sz w:val="14"/>
                <w:szCs w:val="14"/>
                <w:color w:val="auto"/>
              </w:rPr>
              <w:t>965,000</w:t>
            </w:r>
          </w:p>
        </w:tc>
        <w:tc>
          <w:tcPr>
            <w:tcW w:w="1620" w:type="dxa"/>
            <w:vAlign w:val="bottom"/>
            <w:tcBorders>
              <w:bottom w:val="single" w:sz="8" w:color="9D9D9C"/>
            </w:tcBorders>
            <w:gridSpan w:val="2"/>
          </w:tcPr>
          <w:p>
            <w:pPr>
              <w:jc w:val="right"/>
              <w:ind w:right="320"/>
              <w:spacing w:after="0"/>
              <w:rPr>
                <w:sz w:val="20"/>
                <w:szCs w:val="20"/>
                <w:color w:val="auto"/>
              </w:rPr>
            </w:pPr>
            <w:r>
              <w:rPr>
                <w:rFonts w:ascii="Arial" w:cs="Arial" w:eastAsia="Arial" w:hAnsi="Arial"/>
                <w:sz w:val="14"/>
                <w:szCs w:val="14"/>
                <w:color w:val="auto"/>
              </w:rPr>
              <w:t>110</w:t>
            </w:r>
          </w:p>
        </w:tc>
        <w:tc>
          <w:tcPr>
            <w:tcW w:w="112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1,061,500</w:t>
            </w:r>
          </w:p>
        </w:tc>
        <w:tc>
          <w:tcPr>
            <w:tcW w:w="420" w:type="dxa"/>
            <w:vAlign w:val="bottom"/>
            <w:tcBorders>
              <w:bottom w:val="single" w:sz="8" w:color="9D9D9C"/>
            </w:tcBorders>
          </w:tcPr>
          <w:p>
            <w:pPr>
              <w:spacing w:after="0"/>
              <w:rPr>
                <w:sz w:val="16"/>
                <w:szCs w:val="16"/>
                <w:color w:val="auto"/>
              </w:rPr>
            </w:pPr>
          </w:p>
        </w:tc>
        <w:tc>
          <w:tcPr>
            <w:tcW w:w="1160" w:type="dxa"/>
            <w:vAlign w:val="bottom"/>
            <w:tcBorders>
              <w:bottom w:val="single" w:sz="8" w:color="9D9D9C"/>
            </w:tcBorders>
          </w:tcPr>
          <w:p>
            <w:pPr>
              <w:spacing w:after="0"/>
              <w:rPr>
                <w:sz w:val="16"/>
                <w:szCs w:val="16"/>
                <w:color w:val="auto"/>
              </w:rPr>
            </w:pPr>
          </w:p>
        </w:tc>
        <w:tc>
          <w:tcPr>
            <w:tcW w:w="400" w:type="dxa"/>
            <w:vAlign w:val="bottom"/>
            <w:tcBorders>
              <w:bottom w:val="single" w:sz="8" w:color="9D9D9C"/>
            </w:tcBorders>
          </w:tcPr>
          <w:p>
            <w:pPr>
              <w:spacing w:after="0"/>
              <w:rPr>
                <w:sz w:val="16"/>
                <w:szCs w:val="16"/>
                <w:color w:val="auto"/>
              </w:rPr>
            </w:pPr>
          </w:p>
        </w:tc>
        <w:tc>
          <w:tcPr>
            <w:tcW w:w="110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1,326,900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60" w:hanging="253"/>
        <w:spacing w:after="0"/>
        <w:tabs>
          <w:tab w:leader="none" w:pos="260" w:val="left"/>
        </w:tabs>
        <w:numPr>
          <w:ilvl w:val="0"/>
          <w:numId w:val="80"/>
        </w:numPr>
        <w:rPr>
          <w:rFonts w:ascii="Arial" w:cs="Arial" w:eastAsia="Arial" w:hAnsi="Arial"/>
          <w:sz w:val="14"/>
          <w:szCs w:val="14"/>
          <w:color w:val="auto"/>
        </w:rPr>
      </w:pPr>
      <w:r>
        <w:rPr>
          <w:rFonts w:ascii="Arial" w:cs="Arial" w:eastAsia="Arial" w:hAnsi="Arial"/>
          <w:sz w:val="14"/>
          <w:szCs w:val="14"/>
          <w:color w:val="auto"/>
        </w:rPr>
        <w:t>Ms. Hewson did not receive an annual incentive for 2021.</w:t>
      </w:r>
    </w:p>
    <w:p>
      <w:pPr>
        <w:spacing w:after="0" w:line="27" w:lineRule="exact"/>
        <w:rPr>
          <w:sz w:val="20"/>
          <w:szCs w:val="20"/>
          <w:color w:val="auto"/>
        </w:rPr>
      </w:pPr>
    </w:p>
    <w:p>
      <w:pPr>
        <w:ind w:left="240" w:right="700" w:hanging="233"/>
        <w:spacing w:after="0" w:line="238" w:lineRule="auto"/>
        <w:tabs>
          <w:tab w:leader="none" w:pos="308" w:val="left"/>
        </w:tabs>
        <w:numPr>
          <w:ilvl w:val="0"/>
          <w:numId w:val="81"/>
        </w:numPr>
        <w:rPr>
          <w:rFonts w:ascii="Arial" w:cs="Arial" w:eastAsia="Arial" w:hAnsi="Arial"/>
          <w:sz w:val="14"/>
          <w:szCs w:val="14"/>
          <w:color w:val="auto"/>
        </w:rPr>
      </w:pPr>
      <w:r>
        <w:rPr>
          <w:rFonts w:ascii="Arial" w:cs="Arial" w:eastAsia="Arial" w:hAnsi="Arial"/>
          <w:sz w:val="14"/>
          <w:szCs w:val="14"/>
          <w:color w:val="auto"/>
        </w:rPr>
        <w:t>Mr. Mollard’s 2021 compensation aligned with his role as VP and Treasurer. In February 2022, Mr. Mollard was also awarded a special cash bonus of $400,000 to compensate him for his performance and service during 2021 as Acting Chief Financial Officer.</w:t>
      </w:r>
    </w:p>
    <w:p>
      <w:pPr>
        <w:spacing w:after="0" w:line="16" w:lineRule="exact"/>
        <w:rPr>
          <w:rFonts w:ascii="Arial" w:cs="Arial" w:eastAsia="Arial" w:hAnsi="Arial"/>
          <w:sz w:val="14"/>
          <w:szCs w:val="14"/>
          <w:color w:val="auto"/>
        </w:rPr>
      </w:pPr>
    </w:p>
    <w:p>
      <w:pPr>
        <w:ind w:left="220" w:hanging="213"/>
        <w:spacing w:after="0"/>
        <w:tabs>
          <w:tab w:leader="none" w:pos="2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Mr. Possenriede’s target and payout is prorated based on time served during fiscal year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46</w:t>
      </w:r>
    </w:p>
    <w:p>
      <w:pPr>
        <w:sectPr>
          <w:pgSz w:w="11900" w:h="16838" w:orient="portrait"/>
          <w:cols w:equalWidth="0" w:num="1">
            <w:col w:w="11240"/>
          </w:cols>
          <w:pgMar w:left="320" w:top="254" w:right="33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1"/>
          <w:szCs w:val="21"/>
          <w:color w:val="818EB4"/>
        </w:rPr>
        <w:t>2021 Long-Term Incentive Compensation</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summary shows the 2021 LTI compensation mix for the CEO, SVPs and EVPs along with the principal terms of the awards. Mr.</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Mollard’s long-term incentive mix varied from other NEOs based on his role as Vice President and Treasurer at the time of grant in February 2021.</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Ms. Hewson did not receive long-term incentive grants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6492875" cy="33959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492875" cy="3395980"/>
                    </a:xfrm>
                    <a:prstGeom prst="rect">
                      <a:avLst/>
                    </a:prstGeom>
                    <a:noFill/>
                  </pic:spPr>
                </pic:pic>
              </a:graphicData>
            </a:graphic>
          </wp:anchor>
        </w:drawing>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808080"/>
        </w:rPr>
        <w:t>PSUs (distributed in common stock):</w:t>
      </w:r>
    </w:p>
    <w:p>
      <w:pPr>
        <w:spacing w:after="0" w:line="87" w:lineRule="exact"/>
        <w:rPr>
          <w:sz w:val="20"/>
          <w:szCs w:val="20"/>
          <w:color w:val="auto"/>
        </w:rPr>
      </w:pPr>
    </w:p>
    <w:p>
      <w:pPr>
        <w:ind w:left="20" w:right="5680"/>
        <w:spacing w:after="0" w:line="280" w:lineRule="auto"/>
        <w:rPr>
          <w:sz w:val="20"/>
          <w:szCs w:val="20"/>
          <w:color w:val="auto"/>
        </w:rPr>
      </w:pPr>
      <w:r>
        <w:rPr>
          <w:rFonts w:ascii="Arial" w:cs="Arial" w:eastAsia="Arial" w:hAnsi="Arial"/>
          <w:sz w:val="17"/>
          <w:szCs w:val="17"/>
          <w:b w:val="1"/>
          <w:bCs w:val="1"/>
          <w:color w:val="808080"/>
        </w:rPr>
        <w:t xml:space="preserve">Performance Measures: </w:t>
      </w:r>
      <w:r>
        <w:rPr>
          <w:rFonts w:ascii="Arial" w:cs="Arial" w:eastAsia="Arial" w:hAnsi="Arial"/>
          <w:sz w:val="17"/>
          <w:szCs w:val="17"/>
          <w:color w:val="000000"/>
        </w:rPr>
        <w:t>Three-year Relative TSR (50%), ROIC (25%) &amp;</w:t>
      </w:r>
      <w:r>
        <w:rPr>
          <w:rFonts w:ascii="Arial" w:cs="Arial" w:eastAsia="Arial" w:hAnsi="Arial"/>
          <w:sz w:val="17"/>
          <w:szCs w:val="17"/>
          <w:b w:val="1"/>
          <w:bCs w:val="1"/>
          <w:color w:val="808080"/>
        </w:rPr>
        <w:t xml:space="preserve"> </w:t>
      </w:r>
      <w:r>
        <w:rPr>
          <w:rFonts w:ascii="Arial" w:cs="Arial" w:eastAsia="Arial" w:hAnsi="Arial"/>
          <w:sz w:val="17"/>
          <w:szCs w:val="17"/>
          <w:color w:val="000000"/>
        </w:rPr>
        <w:t>Performance Cash (25%)</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808080"/>
        </w:rPr>
        <w:t>Caps:</w:t>
      </w:r>
    </w:p>
    <w:p>
      <w:pPr>
        <w:spacing w:after="0" w:line="26" w:lineRule="exact"/>
        <w:rPr>
          <w:sz w:val="20"/>
          <w:szCs w:val="20"/>
          <w:color w:val="auto"/>
        </w:rPr>
      </w:pPr>
    </w:p>
    <w:p>
      <w:pPr>
        <w:ind w:left="320" w:hanging="214"/>
        <w:spacing w:after="0"/>
        <w:tabs>
          <w:tab w:leader="none" w:pos="320" w:val="left"/>
        </w:tabs>
        <w:numPr>
          <w:ilvl w:val="0"/>
          <w:numId w:val="83"/>
        </w:numPr>
        <w:rPr>
          <w:rFonts w:ascii="Arial" w:cs="Arial" w:eastAsia="Arial" w:hAnsi="Arial"/>
          <w:sz w:val="17"/>
          <w:szCs w:val="17"/>
          <w:color w:val="646363"/>
        </w:rPr>
      </w:pPr>
      <w:r>
        <w:rPr>
          <w:rFonts w:ascii="Arial" w:cs="Arial" w:eastAsia="Arial" w:hAnsi="Arial"/>
          <w:sz w:val="17"/>
          <w:szCs w:val="17"/>
          <w:color w:val="auto"/>
        </w:rPr>
        <w:t>200% of target shares</w:t>
      </w:r>
    </w:p>
    <w:p>
      <w:pPr>
        <w:spacing w:after="0" w:line="6" w:lineRule="exact"/>
        <w:rPr>
          <w:rFonts w:ascii="Arial" w:cs="Arial" w:eastAsia="Arial" w:hAnsi="Arial"/>
          <w:sz w:val="17"/>
          <w:szCs w:val="17"/>
          <w:color w:val="646363"/>
        </w:rPr>
      </w:pPr>
    </w:p>
    <w:p>
      <w:pPr>
        <w:ind w:left="320" w:hanging="214"/>
        <w:spacing w:after="0"/>
        <w:tabs>
          <w:tab w:leader="none" w:pos="320" w:val="left"/>
        </w:tabs>
        <w:numPr>
          <w:ilvl w:val="0"/>
          <w:numId w:val="83"/>
        </w:numPr>
        <w:rPr>
          <w:rFonts w:ascii="Arial" w:cs="Arial" w:eastAsia="Arial" w:hAnsi="Arial"/>
          <w:sz w:val="17"/>
          <w:szCs w:val="17"/>
          <w:color w:val="646363"/>
        </w:rPr>
      </w:pPr>
      <w:r>
        <w:rPr>
          <w:rFonts w:ascii="Arial" w:cs="Arial" w:eastAsia="Arial" w:hAnsi="Arial"/>
          <w:sz w:val="17"/>
          <w:szCs w:val="17"/>
          <w:color w:val="auto"/>
        </w:rPr>
        <w:t>Relative TSR measure capped at 100% if the Company’s TSR is negative</w:t>
      </w:r>
    </w:p>
    <w:p>
      <w:pPr>
        <w:spacing w:after="0" w:line="6" w:lineRule="exact"/>
        <w:rPr>
          <w:rFonts w:ascii="Arial" w:cs="Arial" w:eastAsia="Arial" w:hAnsi="Arial"/>
          <w:sz w:val="17"/>
          <w:szCs w:val="17"/>
          <w:color w:val="646363"/>
        </w:rPr>
      </w:pPr>
    </w:p>
    <w:p>
      <w:pPr>
        <w:ind w:left="320" w:hanging="214"/>
        <w:spacing w:after="0"/>
        <w:tabs>
          <w:tab w:leader="none" w:pos="320" w:val="left"/>
        </w:tabs>
        <w:numPr>
          <w:ilvl w:val="0"/>
          <w:numId w:val="83"/>
        </w:numPr>
        <w:rPr>
          <w:rFonts w:ascii="Arial" w:cs="Arial" w:eastAsia="Arial" w:hAnsi="Arial"/>
          <w:sz w:val="17"/>
          <w:szCs w:val="17"/>
          <w:color w:val="646363"/>
        </w:rPr>
      </w:pPr>
      <w:r>
        <w:rPr>
          <w:rFonts w:ascii="Arial" w:cs="Arial" w:eastAsia="Arial" w:hAnsi="Arial"/>
          <w:sz w:val="17"/>
          <w:szCs w:val="17"/>
          <w:color w:val="auto"/>
        </w:rPr>
        <w:t>Value capped at 400% of stock price on date of grant times shares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349250</wp:posOffset>
            </wp:positionV>
            <wp:extent cx="3796665" cy="679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796665" cy="6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7"/>
          <w:szCs w:val="17"/>
          <w:color w:val="838DB4"/>
        </w:rPr>
        <w:t>RSUs (distributed in common stock):</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838DB4"/>
        </w:rPr>
        <w:t xml:space="preserve">Vesting Schedule: </w:t>
      </w:r>
      <w:r>
        <w:rPr>
          <w:rFonts w:ascii="Arial" w:cs="Arial" w:eastAsia="Arial" w:hAnsi="Arial"/>
          <w:sz w:val="17"/>
          <w:szCs w:val="17"/>
          <w:color w:val="000000"/>
        </w:rPr>
        <w:t>RSUs cliff vest 100% three years after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182880</wp:posOffset>
            </wp:positionV>
            <wp:extent cx="3796665" cy="679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796665" cy="6794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7"/>
          <w:szCs w:val="17"/>
          <w:color w:val="002F6C"/>
        </w:rPr>
        <w:t>3-Year LTIP (paid in cash):</w:t>
      </w:r>
    </w:p>
    <w:p>
      <w:pPr>
        <w:spacing w:after="0" w:line="67" w:lineRule="exact"/>
        <w:rPr>
          <w:sz w:val="20"/>
          <w:szCs w:val="20"/>
          <w:color w:val="auto"/>
        </w:rPr>
      </w:pPr>
    </w:p>
    <w:p>
      <w:pPr>
        <w:ind w:left="20" w:right="5680"/>
        <w:spacing w:after="0" w:line="280" w:lineRule="auto"/>
        <w:rPr>
          <w:sz w:val="20"/>
          <w:szCs w:val="20"/>
          <w:color w:val="auto"/>
        </w:rPr>
      </w:pPr>
      <w:r>
        <w:rPr>
          <w:rFonts w:ascii="Arial" w:cs="Arial" w:eastAsia="Arial" w:hAnsi="Arial"/>
          <w:sz w:val="17"/>
          <w:szCs w:val="17"/>
          <w:b w:val="1"/>
          <w:bCs w:val="1"/>
          <w:color w:val="002F6C"/>
        </w:rPr>
        <w:t xml:space="preserve">Performance Measures: </w:t>
      </w:r>
      <w:r>
        <w:rPr>
          <w:rFonts w:ascii="Arial" w:cs="Arial" w:eastAsia="Arial" w:hAnsi="Arial"/>
          <w:sz w:val="17"/>
          <w:szCs w:val="17"/>
          <w:color w:val="000000"/>
        </w:rPr>
        <w:t>Three-year Relative TSR (50%), ROIC (25%) &amp;</w:t>
      </w:r>
      <w:r>
        <w:rPr>
          <w:rFonts w:ascii="Arial" w:cs="Arial" w:eastAsia="Arial" w:hAnsi="Arial"/>
          <w:sz w:val="17"/>
          <w:szCs w:val="17"/>
          <w:b w:val="1"/>
          <w:bCs w:val="1"/>
          <w:color w:val="002F6C"/>
        </w:rPr>
        <w:t xml:space="preserve"> </w:t>
      </w:r>
      <w:r>
        <w:rPr>
          <w:rFonts w:ascii="Arial" w:cs="Arial" w:eastAsia="Arial" w:hAnsi="Arial"/>
          <w:sz w:val="17"/>
          <w:szCs w:val="17"/>
          <w:color w:val="000000"/>
        </w:rPr>
        <w:t>Performance Cash (25%)</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002F6C"/>
        </w:rPr>
        <w:t>Caps:</w:t>
      </w:r>
    </w:p>
    <w:p>
      <w:pPr>
        <w:spacing w:after="0" w:line="26" w:lineRule="exact"/>
        <w:rPr>
          <w:sz w:val="20"/>
          <w:szCs w:val="20"/>
          <w:color w:val="auto"/>
        </w:rPr>
      </w:pPr>
    </w:p>
    <w:p>
      <w:pPr>
        <w:ind w:left="320" w:hanging="214"/>
        <w:spacing w:after="0"/>
        <w:tabs>
          <w:tab w:leader="none" w:pos="320" w:val="left"/>
        </w:tabs>
        <w:numPr>
          <w:ilvl w:val="0"/>
          <w:numId w:val="84"/>
        </w:numPr>
        <w:rPr>
          <w:rFonts w:ascii="Arial" w:cs="Arial" w:eastAsia="Arial" w:hAnsi="Arial"/>
          <w:sz w:val="17"/>
          <w:szCs w:val="17"/>
          <w:color w:val="002E6D"/>
        </w:rPr>
      </w:pPr>
      <w:r>
        <w:rPr>
          <w:rFonts w:ascii="Arial" w:cs="Arial" w:eastAsia="Arial" w:hAnsi="Arial"/>
          <w:sz w:val="17"/>
          <w:szCs w:val="17"/>
          <w:color w:val="auto"/>
        </w:rPr>
        <w:t>200% of target amount</w:t>
      </w:r>
    </w:p>
    <w:p>
      <w:pPr>
        <w:spacing w:after="0" w:line="6" w:lineRule="exact"/>
        <w:rPr>
          <w:rFonts w:ascii="Arial" w:cs="Arial" w:eastAsia="Arial" w:hAnsi="Arial"/>
          <w:sz w:val="17"/>
          <w:szCs w:val="17"/>
          <w:color w:val="002E6D"/>
        </w:rPr>
      </w:pPr>
    </w:p>
    <w:p>
      <w:pPr>
        <w:ind w:left="320" w:hanging="214"/>
        <w:spacing w:after="0"/>
        <w:tabs>
          <w:tab w:leader="none" w:pos="320" w:val="left"/>
        </w:tabs>
        <w:numPr>
          <w:ilvl w:val="0"/>
          <w:numId w:val="84"/>
        </w:numPr>
        <w:rPr>
          <w:rFonts w:ascii="Arial" w:cs="Arial" w:eastAsia="Arial" w:hAnsi="Arial"/>
          <w:sz w:val="17"/>
          <w:szCs w:val="17"/>
          <w:color w:val="002E6D"/>
        </w:rPr>
      </w:pPr>
      <w:r>
        <w:rPr>
          <w:rFonts w:ascii="Arial" w:cs="Arial" w:eastAsia="Arial" w:hAnsi="Arial"/>
          <w:sz w:val="17"/>
          <w:szCs w:val="17"/>
          <w:color w:val="auto"/>
        </w:rPr>
        <w:t>Relative TSR measure capped at 100% if the Company’s TSR is negative</w:t>
      </w:r>
    </w:p>
    <w:p>
      <w:pPr>
        <w:spacing w:after="0" w:line="6" w:lineRule="exact"/>
        <w:rPr>
          <w:rFonts w:ascii="Arial" w:cs="Arial" w:eastAsia="Arial" w:hAnsi="Arial"/>
          <w:sz w:val="17"/>
          <w:szCs w:val="17"/>
          <w:color w:val="002E6D"/>
        </w:rPr>
      </w:pPr>
    </w:p>
    <w:p>
      <w:pPr>
        <w:ind w:left="320" w:hanging="214"/>
        <w:spacing w:after="0"/>
        <w:tabs>
          <w:tab w:leader="none" w:pos="320" w:val="left"/>
        </w:tabs>
        <w:numPr>
          <w:ilvl w:val="0"/>
          <w:numId w:val="84"/>
        </w:numPr>
        <w:rPr>
          <w:rFonts w:ascii="Arial" w:cs="Arial" w:eastAsia="Arial" w:hAnsi="Arial"/>
          <w:sz w:val="17"/>
          <w:szCs w:val="17"/>
          <w:color w:val="002E6D"/>
        </w:rPr>
      </w:pPr>
      <w:r>
        <w:rPr>
          <w:rFonts w:ascii="Arial" w:cs="Arial" w:eastAsia="Arial" w:hAnsi="Arial"/>
          <w:sz w:val="17"/>
          <w:szCs w:val="17"/>
          <w:color w:val="auto"/>
        </w:rPr>
        <w:t>Individual payout capped at $10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178435</wp:posOffset>
            </wp:positionV>
            <wp:extent cx="379666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796665" cy="8255"/>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right="140"/>
        <w:spacing w:after="0" w:line="248" w:lineRule="auto"/>
        <w:rPr>
          <w:sz w:val="20"/>
          <w:szCs w:val="20"/>
          <w:color w:val="auto"/>
        </w:rPr>
      </w:pPr>
      <w:r>
        <w:rPr>
          <w:rFonts w:ascii="Arial" w:cs="Arial" w:eastAsia="Arial" w:hAnsi="Arial"/>
          <w:sz w:val="17"/>
          <w:szCs w:val="17"/>
          <w:color w:val="auto"/>
        </w:rPr>
        <w:t>In determining the appropriate level of equity grants for 2021, the Compensation Committee took into consideration the long-term incentive market rate (50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percentile) along with a variety of other factors, including the number of awards outstanding and shares remaining available for issuance under the Company’s equity incentive plans, the number of shares that would be issued under contemplated awards over the range of potential performance achievement, the total number of the Company’s outstanding shares, the resulting implications for stockholder dilution and the number of shares granted to our executives year-over-year.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2955" cy="679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955" cy="67945"/>
                    </a:xfrm>
                    <a:prstGeom prst="rect">
                      <a:avLst/>
                    </a:prstGeom>
                    <a:noFill/>
                  </pic:spPr>
                </pic:pic>
              </a:graphicData>
            </a:graphic>
          </wp:anchor>
        </w:drawing>
        <w:drawing>
          <wp:anchor simplePos="0" relativeHeight="251657728" behindDoc="1" locked="0" layoutInCell="0" allowOverlap="1">
            <wp:simplePos x="0" y="0"/>
            <wp:positionH relativeFrom="column">
              <wp:posOffset>149860</wp:posOffset>
            </wp:positionH>
            <wp:positionV relativeFrom="paragraph">
              <wp:posOffset>254635</wp:posOffset>
            </wp:positionV>
            <wp:extent cx="486410" cy="48641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86410" cy="486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1240"/>
        <w:spacing w:after="0"/>
        <w:rPr>
          <w:sz w:val="20"/>
          <w:szCs w:val="20"/>
          <w:color w:val="auto"/>
        </w:rPr>
      </w:pPr>
      <w:r>
        <w:rPr>
          <w:rFonts w:ascii="Arial" w:cs="Arial" w:eastAsia="Arial" w:hAnsi="Arial"/>
          <w:sz w:val="17"/>
          <w:szCs w:val="17"/>
          <w:color w:val="9D9D9C"/>
        </w:rPr>
        <w:t>PSU Awards (50% of the LTI award)</w:t>
      </w:r>
    </w:p>
    <w:p>
      <w:pPr>
        <w:spacing w:after="0" w:line="200" w:lineRule="exact"/>
        <w:rPr>
          <w:sz w:val="20"/>
          <w:szCs w:val="20"/>
          <w:color w:val="auto"/>
        </w:rPr>
      </w:pPr>
    </w:p>
    <w:p>
      <w:pPr>
        <w:spacing w:after="0" w:line="344"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PSU awards are calculated by multiplying the overall target LTI award value (as shown in the table on page 42) by the 50% weighting assigned to the PSU portion (10% in the case of Mr. Mollard). The number of PSUs granted is determined based on the closing stock price of the Company’s common stock on the NYSE on the date of grant. Each NEO’s PSU target number of shares is determined as of the grant date of the award, and the actual number of shares earned at the end of the period is calculated based on our performance measured against the three financial metrics as follows: 50% Relative TSR, 25% ROIC and 25% Performance Cash.</w:t>
      </w:r>
    </w:p>
    <w:p>
      <w:pPr>
        <w:spacing w:after="0" w:line="99"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number of shares granted at the end of the cycle can range from 0% to 200% of the applicable target number of shares. If average TSR is negative at the end of the performance cycle, the payout factor for the Relative TSR measure is capped at 100%. In addition, the maximum value that can be earned under a PSU award is 400% of the stock price on the date of grant times the shares earned. The award calculation is formulaic pursuant to the provisions defined in the award agreement, and no adjustment can be made to the final number of shares granted, which is determined based on the performance outcomes relative to our pre-set goals. Participants also accrue deferred dividend equivalents on the shares earned, which are paid in cash following vesting of the underlying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270510</wp:posOffset>
            </wp:positionV>
            <wp:extent cx="963930" cy="2216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47</w:t>
      </w:r>
    </w:p>
    <w:p>
      <w:pPr>
        <w:sectPr>
          <w:pgSz w:w="11900" w:h="16838" w:orient="portrait"/>
          <w:cols w:equalWidth="0" w:num="1">
            <w:col w:w="11240"/>
          </w:cols>
          <w:pgMar w:left="320" w:top="254" w:right="33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379095</wp:posOffset>
            </wp:positionV>
            <wp:extent cx="7132955" cy="679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955" cy="67945"/>
                    </a:xfrm>
                    <a:prstGeom prst="rect">
                      <a:avLst/>
                    </a:prstGeom>
                    <a:noFill/>
                  </pic:spPr>
                </pic:pic>
              </a:graphicData>
            </a:graphic>
          </wp:anchor>
        </w:drawing>
        <w:drawing>
          <wp:anchor simplePos="0" relativeHeight="251657728" behindDoc="1" locked="0" layoutInCell="0" allowOverlap="1">
            <wp:simplePos x="0" y="0"/>
            <wp:positionH relativeFrom="column">
              <wp:posOffset>149860</wp:posOffset>
            </wp:positionH>
            <wp:positionV relativeFrom="paragraph">
              <wp:posOffset>549910</wp:posOffset>
            </wp:positionV>
            <wp:extent cx="486410" cy="4521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86410" cy="45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40"/>
        <w:spacing w:after="0"/>
        <w:rPr>
          <w:sz w:val="20"/>
          <w:szCs w:val="20"/>
          <w:color w:val="auto"/>
        </w:rPr>
      </w:pPr>
      <w:r>
        <w:rPr>
          <w:rFonts w:ascii="Arial" w:cs="Arial" w:eastAsia="Arial" w:hAnsi="Arial"/>
          <w:sz w:val="17"/>
          <w:szCs w:val="17"/>
          <w:color w:val="818EB4"/>
        </w:rPr>
        <w:t>RSU Awards (30% of the LTI award)</w:t>
      </w:r>
    </w:p>
    <w:p>
      <w:pPr>
        <w:spacing w:after="0" w:line="200" w:lineRule="exact"/>
        <w:rPr>
          <w:sz w:val="20"/>
          <w:szCs w:val="20"/>
          <w:color w:val="auto"/>
        </w:rPr>
      </w:pPr>
    </w:p>
    <w:p>
      <w:pPr>
        <w:spacing w:after="0" w:line="344"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RSU awards are calculated by multiplying the overall target LTI award value (as shown in the table on page 42) by the 30% weighting assigned to the RSU portion (50% in the case of Mr. Mollard).</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The number of RSUs granted is determined based on the closing stock price of the Company’s common stock on the NYSE on the date of grant.</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Deferred dividend equivalents are accrued during the vesting period and paid in cash following the vesting of the underlying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7132955" cy="679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955" cy="67945"/>
                    </a:xfrm>
                    <a:prstGeom prst="rect">
                      <a:avLst/>
                    </a:prstGeom>
                    <a:noFill/>
                  </pic:spPr>
                </pic:pic>
              </a:graphicData>
            </a:graphic>
          </wp:anchor>
        </w:drawing>
        <w:drawing>
          <wp:anchor simplePos="0" relativeHeight="251657728" behindDoc="1" locked="0" layoutInCell="0" allowOverlap="1">
            <wp:simplePos x="0" y="0"/>
            <wp:positionH relativeFrom="column">
              <wp:posOffset>149860</wp:posOffset>
            </wp:positionH>
            <wp:positionV relativeFrom="paragraph">
              <wp:posOffset>263525</wp:posOffset>
            </wp:positionV>
            <wp:extent cx="486410" cy="4946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86410" cy="49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40"/>
        <w:spacing w:after="0"/>
        <w:rPr>
          <w:sz w:val="20"/>
          <w:szCs w:val="20"/>
          <w:color w:val="auto"/>
        </w:rPr>
      </w:pPr>
      <w:r>
        <w:rPr>
          <w:rFonts w:ascii="Arial" w:cs="Arial" w:eastAsia="Arial" w:hAnsi="Arial"/>
          <w:sz w:val="17"/>
          <w:szCs w:val="17"/>
          <w:color w:val="003478"/>
        </w:rPr>
        <w:t>LTIP Awards (20% of the LTI award)</w:t>
      </w:r>
    </w:p>
    <w:p>
      <w:pPr>
        <w:spacing w:after="0" w:line="200" w:lineRule="exact"/>
        <w:rPr>
          <w:sz w:val="20"/>
          <w:szCs w:val="20"/>
          <w:color w:val="auto"/>
        </w:rPr>
      </w:pPr>
    </w:p>
    <w:p>
      <w:pPr>
        <w:spacing w:after="0" w:line="344" w:lineRule="exact"/>
        <w:rPr>
          <w:sz w:val="20"/>
          <w:szCs w:val="20"/>
          <w:color w:val="auto"/>
        </w:rPr>
      </w:pPr>
    </w:p>
    <w:p>
      <w:pPr>
        <w:ind w:right="180"/>
        <w:spacing w:after="0" w:line="267" w:lineRule="auto"/>
        <w:rPr>
          <w:sz w:val="20"/>
          <w:szCs w:val="20"/>
          <w:color w:val="auto"/>
        </w:rPr>
      </w:pPr>
      <w:r>
        <w:rPr>
          <w:rFonts w:ascii="Arial" w:cs="Arial" w:eastAsia="Arial" w:hAnsi="Arial"/>
          <w:sz w:val="17"/>
          <w:szCs w:val="17"/>
          <w:color w:val="auto"/>
        </w:rPr>
        <w:t>LTIP awards are cash-based and are calculated by multiplying the overall target LTI award value (as shown in the table on page 42) by the 20% weighting assigned to the LTIP portion (40% in the case of Mr. Mollard). Each NEO’s LTIP target is determined at the time of grant, and the actual award earned at the end of the three-year performance period is calculated based on the same performance measures as those used for the PSUs (50% Relative TSR, 25% ROIC and 25% Performance Cash).</w:t>
      </w:r>
    </w:p>
    <w:p>
      <w:pPr>
        <w:spacing w:after="0" w:line="98"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Payouts can range from 0% to 200% of the applicable target. If average TSR is negative at the end of the performance cycle, the payout factor for the Relative TSR measure is capped at 100%. The award calculation is formulaic pursuant to the provisions defined in the award agreement, and no adjustment can be made to the final payout factor, which is determined based on the performance outcomes relative to our pre-set goals. For the 2021-2023 LTIP grants, any amount payable to a single participant in excess of $10 million will be forfeited.</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003478"/>
        </w:rPr>
        <w:t>Selection of LTI Performance Measures</w:t>
      </w:r>
    </w:p>
    <w:p>
      <w:pPr>
        <w:spacing w:after="0" w:line="117" w:lineRule="exact"/>
        <w:rPr>
          <w:sz w:val="20"/>
          <w:szCs w:val="20"/>
          <w:color w:val="auto"/>
        </w:rPr>
      </w:pPr>
    </w:p>
    <w:p>
      <w:pPr>
        <w:ind w:right="320"/>
        <w:spacing w:after="0" w:line="274" w:lineRule="auto"/>
        <w:rPr>
          <w:sz w:val="20"/>
          <w:szCs w:val="20"/>
          <w:color w:val="auto"/>
        </w:rPr>
      </w:pPr>
      <w:r>
        <w:rPr>
          <w:rFonts w:ascii="Arial" w:cs="Arial" w:eastAsia="Arial" w:hAnsi="Arial"/>
          <w:sz w:val="17"/>
          <w:szCs w:val="17"/>
          <w:color w:val="auto"/>
        </w:rPr>
        <w:t>The LTI performance metrics approved by the Compensation Committee are measures that we believe effectively support our long-term business and strategic goals and directly tie the long-term goals of our executive leadership team to the interests of our stockholders.</w:t>
      </w:r>
    </w:p>
    <w:p>
      <w:pPr>
        <w:spacing w:after="0" w:line="91"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measurements used for the financial component of our 2021 annual incentive plan (Sales, Segment Operating Profit and Cash from Operations) also serve as the foundation for achieving our long-term goals such that we must consistently achieve or exceed the Company’s annual goals in order to achieve our LTI goals. The selected LTI performance metrics consist of Relative TSR (50% weight), ROIC (25% weight) and Performance Cash (25% weight). We chose these three metrics because we believe they represented good measures of value creation for the Company over a long-term period. We also applied equal weighting to the market-based measure of value creation, TSR, to the internal measures of value creation, Performance Cash and ROIC.</w:t>
      </w:r>
    </w:p>
    <w:p>
      <w:pPr>
        <w:spacing w:after="0" w:line="98"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In February 2021, the Compensation Committee approved a new Relative TSR Comparators peer group beginning with the 2021-2023 performance cycle. While the group of S&amp;P Aerospace &amp; Defense peers and other large government contractors has been, in our judgment, the preferred peer group against which to compare our Relative TSR, it has been impacted by multiple business transactions and exhibited significant volatility in the number of its constituents over the past several years. To moderate the potential effect of corporate transactions on the peer group, the Compensation Committee approved an expanded peer group of 27 companies that generally met the following parameters as of January 1, 2021:</w:t>
      </w:r>
    </w:p>
    <w:p>
      <w:pPr>
        <w:spacing w:after="0" w:line="99" w:lineRule="exact"/>
        <w:rPr>
          <w:sz w:val="20"/>
          <w:szCs w:val="20"/>
          <w:color w:val="auto"/>
        </w:rPr>
      </w:pPr>
    </w:p>
    <w:p>
      <w:pPr>
        <w:ind w:left="220" w:hanging="132"/>
        <w:spacing w:after="0"/>
        <w:tabs>
          <w:tab w:leader="none" w:pos="220" w:val="left"/>
        </w:tabs>
        <w:numPr>
          <w:ilvl w:val="0"/>
          <w:numId w:val="85"/>
        </w:numPr>
        <w:rPr>
          <w:rFonts w:ascii="Arial" w:cs="Arial" w:eastAsia="Arial" w:hAnsi="Arial"/>
          <w:sz w:val="17"/>
          <w:szCs w:val="17"/>
          <w:color w:val="002E6D"/>
        </w:rPr>
      </w:pPr>
      <w:r>
        <w:rPr>
          <w:rFonts w:ascii="Arial" w:cs="Arial" w:eastAsia="Arial" w:hAnsi="Arial"/>
          <w:sz w:val="17"/>
          <w:szCs w:val="17"/>
          <w:color w:val="auto"/>
        </w:rPr>
        <w:t>Global Industry Classification Standard - GICS 2010 - Capital Goods</w:t>
      </w:r>
    </w:p>
    <w:p>
      <w:pPr>
        <w:spacing w:after="0" w:line="19" w:lineRule="exact"/>
        <w:rPr>
          <w:rFonts w:ascii="Arial" w:cs="Arial" w:eastAsia="Arial" w:hAnsi="Arial"/>
          <w:sz w:val="17"/>
          <w:szCs w:val="17"/>
          <w:color w:val="002E6D"/>
        </w:rPr>
      </w:pPr>
    </w:p>
    <w:p>
      <w:pPr>
        <w:ind w:left="220" w:hanging="132"/>
        <w:spacing w:after="0"/>
        <w:tabs>
          <w:tab w:leader="none" w:pos="220" w:val="left"/>
        </w:tabs>
        <w:numPr>
          <w:ilvl w:val="0"/>
          <w:numId w:val="85"/>
        </w:numPr>
        <w:rPr>
          <w:rFonts w:ascii="Arial" w:cs="Arial" w:eastAsia="Arial" w:hAnsi="Arial"/>
          <w:sz w:val="17"/>
          <w:szCs w:val="17"/>
          <w:color w:val="002E6D"/>
        </w:rPr>
      </w:pPr>
      <w:r>
        <w:rPr>
          <w:rFonts w:ascii="Arial" w:cs="Arial" w:eastAsia="Arial" w:hAnsi="Arial"/>
          <w:sz w:val="17"/>
          <w:szCs w:val="17"/>
          <w:color w:val="auto"/>
        </w:rPr>
        <w:t>Listed on a major U.S. index</w:t>
      </w:r>
    </w:p>
    <w:p>
      <w:pPr>
        <w:spacing w:after="0" w:line="19" w:lineRule="exact"/>
        <w:rPr>
          <w:rFonts w:ascii="Arial" w:cs="Arial" w:eastAsia="Arial" w:hAnsi="Arial"/>
          <w:sz w:val="17"/>
          <w:szCs w:val="17"/>
          <w:color w:val="002E6D"/>
        </w:rPr>
      </w:pPr>
    </w:p>
    <w:p>
      <w:pPr>
        <w:ind w:left="220" w:hanging="132"/>
        <w:spacing w:after="0"/>
        <w:tabs>
          <w:tab w:leader="none" w:pos="220" w:val="left"/>
        </w:tabs>
        <w:numPr>
          <w:ilvl w:val="0"/>
          <w:numId w:val="85"/>
        </w:numPr>
        <w:rPr>
          <w:rFonts w:ascii="Arial" w:cs="Arial" w:eastAsia="Arial" w:hAnsi="Arial"/>
          <w:sz w:val="17"/>
          <w:szCs w:val="17"/>
          <w:color w:val="002E6D"/>
        </w:rPr>
      </w:pPr>
      <w:r>
        <w:rPr>
          <w:rFonts w:ascii="Arial" w:cs="Arial" w:eastAsia="Arial" w:hAnsi="Arial"/>
          <w:sz w:val="17"/>
          <w:szCs w:val="17"/>
          <w:color w:val="auto"/>
        </w:rPr>
        <w:t>Revenue &gt;$10B and Market cap &gt;$5B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48</w:t>
      </w:r>
    </w:p>
    <w:p>
      <w:pPr>
        <w:sectPr>
          <w:pgSz w:w="11900" w:h="16838" w:orient="portrait"/>
          <w:cols w:equalWidth="0" w:num="1">
            <w:col w:w="11240"/>
          </w:cols>
          <w:pgMar w:left="320" w:top="254" w:right="339" w:bottom="1440" w:gutter="0" w:footer="0" w:header="0"/>
        </w:sectPr>
      </w:pPr>
    </w:p>
    <w:bookmarkStart w:id="54" w:name="page55"/>
    <w:bookmarkEnd w:id="54"/>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color w:val="auto"/>
        </w:rPr>
        <w:t>Accordingly, the Relative TSR Comparators for the 2021-2023 performance cycle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7132955" cy="2901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955" cy="290195"/>
                    </a:xfrm>
                    <a:prstGeom prst="rect">
                      <a:avLst/>
                    </a:prstGeom>
                    <a:noFill/>
                  </pic:spPr>
                </pic:pic>
              </a:graphicData>
            </a:graphic>
          </wp:anchor>
        </w:drawing>
      </w:r>
    </w:p>
    <w:p>
      <w:pPr>
        <w:spacing w:after="0" w:line="317" w:lineRule="exact"/>
        <w:rPr>
          <w:sz w:val="20"/>
          <w:szCs w:val="20"/>
          <w:color w:val="auto"/>
        </w:rPr>
      </w:pPr>
    </w:p>
    <w:p>
      <w:pPr>
        <w:ind w:left="20"/>
        <w:spacing w:after="0"/>
        <w:rPr>
          <w:sz w:val="20"/>
          <w:szCs w:val="20"/>
          <w:color w:val="auto"/>
        </w:rPr>
      </w:pPr>
      <w:r>
        <w:rPr>
          <w:rFonts w:ascii="Arial" w:cs="Arial" w:eastAsia="Arial" w:hAnsi="Arial"/>
          <w:sz w:val="16"/>
          <w:szCs w:val="16"/>
          <w:color w:val="475C90"/>
        </w:rPr>
        <w:t>2021-2023 Relative TSR Comparators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080" w:type="dxa"/>
            <w:vAlign w:val="bottom"/>
          </w:tcPr>
          <w:p>
            <w:pPr>
              <w:ind w:left="100"/>
              <w:spacing w:after="0"/>
              <w:rPr>
                <w:sz w:val="20"/>
                <w:szCs w:val="20"/>
                <w:color w:val="auto"/>
              </w:rPr>
            </w:pPr>
            <w:r>
              <w:rPr>
                <w:rFonts w:ascii="Arial" w:cs="Arial" w:eastAsia="Arial" w:hAnsi="Arial"/>
                <w:sz w:val="16"/>
                <w:szCs w:val="16"/>
                <w:color w:val="auto"/>
              </w:rPr>
              <w:t>3M Company</w:t>
            </w:r>
          </w:p>
        </w:tc>
        <w:tc>
          <w:tcPr>
            <w:tcW w:w="3860" w:type="dxa"/>
            <w:vAlign w:val="bottom"/>
          </w:tcPr>
          <w:p>
            <w:pPr>
              <w:ind w:left="760"/>
              <w:spacing w:after="0"/>
              <w:rPr>
                <w:sz w:val="20"/>
                <w:szCs w:val="20"/>
                <w:color w:val="auto"/>
              </w:rPr>
            </w:pPr>
            <w:r>
              <w:rPr>
                <w:rFonts w:ascii="Arial" w:cs="Arial" w:eastAsia="Arial" w:hAnsi="Arial"/>
                <w:sz w:val="16"/>
                <w:szCs w:val="16"/>
                <w:color w:val="auto"/>
              </w:rPr>
              <w:t>General Electric Company</w:t>
            </w:r>
          </w:p>
        </w:tc>
        <w:tc>
          <w:tcPr>
            <w:tcW w:w="4300" w:type="dxa"/>
            <w:vAlign w:val="bottom"/>
          </w:tcPr>
          <w:p>
            <w:pPr>
              <w:ind w:left="660"/>
              <w:spacing w:after="0"/>
              <w:rPr>
                <w:sz w:val="20"/>
                <w:szCs w:val="20"/>
                <w:color w:val="auto"/>
              </w:rPr>
            </w:pPr>
            <w:r>
              <w:rPr>
                <w:rFonts w:ascii="Arial" w:cs="Arial" w:eastAsia="Arial" w:hAnsi="Arial"/>
                <w:sz w:val="16"/>
                <w:szCs w:val="16"/>
                <w:color w:val="auto"/>
              </w:rPr>
              <w:t>PACCAR Inc</w:t>
            </w:r>
          </w:p>
        </w:tc>
      </w:tr>
      <w:tr>
        <w:trPr>
          <w:trHeight w:val="215"/>
        </w:trPr>
        <w:tc>
          <w:tcPr>
            <w:tcW w:w="3080" w:type="dxa"/>
            <w:vAlign w:val="bottom"/>
          </w:tcPr>
          <w:p>
            <w:pPr>
              <w:ind w:left="100"/>
              <w:spacing w:after="0"/>
              <w:rPr>
                <w:sz w:val="20"/>
                <w:szCs w:val="20"/>
                <w:color w:val="auto"/>
              </w:rPr>
            </w:pPr>
            <w:r>
              <w:rPr>
                <w:rFonts w:ascii="Arial" w:cs="Arial" w:eastAsia="Arial" w:hAnsi="Arial"/>
                <w:sz w:val="16"/>
                <w:szCs w:val="16"/>
                <w:color w:val="auto"/>
              </w:rPr>
              <w:t>AECOM</w:t>
            </w:r>
          </w:p>
        </w:tc>
        <w:tc>
          <w:tcPr>
            <w:tcW w:w="3860" w:type="dxa"/>
            <w:vAlign w:val="bottom"/>
          </w:tcPr>
          <w:p>
            <w:pPr>
              <w:ind w:left="760"/>
              <w:spacing w:after="0"/>
              <w:rPr>
                <w:sz w:val="20"/>
                <w:szCs w:val="20"/>
                <w:color w:val="auto"/>
              </w:rPr>
            </w:pPr>
            <w:r>
              <w:rPr>
                <w:rFonts w:ascii="Arial" w:cs="Arial" w:eastAsia="Arial" w:hAnsi="Arial"/>
                <w:sz w:val="16"/>
                <w:szCs w:val="16"/>
                <w:color w:val="auto"/>
              </w:rPr>
              <w:t>Honeywell International Inc.</w:t>
            </w:r>
          </w:p>
        </w:tc>
        <w:tc>
          <w:tcPr>
            <w:tcW w:w="4300" w:type="dxa"/>
            <w:vAlign w:val="bottom"/>
          </w:tcPr>
          <w:p>
            <w:pPr>
              <w:ind w:left="660"/>
              <w:spacing w:after="0"/>
              <w:rPr>
                <w:sz w:val="20"/>
                <w:szCs w:val="20"/>
                <w:color w:val="auto"/>
              </w:rPr>
            </w:pPr>
            <w:r>
              <w:rPr>
                <w:rFonts w:ascii="Arial" w:cs="Arial" w:eastAsia="Arial" w:hAnsi="Arial"/>
                <w:sz w:val="16"/>
                <w:szCs w:val="16"/>
                <w:color w:val="auto"/>
              </w:rPr>
              <w:t>Parker-Hannifin Corporation</w:t>
            </w:r>
          </w:p>
        </w:tc>
      </w:tr>
      <w:tr>
        <w:trPr>
          <w:trHeight w:val="215"/>
        </w:trPr>
        <w:tc>
          <w:tcPr>
            <w:tcW w:w="3080" w:type="dxa"/>
            <w:vAlign w:val="bottom"/>
          </w:tcPr>
          <w:p>
            <w:pPr>
              <w:ind w:left="100"/>
              <w:spacing w:after="0"/>
              <w:rPr>
                <w:sz w:val="20"/>
                <w:szCs w:val="20"/>
                <w:color w:val="auto"/>
              </w:rPr>
            </w:pPr>
            <w:r>
              <w:rPr>
                <w:rFonts w:ascii="Arial" w:cs="Arial" w:eastAsia="Arial" w:hAnsi="Arial"/>
                <w:sz w:val="16"/>
                <w:szCs w:val="16"/>
                <w:color w:val="auto"/>
              </w:rPr>
              <w:t>Carrier Global Corporation</w:t>
            </w:r>
          </w:p>
        </w:tc>
        <w:tc>
          <w:tcPr>
            <w:tcW w:w="3860" w:type="dxa"/>
            <w:vAlign w:val="bottom"/>
          </w:tcPr>
          <w:p>
            <w:pPr>
              <w:ind w:left="760"/>
              <w:spacing w:after="0"/>
              <w:rPr>
                <w:sz w:val="20"/>
                <w:szCs w:val="20"/>
                <w:color w:val="auto"/>
              </w:rPr>
            </w:pPr>
            <w:r>
              <w:rPr>
                <w:rFonts w:ascii="Arial" w:cs="Arial" w:eastAsia="Arial" w:hAnsi="Arial"/>
                <w:sz w:val="16"/>
                <w:szCs w:val="16"/>
                <w:color w:val="auto"/>
              </w:rPr>
              <w:t>Howmet Aerospace Inc.</w:t>
            </w:r>
          </w:p>
        </w:tc>
        <w:tc>
          <w:tcPr>
            <w:tcW w:w="4300" w:type="dxa"/>
            <w:vAlign w:val="bottom"/>
          </w:tcPr>
          <w:p>
            <w:pPr>
              <w:ind w:left="660"/>
              <w:spacing w:after="0"/>
              <w:rPr>
                <w:sz w:val="20"/>
                <w:szCs w:val="20"/>
                <w:color w:val="auto"/>
              </w:rPr>
            </w:pPr>
            <w:r>
              <w:rPr>
                <w:rFonts w:ascii="Arial" w:cs="Arial" w:eastAsia="Arial" w:hAnsi="Arial"/>
                <w:sz w:val="16"/>
                <w:szCs w:val="16"/>
                <w:color w:val="auto"/>
              </w:rPr>
              <w:t>Quanta Services, Inc.</w:t>
            </w:r>
          </w:p>
        </w:tc>
      </w:tr>
      <w:tr>
        <w:trPr>
          <w:trHeight w:val="255"/>
        </w:trPr>
        <w:tc>
          <w:tcPr>
            <w:tcW w:w="3080" w:type="dxa"/>
            <w:vAlign w:val="bottom"/>
          </w:tcPr>
          <w:p>
            <w:pPr>
              <w:ind w:left="100"/>
              <w:spacing w:after="0"/>
              <w:rPr>
                <w:sz w:val="20"/>
                <w:szCs w:val="20"/>
                <w:color w:val="auto"/>
              </w:rPr>
            </w:pPr>
            <w:r>
              <w:rPr>
                <w:rFonts w:ascii="Arial" w:cs="Arial" w:eastAsia="Arial" w:hAnsi="Arial"/>
                <w:sz w:val="16"/>
                <w:szCs w:val="16"/>
                <w:color w:val="auto"/>
              </w:rPr>
              <w:t>Caterpillar Inc.</w:t>
            </w:r>
          </w:p>
        </w:tc>
        <w:tc>
          <w:tcPr>
            <w:tcW w:w="3860" w:type="dxa"/>
            <w:vAlign w:val="bottom"/>
          </w:tcPr>
          <w:p>
            <w:pPr>
              <w:ind w:left="760"/>
              <w:spacing w:after="0"/>
              <w:rPr>
                <w:sz w:val="20"/>
                <w:szCs w:val="20"/>
                <w:color w:val="auto"/>
              </w:rPr>
            </w:pPr>
            <w:r>
              <w:rPr>
                <w:rFonts w:ascii="Arial" w:cs="Arial" w:eastAsia="Arial" w:hAnsi="Arial"/>
                <w:sz w:val="16"/>
                <w:szCs w:val="16"/>
                <w:color w:val="auto"/>
              </w:rPr>
              <w:t>Illinois Tool Works Inc.</w:t>
            </w:r>
          </w:p>
        </w:tc>
        <w:tc>
          <w:tcPr>
            <w:tcW w:w="4300" w:type="dxa"/>
            <w:vAlign w:val="bottom"/>
          </w:tcPr>
          <w:p>
            <w:pPr>
              <w:ind w:left="660"/>
              <w:spacing w:after="0"/>
              <w:rPr>
                <w:sz w:val="20"/>
                <w:szCs w:val="20"/>
                <w:color w:val="auto"/>
              </w:rPr>
            </w:pPr>
            <w:r>
              <w:rPr>
                <w:rFonts w:ascii="Arial" w:cs="Arial" w:eastAsia="Arial" w:hAnsi="Arial"/>
                <w:sz w:val="16"/>
                <w:szCs w:val="16"/>
                <w:color w:val="auto"/>
              </w:rPr>
              <w:t>Raytheon Technologies</w:t>
            </w:r>
          </w:p>
        </w:tc>
      </w:tr>
      <w:tr>
        <w:trPr>
          <w:trHeight w:val="255"/>
        </w:trPr>
        <w:tc>
          <w:tcPr>
            <w:tcW w:w="3080" w:type="dxa"/>
            <w:vAlign w:val="bottom"/>
          </w:tcPr>
          <w:p>
            <w:pPr>
              <w:ind w:left="100"/>
              <w:spacing w:after="0"/>
              <w:rPr>
                <w:sz w:val="20"/>
                <w:szCs w:val="20"/>
                <w:color w:val="auto"/>
              </w:rPr>
            </w:pPr>
            <w:r>
              <w:rPr>
                <w:rFonts w:ascii="Arial" w:cs="Arial" w:eastAsia="Arial" w:hAnsi="Arial"/>
                <w:sz w:val="16"/>
                <w:szCs w:val="16"/>
                <w:color w:val="auto"/>
              </w:rPr>
              <w:t>Cummins Inc.</w:t>
            </w:r>
          </w:p>
        </w:tc>
        <w:tc>
          <w:tcPr>
            <w:tcW w:w="3860" w:type="dxa"/>
            <w:vAlign w:val="bottom"/>
          </w:tcPr>
          <w:p>
            <w:pPr>
              <w:ind w:left="760"/>
              <w:spacing w:after="0"/>
              <w:rPr>
                <w:sz w:val="20"/>
                <w:szCs w:val="20"/>
                <w:color w:val="auto"/>
              </w:rPr>
            </w:pPr>
            <w:r>
              <w:rPr>
                <w:rFonts w:ascii="Arial" w:cs="Arial" w:eastAsia="Arial" w:hAnsi="Arial"/>
                <w:sz w:val="16"/>
                <w:szCs w:val="16"/>
                <w:color w:val="auto"/>
              </w:rPr>
              <w:t>Jacobs Engineering Group Inc.</w:t>
            </w:r>
          </w:p>
        </w:tc>
        <w:tc>
          <w:tcPr>
            <w:tcW w:w="4300" w:type="dxa"/>
            <w:vAlign w:val="bottom"/>
          </w:tcPr>
          <w:p>
            <w:pPr>
              <w:ind w:left="660"/>
              <w:spacing w:after="0"/>
              <w:rPr>
                <w:sz w:val="20"/>
                <w:szCs w:val="20"/>
                <w:color w:val="auto"/>
              </w:rPr>
            </w:pPr>
            <w:r>
              <w:rPr>
                <w:rFonts w:ascii="Arial" w:cs="Arial" w:eastAsia="Arial" w:hAnsi="Arial"/>
                <w:sz w:val="16"/>
                <w:szCs w:val="16"/>
                <w:color w:val="auto"/>
              </w:rPr>
              <w:t>Stanley Black &amp; Decker, Inc.</w:t>
            </w:r>
          </w:p>
        </w:tc>
      </w:tr>
      <w:tr>
        <w:trPr>
          <w:trHeight w:val="255"/>
        </w:trPr>
        <w:tc>
          <w:tcPr>
            <w:tcW w:w="3080" w:type="dxa"/>
            <w:vAlign w:val="bottom"/>
          </w:tcPr>
          <w:p>
            <w:pPr>
              <w:ind w:left="100"/>
              <w:spacing w:after="0"/>
              <w:rPr>
                <w:sz w:val="20"/>
                <w:szCs w:val="20"/>
                <w:color w:val="auto"/>
              </w:rPr>
            </w:pPr>
            <w:r>
              <w:rPr>
                <w:rFonts w:ascii="Arial" w:cs="Arial" w:eastAsia="Arial" w:hAnsi="Arial"/>
                <w:sz w:val="16"/>
                <w:szCs w:val="16"/>
                <w:color w:val="auto"/>
              </w:rPr>
              <w:t>Deere &amp; Company</w:t>
            </w:r>
          </w:p>
        </w:tc>
        <w:tc>
          <w:tcPr>
            <w:tcW w:w="3860" w:type="dxa"/>
            <w:vAlign w:val="bottom"/>
          </w:tcPr>
          <w:p>
            <w:pPr>
              <w:ind w:left="760"/>
              <w:spacing w:after="0"/>
              <w:rPr>
                <w:sz w:val="20"/>
                <w:szCs w:val="20"/>
                <w:color w:val="auto"/>
              </w:rPr>
            </w:pPr>
            <w:r>
              <w:rPr>
                <w:rFonts w:ascii="Arial" w:cs="Arial" w:eastAsia="Arial" w:hAnsi="Arial"/>
                <w:sz w:val="16"/>
                <w:szCs w:val="16"/>
                <w:color w:val="auto"/>
              </w:rPr>
              <w:t>Johnson Controls International plc</w:t>
            </w:r>
          </w:p>
        </w:tc>
        <w:tc>
          <w:tcPr>
            <w:tcW w:w="4300" w:type="dxa"/>
            <w:vAlign w:val="bottom"/>
          </w:tcPr>
          <w:p>
            <w:pPr>
              <w:ind w:left="660"/>
              <w:spacing w:after="0"/>
              <w:rPr>
                <w:sz w:val="20"/>
                <w:szCs w:val="20"/>
                <w:color w:val="auto"/>
              </w:rPr>
            </w:pPr>
            <w:r>
              <w:rPr>
                <w:rFonts w:ascii="Arial" w:cs="Arial" w:eastAsia="Arial" w:hAnsi="Arial"/>
                <w:sz w:val="16"/>
                <w:szCs w:val="16"/>
                <w:color w:val="auto"/>
              </w:rPr>
              <w:t>Textron Inc</w:t>
            </w:r>
          </w:p>
        </w:tc>
      </w:tr>
      <w:tr>
        <w:trPr>
          <w:trHeight w:val="255"/>
        </w:trPr>
        <w:tc>
          <w:tcPr>
            <w:tcW w:w="3080" w:type="dxa"/>
            <w:vAlign w:val="bottom"/>
          </w:tcPr>
          <w:p>
            <w:pPr>
              <w:ind w:left="100"/>
              <w:spacing w:after="0"/>
              <w:rPr>
                <w:sz w:val="20"/>
                <w:szCs w:val="20"/>
                <w:color w:val="auto"/>
              </w:rPr>
            </w:pPr>
            <w:r>
              <w:rPr>
                <w:rFonts w:ascii="Arial" w:cs="Arial" w:eastAsia="Arial" w:hAnsi="Arial"/>
                <w:sz w:val="16"/>
                <w:szCs w:val="16"/>
                <w:color w:val="auto"/>
              </w:rPr>
              <w:t>Eaton Corporation plc</w:t>
            </w:r>
          </w:p>
        </w:tc>
        <w:tc>
          <w:tcPr>
            <w:tcW w:w="3860" w:type="dxa"/>
            <w:vAlign w:val="bottom"/>
          </w:tcPr>
          <w:p>
            <w:pPr>
              <w:ind w:left="760"/>
              <w:spacing w:after="0"/>
              <w:rPr>
                <w:sz w:val="20"/>
                <w:szCs w:val="20"/>
                <w:color w:val="auto"/>
              </w:rPr>
            </w:pPr>
            <w:r>
              <w:rPr>
                <w:rFonts w:ascii="Arial" w:cs="Arial" w:eastAsia="Arial" w:hAnsi="Arial"/>
                <w:sz w:val="16"/>
                <w:szCs w:val="16"/>
                <w:color w:val="auto"/>
              </w:rPr>
              <w:t>L3Harris Technologies, Inc.</w:t>
            </w:r>
          </w:p>
        </w:tc>
        <w:tc>
          <w:tcPr>
            <w:tcW w:w="4300" w:type="dxa"/>
            <w:vAlign w:val="bottom"/>
          </w:tcPr>
          <w:p>
            <w:pPr>
              <w:ind w:left="660"/>
              <w:spacing w:after="0"/>
              <w:rPr>
                <w:sz w:val="20"/>
                <w:szCs w:val="20"/>
                <w:color w:val="auto"/>
              </w:rPr>
            </w:pPr>
            <w:r>
              <w:rPr>
                <w:rFonts w:ascii="Arial" w:cs="Arial" w:eastAsia="Arial" w:hAnsi="Arial"/>
                <w:sz w:val="16"/>
                <w:szCs w:val="16"/>
                <w:color w:val="auto"/>
              </w:rPr>
              <w:t>The Boeing Company</w:t>
            </w:r>
          </w:p>
        </w:tc>
      </w:tr>
      <w:tr>
        <w:trPr>
          <w:trHeight w:val="255"/>
        </w:trPr>
        <w:tc>
          <w:tcPr>
            <w:tcW w:w="3080" w:type="dxa"/>
            <w:vAlign w:val="bottom"/>
          </w:tcPr>
          <w:p>
            <w:pPr>
              <w:ind w:left="100"/>
              <w:spacing w:after="0"/>
              <w:rPr>
                <w:sz w:val="20"/>
                <w:szCs w:val="20"/>
                <w:color w:val="auto"/>
              </w:rPr>
            </w:pPr>
            <w:r>
              <w:rPr>
                <w:rFonts w:ascii="Arial" w:cs="Arial" w:eastAsia="Arial" w:hAnsi="Arial"/>
                <w:sz w:val="16"/>
                <w:szCs w:val="16"/>
                <w:color w:val="auto"/>
              </w:rPr>
              <w:t>Emerson Electric Co.</w:t>
            </w:r>
          </w:p>
        </w:tc>
        <w:tc>
          <w:tcPr>
            <w:tcW w:w="3860" w:type="dxa"/>
            <w:vAlign w:val="bottom"/>
          </w:tcPr>
          <w:p>
            <w:pPr>
              <w:ind w:left="760"/>
              <w:spacing w:after="0"/>
              <w:rPr>
                <w:sz w:val="20"/>
                <w:szCs w:val="20"/>
                <w:color w:val="auto"/>
              </w:rPr>
            </w:pPr>
            <w:r>
              <w:rPr>
                <w:rFonts w:ascii="Arial" w:cs="Arial" w:eastAsia="Arial" w:hAnsi="Arial"/>
                <w:sz w:val="16"/>
                <w:szCs w:val="16"/>
                <w:color w:val="auto"/>
              </w:rPr>
              <w:t>Northrop Grumman Corporation</w:t>
            </w:r>
          </w:p>
        </w:tc>
        <w:tc>
          <w:tcPr>
            <w:tcW w:w="4300" w:type="dxa"/>
            <w:vAlign w:val="bottom"/>
          </w:tcPr>
          <w:p>
            <w:pPr>
              <w:ind w:left="660"/>
              <w:spacing w:after="0"/>
              <w:rPr>
                <w:sz w:val="20"/>
                <w:szCs w:val="20"/>
                <w:color w:val="auto"/>
              </w:rPr>
            </w:pPr>
            <w:r>
              <w:rPr>
                <w:rFonts w:ascii="Arial" w:cs="Arial" w:eastAsia="Arial" w:hAnsi="Arial"/>
                <w:sz w:val="16"/>
                <w:szCs w:val="16"/>
                <w:color w:val="auto"/>
              </w:rPr>
              <w:t>Trane Technologies plc</w:t>
            </w:r>
          </w:p>
        </w:tc>
      </w:tr>
      <w:tr>
        <w:trPr>
          <w:trHeight w:val="255"/>
        </w:trPr>
        <w:tc>
          <w:tcPr>
            <w:tcW w:w="3080" w:type="dxa"/>
            <w:vAlign w:val="bottom"/>
          </w:tcPr>
          <w:p>
            <w:pPr>
              <w:ind w:left="100"/>
              <w:spacing w:after="0"/>
              <w:rPr>
                <w:sz w:val="20"/>
                <w:szCs w:val="20"/>
                <w:color w:val="auto"/>
              </w:rPr>
            </w:pPr>
            <w:r>
              <w:rPr>
                <w:rFonts w:ascii="Arial" w:cs="Arial" w:eastAsia="Arial" w:hAnsi="Arial"/>
                <w:sz w:val="16"/>
                <w:szCs w:val="16"/>
                <w:color w:val="auto"/>
              </w:rPr>
              <w:t>General Dynamics Corporation</w:t>
            </w:r>
          </w:p>
        </w:tc>
        <w:tc>
          <w:tcPr>
            <w:tcW w:w="3860" w:type="dxa"/>
            <w:vAlign w:val="bottom"/>
          </w:tcPr>
          <w:p>
            <w:pPr>
              <w:ind w:left="760"/>
              <w:spacing w:after="0"/>
              <w:rPr>
                <w:sz w:val="20"/>
                <w:szCs w:val="20"/>
                <w:color w:val="auto"/>
              </w:rPr>
            </w:pPr>
            <w:r>
              <w:rPr>
                <w:rFonts w:ascii="Arial" w:cs="Arial" w:eastAsia="Arial" w:hAnsi="Arial"/>
                <w:sz w:val="16"/>
                <w:szCs w:val="16"/>
                <w:color w:val="auto"/>
              </w:rPr>
              <w:t>Otis Worldwide Corporation</w:t>
            </w:r>
          </w:p>
        </w:tc>
        <w:tc>
          <w:tcPr>
            <w:tcW w:w="4300" w:type="dxa"/>
            <w:vAlign w:val="bottom"/>
          </w:tcPr>
          <w:p>
            <w:pPr>
              <w:ind w:left="660"/>
              <w:spacing w:after="0"/>
              <w:rPr>
                <w:sz w:val="20"/>
                <w:szCs w:val="20"/>
                <w:color w:val="auto"/>
              </w:rPr>
            </w:pPr>
            <w:r>
              <w:rPr>
                <w:rFonts w:ascii="Arial" w:cs="Arial" w:eastAsia="Arial" w:hAnsi="Arial"/>
                <w:sz w:val="16"/>
                <w:szCs w:val="16"/>
                <w:color w:val="auto"/>
              </w:rPr>
              <w:t>W.W. Grainger, Inc.</w:t>
            </w:r>
          </w:p>
        </w:tc>
      </w:tr>
      <w:tr>
        <w:trPr>
          <w:trHeight w:val="59"/>
        </w:trPr>
        <w:tc>
          <w:tcPr>
            <w:tcW w:w="3080" w:type="dxa"/>
            <w:vAlign w:val="bottom"/>
            <w:tcBorders>
              <w:bottom w:val="single" w:sz="8" w:color="003478"/>
            </w:tcBorders>
          </w:tcPr>
          <w:p>
            <w:pPr>
              <w:spacing w:after="0"/>
              <w:rPr>
                <w:sz w:val="5"/>
                <w:szCs w:val="5"/>
                <w:color w:val="auto"/>
              </w:rPr>
            </w:pPr>
          </w:p>
        </w:tc>
        <w:tc>
          <w:tcPr>
            <w:tcW w:w="3860" w:type="dxa"/>
            <w:vAlign w:val="bottom"/>
            <w:tcBorders>
              <w:bottom w:val="single" w:sz="8" w:color="003478"/>
            </w:tcBorders>
          </w:tcPr>
          <w:p>
            <w:pPr>
              <w:spacing w:after="0"/>
              <w:rPr>
                <w:sz w:val="5"/>
                <w:szCs w:val="5"/>
                <w:color w:val="auto"/>
              </w:rPr>
            </w:pPr>
          </w:p>
        </w:tc>
        <w:tc>
          <w:tcPr>
            <w:tcW w:w="4300" w:type="dxa"/>
            <w:vAlign w:val="bottom"/>
            <w:tcBorders>
              <w:bottom w:val="single" w:sz="8" w:color="003478"/>
            </w:tcBorders>
          </w:tcPr>
          <w:p>
            <w:pPr>
              <w:spacing w:after="0"/>
              <w:rPr>
                <w:sz w:val="5"/>
                <w:szCs w:val="5"/>
                <w:color w:val="auto"/>
              </w:rPr>
            </w:pPr>
          </w:p>
        </w:tc>
      </w:tr>
    </w:tbl>
    <w:p>
      <w:pPr>
        <w:spacing w:after="0" w:line="195"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Because the Relative TSR index is not perfectly aligned with the businesses in which Lockheed Martin operates and because any number of macro-economic factors that could affect market performance are beyond the control of the Company, we use ROIC and Performance Cash as internal measures that are directly affected by management’s decisions. ROIC measures how effectively we employ our capital over time, while Performance Cash provides the means for investment or value creation. By including a cash measure in both our annual and long-term incentive plans, the plans mitigate the risk of short-term cash strategies that do not create long-term value.</w:t>
      </w:r>
    </w:p>
    <w:p>
      <w:pPr>
        <w:spacing w:after="0" w:line="99" w:lineRule="exact"/>
        <w:rPr>
          <w:sz w:val="20"/>
          <w:szCs w:val="20"/>
          <w:color w:val="auto"/>
        </w:rPr>
      </w:pPr>
    </w:p>
    <w:p>
      <w:pPr>
        <w:ind w:right="420"/>
        <w:spacing w:after="0" w:line="274" w:lineRule="auto"/>
        <w:rPr>
          <w:sz w:val="20"/>
          <w:szCs w:val="20"/>
          <w:color w:val="auto"/>
        </w:rPr>
      </w:pPr>
      <w:r>
        <w:rPr>
          <w:rFonts w:ascii="Arial" w:cs="Arial" w:eastAsia="Arial" w:hAnsi="Arial"/>
          <w:sz w:val="17"/>
          <w:szCs w:val="17"/>
          <w:color w:val="auto"/>
        </w:rPr>
        <w:t>In tandem, we believe that these metrics drive the behaviors of our management team in ways that are intended to create the most value for our stockholders.</w:t>
      </w:r>
    </w:p>
    <w:p>
      <w:pPr>
        <w:spacing w:after="0" w:line="80" w:lineRule="exact"/>
        <w:rPr>
          <w:sz w:val="20"/>
          <w:szCs w:val="20"/>
          <w:color w:val="auto"/>
        </w:rPr>
      </w:pPr>
    </w:p>
    <w:p>
      <w:pPr>
        <w:spacing w:after="0"/>
        <w:rPr>
          <w:sz w:val="20"/>
          <w:szCs w:val="20"/>
          <w:color w:val="auto"/>
        </w:rPr>
      </w:pPr>
      <w:r>
        <w:rPr>
          <w:rFonts w:ascii="Arial" w:cs="Arial" w:eastAsia="Arial" w:hAnsi="Arial"/>
          <w:sz w:val="20"/>
          <w:szCs w:val="20"/>
          <w:color w:val="003478"/>
        </w:rPr>
        <w:t>Setting Performance Goals for PSUs and LTIP</w:t>
      </w:r>
    </w:p>
    <w:p>
      <w:pPr>
        <w:spacing w:after="0" w:line="117"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Our long-range planning process is used to establish the target (100% level of payment) for the Performance Cash and ROIC metrics in the PSU and LTIP grants. In setting minimum and maximum levels of payment, we reviewed historical levels of performance against long-range plan commitments, and conducted sensitivity analyses on alternative outcomes focused on identifying likely minimum and maximum boundary performance levels. Levels between 100% and the minimum and maximum levels were derived using linear interpolation between the performance hurdles.</w:t>
      </w:r>
    </w:p>
    <w:p>
      <w:pPr>
        <w:spacing w:after="0" w:line="99" w:lineRule="exact"/>
        <w:rPr>
          <w:sz w:val="20"/>
          <w:szCs w:val="20"/>
          <w:color w:val="auto"/>
        </w:rPr>
      </w:pPr>
    </w:p>
    <w:p>
      <w:pPr>
        <w:ind w:right="140"/>
        <w:spacing w:after="0" w:line="266" w:lineRule="auto"/>
        <w:rPr>
          <w:sz w:val="20"/>
          <w:szCs w:val="20"/>
          <w:color w:val="auto"/>
        </w:rPr>
      </w:pPr>
      <w:r>
        <w:rPr>
          <w:rFonts w:ascii="Arial" w:cs="Arial" w:eastAsia="Arial" w:hAnsi="Arial"/>
          <w:sz w:val="17"/>
          <w:szCs w:val="17"/>
          <w:color w:val="auto"/>
        </w:rPr>
        <w:t>The specific Performance Cash and ROIC target values for the 2021-2023 PSU and LTIP plans are not publicly disclosed at the time of grant due to the proprietary nature and competitive sensitivity of the information. However, the method used to calculate the awards will be based on actual performance compared to the Company’s 2021-2023 targets, which use straight-line interpolation between points. Starting with the 2021-2023 performance period, goal measurement ranges for the Performance Cash and ROIC metrics were changed from fixed amounts to percentages to better align program rigor with changes in target goals over time.</w:t>
      </w:r>
    </w:p>
    <w:p>
      <w:pPr>
        <w:spacing w:after="0" w:line="99" w:lineRule="exact"/>
        <w:rPr>
          <w:sz w:val="20"/>
          <w:szCs w:val="20"/>
          <w:color w:val="auto"/>
        </w:rPr>
      </w:pPr>
    </w:p>
    <w:p>
      <w:pPr>
        <w:ind w:right="200"/>
        <w:spacing w:after="0" w:line="266" w:lineRule="auto"/>
        <w:rPr>
          <w:sz w:val="20"/>
          <w:szCs w:val="20"/>
          <w:color w:val="auto"/>
        </w:rPr>
      </w:pPr>
      <w:r>
        <w:rPr>
          <w:rFonts w:ascii="Arial" w:cs="Arial" w:eastAsia="Arial" w:hAnsi="Arial"/>
          <w:sz w:val="17"/>
          <w:szCs w:val="17"/>
          <w:color w:val="auto"/>
        </w:rPr>
        <w:t>The individual award agreements require pre-specified adjustments to Performance Cash and ROIC to ensure that the ultimate payouts are not impacted to the benefit or detriment of management by specified events that would result in a difference between planned and actual financial results, such as changes in forecasted pension contributions, changes in accounting (GAAP) standards, impacts of an acquisition or divestiture valued at more than $1 billion, changes in tax law or interpretations related to amortization for research and experimental expenditures, non-cash settlement charges associated with pension risk transfer transactions, unplanned tax payments or benefits associated with divestitures, or pension-related impacts to the Company’s long-range plan associated with implementation of the American Rescue Plan Act of 2021.</w:t>
      </w:r>
    </w:p>
    <w:p>
      <w:pPr>
        <w:spacing w:after="0" w:line="98"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The Compensation Committee does not have discretion to adjust the results of the PSU and LTIP awards beyond the adjustments specified in the award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932180</wp:posOffset>
            </wp:positionV>
            <wp:extent cx="963930" cy="2216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49</w:t>
      </w:r>
    </w:p>
    <w:p>
      <w:pPr>
        <w:sectPr>
          <w:pgSz w:w="11900" w:h="16838" w:orient="portrait"/>
          <w:cols w:equalWidth="0" w:num="1">
            <w:col w:w="11240"/>
          </w:cols>
          <w:pgMar w:left="320" w:top="254" w:right="339" w:bottom="1440" w:gutter="0" w:footer="0" w:header="0"/>
        </w:sectPr>
      </w:pPr>
    </w:p>
    <w:bookmarkStart w:id="55" w:name="page56"/>
    <w:bookmarkEnd w:id="55"/>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80" w:type="dxa"/>
            <w:vAlign w:val="bottom"/>
            <w:gridSpan w:val="2"/>
          </w:tcPr>
          <w:p>
            <w:pPr>
              <w:jc w:val="center"/>
              <w:ind w:left="331"/>
              <w:spacing w:after="0"/>
              <w:rPr>
                <w:sz w:val="20"/>
                <w:szCs w:val="20"/>
                <w:color w:val="auto"/>
              </w:rPr>
            </w:pPr>
            <w:r>
              <w:rPr>
                <w:rFonts w:ascii="Arial" w:cs="Arial" w:eastAsia="Arial" w:hAnsi="Arial"/>
                <w:sz w:val="15"/>
                <w:szCs w:val="15"/>
                <w:color w:val="003478"/>
              </w:rPr>
              <w:t>Executive Compensation</w:t>
            </w:r>
          </w:p>
        </w:tc>
        <w:tc>
          <w:tcPr>
            <w:tcW w:w="0" w:type="dxa"/>
            <w:vAlign w:val="bottom"/>
          </w:tcPr>
          <w:p>
            <w:pPr>
              <w:spacing w:after="0"/>
              <w:rPr>
                <w:sz w:val="1"/>
                <w:szCs w:val="1"/>
                <w:color w:val="auto"/>
              </w:rPr>
            </w:pPr>
          </w:p>
        </w:tc>
      </w:tr>
      <w:tr>
        <w:trPr>
          <w:trHeight w:val="793"/>
        </w:trPr>
        <w:tc>
          <w:tcPr>
            <w:tcW w:w="3720" w:type="dxa"/>
            <w:vAlign w:val="bottom"/>
            <w:gridSpan w:val="4"/>
          </w:tcPr>
          <w:p>
            <w:pPr>
              <w:spacing w:after="0"/>
              <w:rPr>
                <w:sz w:val="20"/>
                <w:szCs w:val="20"/>
                <w:color w:val="auto"/>
              </w:rPr>
            </w:pPr>
            <w:r>
              <w:rPr>
                <w:rFonts w:ascii="Arial" w:cs="Arial" w:eastAsia="Arial" w:hAnsi="Arial"/>
                <w:sz w:val="20"/>
                <w:szCs w:val="20"/>
                <w:color w:val="003478"/>
              </w:rPr>
              <w:t>2021-2023 Performance Goals</w:t>
            </w:r>
          </w:p>
        </w:tc>
        <w:tc>
          <w:tcPr>
            <w:tcW w:w="4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100" w:type="dxa"/>
            <w:vAlign w:val="bottom"/>
          </w:tcPr>
          <w:p>
            <w:pPr>
              <w:spacing w:after="0"/>
              <w:rPr>
                <w:sz w:val="11"/>
                <w:szCs w:val="11"/>
                <w:color w:val="auto"/>
              </w:rPr>
            </w:pPr>
          </w:p>
        </w:tc>
        <w:tc>
          <w:tcPr>
            <w:tcW w:w="2380" w:type="dxa"/>
            <w:vAlign w:val="bottom"/>
            <w:gridSpan w:val="2"/>
          </w:tcPr>
          <w:p>
            <w:pPr>
              <w:spacing w:after="0"/>
              <w:rPr>
                <w:sz w:val="11"/>
                <w:szCs w:val="11"/>
                <w:color w:val="auto"/>
              </w:rPr>
            </w:pPr>
          </w:p>
        </w:tc>
        <w:tc>
          <w:tcPr>
            <w:tcW w:w="1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60" w:type="dxa"/>
            <w:vAlign w:val="bottom"/>
            <w:gridSpan w:val="2"/>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2380" w:type="dxa"/>
            <w:vAlign w:val="bottom"/>
            <w:tcBorders>
              <w:bottom w:val="single" w:sz="8" w:color="E4E6EF"/>
            </w:tcBorders>
            <w:gridSpan w:val="2"/>
            <w:shd w:val="clear" w:color="auto" w:fill="E4E6EF"/>
          </w:tcPr>
          <w:p>
            <w:pPr>
              <w:ind w:left="1240"/>
              <w:spacing w:after="0"/>
              <w:rPr>
                <w:sz w:val="20"/>
                <w:szCs w:val="20"/>
                <w:color w:val="auto"/>
              </w:rPr>
            </w:pPr>
            <w:r>
              <w:rPr>
                <w:rFonts w:ascii="Arial" w:cs="Arial" w:eastAsia="Arial" w:hAnsi="Arial"/>
                <w:sz w:val="13"/>
                <w:szCs w:val="13"/>
                <w:color w:val="auto"/>
                <w:w w:val="93"/>
              </w:rPr>
              <w:t>Relative TSR (50%)*</w:t>
            </w:r>
          </w:p>
        </w:tc>
        <w:tc>
          <w:tcPr>
            <w:tcW w:w="1240" w:type="dxa"/>
            <w:vAlign w:val="bottom"/>
            <w:tcBorders>
              <w:bottom w:val="single" w:sz="8" w:color="E4E6EF"/>
            </w:tcBorders>
            <w:shd w:val="clear" w:color="auto" w:fill="E4E6EF"/>
          </w:tcPr>
          <w:p>
            <w:pPr>
              <w:spacing w:after="0"/>
              <w:rPr>
                <w:sz w:val="17"/>
                <w:szCs w:val="17"/>
                <w:color w:val="auto"/>
              </w:rPr>
            </w:pPr>
          </w:p>
        </w:tc>
        <w:tc>
          <w:tcPr>
            <w:tcW w:w="480" w:type="dxa"/>
            <w:vAlign w:val="bottom"/>
          </w:tcPr>
          <w:p>
            <w:pPr>
              <w:spacing w:after="0"/>
              <w:rPr>
                <w:sz w:val="17"/>
                <w:szCs w:val="17"/>
                <w:color w:val="auto"/>
              </w:rPr>
            </w:pPr>
          </w:p>
        </w:tc>
        <w:tc>
          <w:tcPr>
            <w:tcW w:w="3260" w:type="dxa"/>
            <w:vAlign w:val="bottom"/>
            <w:tcBorders>
              <w:bottom w:val="single" w:sz="8" w:color="E4E6EF"/>
            </w:tcBorders>
            <w:gridSpan w:val="2"/>
            <w:shd w:val="clear" w:color="auto" w:fill="E4E6EF"/>
          </w:tcPr>
          <w:p>
            <w:pPr>
              <w:ind w:left="920"/>
              <w:spacing w:after="0"/>
              <w:rPr>
                <w:sz w:val="20"/>
                <w:szCs w:val="20"/>
                <w:color w:val="auto"/>
              </w:rPr>
            </w:pPr>
            <w:r>
              <w:rPr>
                <w:rFonts w:ascii="Arial" w:cs="Arial" w:eastAsia="Arial" w:hAnsi="Arial"/>
                <w:sz w:val="13"/>
                <w:szCs w:val="13"/>
                <w:color w:val="auto"/>
              </w:rPr>
              <w:t>Performance Cash (25%)</w:t>
            </w:r>
          </w:p>
        </w:tc>
        <w:tc>
          <w:tcPr>
            <w:tcW w:w="480" w:type="dxa"/>
            <w:vAlign w:val="bottom"/>
          </w:tcPr>
          <w:p>
            <w:pPr>
              <w:spacing w:after="0"/>
              <w:rPr>
                <w:sz w:val="17"/>
                <w:szCs w:val="17"/>
                <w:color w:val="auto"/>
              </w:rPr>
            </w:pPr>
          </w:p>
        </w:tc>
        <w:tc>
          <w:tcPr>
            <w:tcW w:w="1220" w:type="dxa"/>
            <w:vAlign w:val="bottom"/>
            <w:tcBorders>
              <w:bottom w:val="single" w:sz="8" w:color="E4E6EF"/>
            </w:tcBorders>
            <w:shd w:val="clear" w:color="auto" w:fill="E4E6EF"/>
          </w:tcPr>
          <w:p>
            <w:pPr>
              <w:spacing w:after="0"/>
              <w:rPr>
                <w:sz w:val="17"/>
                <w:szCs w:val="17"/>
                <w:color w:val="auto"/>
              </w:rPr>
            </w:pPr>
          </w:p>
        </w:tc>
        <w:tc>
          <w:tcPr>
            <w:tcW w:w="1980" w:type="dxa"/>
            <w:vAlign w:val="bottom"/>
            <w:tcBorders>
              <w:bottom w:val="single" w:sz="8" w:color="E4E6EF"/>
            </w:tcBorders>
            <w:shd w:val="clear" w:color="auto" w:fill="E4E6EF"/>
          </w:tcPr>
          <w:p>
            <w:pPr>
              <w:ind w:left="40"/>
              <w:spacing w:after="0"/>
              <w:rPr>
                <w:sz w:val="20"/>
                <w:szCs w:val="20"/>
                <w:color w:val="auto"/>
              </w:rPr>
            </w:pPr>
            <w:r>
              <w:rPr>
                <w:rFonts w:ascii="Arial" w:cs="Arial" w:eastAsia="Arial" w:hAnsi="Arial"/>
                <w:sz w:val="13"/>
                <w:szCs w:val="13"/>
                <w:color w:val="auto"/>
              </w:rPr>
              <w:t>ROIC (25%)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6"/>
                <w:szCs w:val="16"/>
                <w:color w:val="auto"/>
              </w:rPr>
            </w:pPr>
          </w:p>
        </w:tc>
        <w:tc>
          <w:tcPr>
            <w:tcW w:w="1860" w:type="dxa"/>
            <w:vAlign w:val="bottom"/>
            <w:tcBorders>
              <w:top w:val="single" w:sz="8" w:color="003478"/>
              <w:bottom w:val="single" w:sz="8" w:color="E4E6EF"/>
            </w:tcBorders>
            <w:shd w:val="clear" w:color="auto" w:fill="E4E6EF"/>
          </w:tcPr>
          <w:p>
            <w:pPr>
              <w:ind w:left="520"/>
              <w:spacing w:after="0"/>
              <w:rPr>
                <w:sz w:val="20"/>
                <w:szCs w:val="20"/>
                <w:color w:val="auto"/>
              </w:rPr>
            </w:pPr>
            <w:r>
              <w:rPr>
                <w:rFonts w:ascii="Arial" w:cs="Arial" w:eastAsia="Arial" w:hAnsi="Arial"/>
                <w:sz w:val="13"/>
                <w:szCs w:val="13"/>
                <w:color w:val="auto"/>
              </w:rPr>
              <w:t>Percentile Rank</w:t>
            </w:r>
          </w:p>
        </w:tc>
        <w:tc>
          <w:tcPr>
            <w:tcW w:w="520" w:type="dxa"/>
            <w:vAlign w:val="bottom"/>
            <w:tcBorders>
              <w:top w:val="single" w:sz="8" w:color="003478"/>
              <w:bottom w:val="single" w:sz="8" w:color="E4E6EF"/>
            </w:tcBorders>
            <w:shd w:val="clear" w:color="auto" w:fill="E4E6EF"/>
          </w:tcPr>
          <w:p>
            <w:pPr>
              <w:spacing w:after="0"/>
              <w:rPr>
                <w:sz w:val="16"/>
                <w:szCs w:val="16"/>
                <w:color w:val="auto"/>
              </w:rPr>
            </w:pPr>
          </w:p>
        </w:tc>
        <w:tc>
          <w:tcPr>
            <w:tcW w:w="1240" w:type="dxa"/>
            <w:vAlign w:val="bottom"/>
            <w:tcBorders>
              <w:top w:val="single" w:sz="8" w:color="003478"/>
              <w:bottom w:val="single" w:sz="8" w:color="E4E6EF"/>
            </w:tcBorders>
            <w:shd w:val="clear" w:color="auto" w:fill="E4E6EF"/>
          </w:tcPr>
          <w:p>
            <w:pPr>
              <w:jc w:val="center"/>
              <w:ind w:right="390"/>
              <w:spacing w:after="0"/>
              <w:rPr>
                <w:sz w:val="20"/>
                <w:szCs w:val="20"/>
                <w:color w:val="auto"/>
              </w:rPr>
            </w:pPr>
            <w:r>
              <w:rPr>
                <w:rFonts w:ascii="Arial" w:cs="Arial" w:eastAsia="Arial" w:hAnsi="Arial"/>
                <w:sz w:val="13"/>
                <w:szCs w:val="13"/>
                <w:color w:val="auto"/>
                <w:w w:val="96"/>
              </w:rPr>
              <w:t>Payout Factor</w:t>
            </w:r>
          </w:p>
        </w:tc>
        <w:tc>
          <w:tcPr>
            <w:tcW w:w="480" w:type="dxa"/>
            <w:vAlign w:val="bottom"/>
          </w:tcPr>
          <w:p>
            <w:pPr>
              <w:spacing w:after="0"/>
              <w:rPr>
                <w:sz w:val="16"/>
                <w:szCs w:val="16"/>
                <w:color w:val="auto"/>
              </w:rPr>
            </w:pPr>
          </w:p>
        </w:tc>
        <w:tc>
          <w:tcPr>
            <w:tcW w:w="1680" w:type="dxa"/>
            <w:vAlign w:val="bottom"/>
            <w:tcBorders>
              <w:top w:val="single" w:sz="8" w:color="003478"/>
              <w:bottom w:val="single" w:sz="8" w:color="E4E6EF"/>
            </w:tcBorders>
            <w:shd w:val="clear" w:color="auto" w:fill="E4E6EF"/>
          </w:tcPr>
          <w:p>
            <w:pPr>
              <w:jc w:val="center"/>
              <w:ind w:left="32"/>
              <w:spacing w:after="0"/>
              <w:rPr>
                <w:sz w:val="20"/>
                <w:szCs w:val="20"/>
                <w:color w:val="auto"/>
              </w:rPr>
            </w:pPr>
            <w:r>
              <w:rPr>
                <w:rFonts w:ascii="Arial" w:cs="Arial" w:eastAsia="Arial" w:hAnsi="Arial"/>
                <w:sz w:val="13"/>
                <w:szCs w:val="13"/>
                <w:color w:val="auto"/>
                <w:w w:val="99"/>
              </w:rPr>
              <w:t>Goals</w:t>
            </w:r>
          </w:p>
        </w:tc>
        <w:tc>
          <w:tcPr>
            <w:tcW w:w="1580" w:type="dxa"/>
            <w:vAlign w:val="bottom"/>
            <w:tcBorders>
              <w:top w:val="single" w:sz="8" w:color="003478"/>
              <w:bottom w:val="single" w:sz="8" w:color="E4E6EF"/>
            </w:tcBorders>
            <w:shd w:val="clear" w:color="auto" w:fill="E4E6EF"/>
          </w:tcPr>
          <w:p>
            <w:pPr>
              <w:ind w:left="440"/>
              <w:spacing w:after="0"/>
              <w:rPr>
                <w:sz w:val="20"/>
                <w:szCs w:val="20"/>
                <w:color w:val="auto"/>
              </w:rPr>
            </w:pPr>
            <w:r>
              <w:rPr>
                <w:rFonts w:ascii="Arial" w:cs="Arial" w:eastAsia="Arial" w:hAnsi="Arial"/>
                <w:sz w:val="13"/>
                <w:szCs w:val="13"/>
                <w:color w:val="auto"/>
              </w:rPr>
              <w:t>Payout Factor</w:t>
            </w:r>
          </w:p>
        </w:tc>
        <w:tc>
          <w:tcPr>
            <w:tcW w:w="480" w:type="dxa"/>
            <w:vAlign w:val="bottom"/>
          </w:tcPr>
          <w:p>
            <w:pPr>
              <w:spacing w:after="0"/>
              <w:rPr>
                <w:sz w:val="16"/>
                <w:szCs w:val="16"/>
                <w:color w:val="auto"/>
              </w:rPr>
            </w:pPr>
          </w:p>
        </w:tc>
        <w:tc>
          <w:tcPr>
            <w:tcW w:w="1220" w:type="dxa"/>
            <w:vAlign w:val="bottom"/>
            <w:tcBorders>
              <w:top w:val="single" w:sz="8" w:color="003478"/>
              <w:bottom w:val="single" w:sz="8" w:color="E4E6EF"/>
            </w:tcBorders>
            <w:shd w:val="clear" w:color="auto" w:fill="E4E6EF"/>
          </w:tcPr>
          <w:p>
            <w:pPr>
              <w:jc w:val="center"/>
              <w:ind w:left="431"/>
              <w:spacing w:after="0"/>
              <w:rPr>
                <w:sz w:val="20"/>
                <w:szCs w:val="20"/>
                <w:color w:val="auto"/>
              </w:rPr>
            </w:pPr>
            <w:r>
              <w:rPr>
                <w:rFonts w:ascii="Arial" w:cs="Arial" w:eastAsia="Arial" w:hAnsi="Arial"/>
                <w:sz w:val="13"/>
                <w:szCs w:val="13"/>
                <w:color w:val="auto"/>
                <w:w w:val="94"/>
              </w:rPr>
              <w:t>Goals</w:t>
            </w:r>
          </w:p>
        </w:tc>
        <w:tc>
          <w:tcPr>
            <w:tcW w:w="1980" w:type="dxa"/>
            <w:vAlign w:val="bottom"/>
            <w:tcBorders>
              <w:top w:val="single" w:sz="8" w:color="003478"/>
              <w:bottom w:val="single" w:sz="8" w:color="E4E6EF"/>
            </w:tcBorders>
            <w:shd w:val="clear" w:color="auto" w:fill="E4E6EF"/>
          </w:tcPr>
          <w:p>
            <w:pPr>
              <w:jc w:val="center"/>
              <w:ind w:left="411"/>
              <w:spacing w:after="0"/>
              <w:rPr>
                <w:sz w:val="20"/>
                <w:szCs w:val="20"/>
                <w:color w:val="auto"/>
              </w:rPr>
            </w:pPr>
            <w:r>
              <w:rPr>
                <w:rFonts w:ascii="Arial" w:cs="Arial" w:eastAsia="Arial" w:hAnsi="Arial"/>
                <w:sz w:val="13"/>
                <w:szCs w:val="13"/>
                <w:color w:val="auto"/>
                <w:w w:val="96"/>
              </w:rPr>
              <w:t>Payout Factor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1860" w:type="dxa"/>
            <w:vAlign w:val="bottom"/>
            <w:tcBorders>
              <w:top w:val="single" w:sz="8" w:color="003478"/>
              <w:bottom w:val="single" w:sz="8" w:color="959595"/>
            </w:tcBorders>
          </w:tcPr>
          <w:p>
            <w:pPr>
              <w:jc w:val="center"/>
              <w:ind w:left="11"/>
              <w:spacing w:after="0"/>
              <w:rPr>
                <w:sz w:val="20"/>
                <w:szCs w:val="20"/>
                <w:color w:val="auto"/>
              </w:rPr>
            </w:pPr>
            <w:r>
              <w:rPr>
                <w:rFonts w:ascii="Arial" w:cs="Arial" w:eastAsia="Arial" w:hAnsi="Arial"/>
                <w:sz w:val="14"/>
                <w:szCs w:val="14"/>
                <w:color w:val="auto"/>
              </w:rPr>
              <w:t>75th – 100th</w:t>
            </w:r>
          </w:p>
        </w:tc>
        <w:tc>
          <w:tcPr>
            <w:tcW w:w="520" w:type="dxa"/>
            <w:vAlign w:val="bottom"/>
            <w:tcBorders>
              <w:top w:val="single" w:sz="8" w:color="003478"/>
              <w:bottom w:val="single" w:sz="8" w:color="959595"/>
            </w:tcBorders>
          </w:tcPr>
          <w:p>
            <w:pPr>
              <w:spacing w:after="0"/>
              <w:rPr>
                <w:sz w:val="16"/>
                <w:szCs w:val="16"/>
                <w:color w:val="auto"/>
              </w:rPr>
            </w:pPr>
          </w:p>
        </w:tc>
        <w:tc>
          <w:tcPr>
            <w:tcW w:w="1240" w:type="dxa"/>
            <w:vAlign w:val="bottom"/>
            <w:tcBorders>
              <w:top w:val="single" w:sz="8" w:color="003478"/>
              <w:bottom w:val="single" w:sz="8" w:color="959595"/>
            </w:tcBorders>
          </w:tcPr>
          <w:p>
            <w:pPr>
              <w:jc w:val="center"/>
              <w:ind w:right="370"/>
              <w:spacing w:after="0"/>
              <w:rPr>
                <w:sz w:val="20"/>
                <w:szCs w:val="20"/>
                <w:color w:val="auto"/>
              </w:rPr>
            </w:pPr>
            <w:r>
              <w:rPr>
                <w:rFonts w:ascii="Arial" w:cs="Arial" w:eastAsia="Arial" w:hAnsi="Arial"/>
                <w:sz w:val="14"/>
                <w:szCs w:val="14"/>
                <w:color w:val="auto"/>
              </w:rPr>
              <w:t>200%</w:t>
            </w:r>
          </w:p>
        </w:tc>
        <w:tc>
          <w:tcPr>
            <w:tcW w:w="480" w:type="dxa"/>
            <w:vAlign w:val="bottom"/>
          </w:tcPr>
          <w:p>
            <w:pPr>
              <w:spacing w:after="0"/>
              <w:rPr>
                <w:sz w:val="16"/>
                <w:szCs w:val="16"/>
                <w:color w:val="auto"/>
              </w:rPr>
            </w:pPr>
          </w:p>
        </w:tc>
        <w:tc>
          <w:tcPr>
            <w:tcW w:w="1680" w:type="dxa"/>
            <w:vAlign w:val="bottom"/>
            <w:tcBorders>
              <w:top w:val="single" w:sz="8" w:color="003478"/>
              <w:bottom w:val="single" w:sz="8" w:color="003478"/>
            </w:tcBorders>
            <w:vMerge w:val="restart"/>
          </w:tcPr>
          <w:p>
            <w:pPr>
              <w:jc w:val="center"/>
              <w:ind w:left="32"/>
              <w:spacing w:after="0"/>
              <w:rPr>
                <w:sz w:val="20"/>
                <w:szCs w:val="20"/>
                <w:color w:val="auto"/>
              </w:rPr>
            </w:pPr>
            <w:r>
              <w:rPr>
                <w:rFonts w:ascii="Arial" w:cs="Arial" w:eastAsia="Arial" w:hAnsi="Arial"/>
                <w:sz w:val="14"/>
                <w:szCs w:val="14"/>
                <w:color w:val="auto"/>
              </w:rPr>
              <w:t>Plan +20%</w:t>
            </w:r>
          </w:p>
        </w:tc>
        <w:tc>
          <w:tcPr>
            <w:tcW w:w="1580" w:type="dxa"/>
            <w:vAlign w:val="bottom"/>
            <w:tcBorders>
              <w:top w:val="single" w:sz="8" w:color="003478"/>
              <w:bottom w:val="single" w:sz="8" w:color="003478"/>
            </w:tcBorders>
            <w:vMerge w:val="restart"/>
          </w:tcPr>
          <w:p>
            <w:pPr>
              <w:jc w:val="center"/>
              <w:ind w:left="31"/>
              <w:spacing w:after="0"/>
              <w:rPr>
                <w:sz w:val="20"/>
                <w:szCs w:val="20"/>
                <w:color w:val="auto"/>
              </w:rPr>
            </w:pPr>
            <w:r>
              <w:rPr>
                <w:rFonts w:ascii="Arial" w:cs="Arial" w:eastAsia="Arial" w:hAnsi="Arial"/>
                <w:sz w:val="14"/>
                <w:szCs w:val="14"/>
                <w:color w:val="auto"/>
              </w:rPr>
              <w:t>200%</w:t>
            </w:r>
          </w:p>
        </w:tc>
        <w:tc>
          <w:tcPr>
            <w:tcW w:w="480" w:type="dxa"/>
            <w:vAlign w:val="bottom"/>
          </w:tcPr>
          <w:p>
            <w:pPr>
              <w:spacing w:after="0"/>
              <w:rPr>
                <w:sz w:val="16"/>
                <w:szCs w:val="16"/>
                <w:color w:val="auto"/>
              </w:rPr>
            </w:pPr>
          </w:p>
        </w:tc>
        <w:tc>
          <w:tcPr>
            <w:tcW w:w="1220" w:type="dxa"/>
            <w:vAlign w:val="bottom"/>
            <w:tcBorders>
              <w:top w:val="single" w:sz="8" w:color="003478"/>
              <w:bottom w:val="single" w:sz="8" w:color="003478"/>
            </w:tcBorders>
            <w:vMerge w:val="restart"/>
          </w:tcPr>
          <w:p>
            <w:pPr>
              <w:jc w:val="center"/>
              <w:ind w:left="411"/>
              <w:spacing w:after="0"/>
              <w:rPr>
                <w:sz w:val="20"/>
                <w:szCs w:val="20"/>
                <w:color w:val="auto"/>
              </w:rPr>
            </w:pPr>
            <w:r>
              <w:rPr>
                <w:rFonts w:ascii="Arial" w:cs="Arial" w:eastAsia="Arial" w:hAnsi="Arial"/>
                <w:sz w:val="14"/>
                <w:szCs w:val="14"/>
                <w:color w:val="auto"/>
              </w:rPr>
              <w:t>Plan +12%</w:t>
            </w:r>
          </w:p>
        </w:tc>
        <w:tc>
          <w:tcPr>
            <w:tcW w:w="1980" w:type="dxa"/>
            <w:vAlign w:val="bottom"/>
            <w:tcBorders>
              <w:top w:val="single" w:sz="8" w:color="003478"/>
              <w:bottom w:val="single" w:sz="8" w:color="003478"/>
            </w:tcBorders>
            <w:vMerge w:val="restart"/>
          </w:tcPr>
          <w:p>
            <w:pPr>
              <w:jc w:val="center"/>
              <w:ind w:left="431"/>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00" w:type="dxa"/>
            <w:vAlign w:val="bottom"/>
          </w:tcPr>
          <w:p>
            <w:pPr>
              <w:spacing w:after="0"/>
              <w:rPr>
                <w:sz w:val="6"/>
                <w:szCs w:val="6"/>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color w:val="auto"/>
              </w:rPr>
              <w:t>60th</w:t>
            </w:r>
          </w:p>
        </w:tc>
        <w:tc>
          <w:tcPr>
            <w:tcW w:w="520" w:type="dxa"/>
            <w:vAlign w:val="bottom"/>
          </w:tcPr>
          <w:p>
            <w:pPr>
              <w:spacing w:after="0"/>
              <w:rPr>
                <w:sz w:val="6"/>
                <w:szCs w:val="6"/>
                <w:color w:val="auto"/>
              </w:rPr>
            </w:pPr>
          </w:p>
        </w:tc>
        <w:tc>
          <w:tcPr>
            <w:tcW w:w="1240" w:type="dxa"/>
            <w:vAlign w:val="bottom"/>
            <w:vMerge w:val="restart"/>
          </w:tcPr>
          <w:p>
            <w:pPr>
              <w:jc w:val="center"/>
              <w:ind w:right="370"/>
              <w:spacing w:after="0"/>
              <w:rPr>
                <w:sz w:val="20"/>
                <w:szCs w:val="20"/>
                <w:color w:val="auto"/>
              </w:rPr>
            </w:pPr>
            <w:r>
              <w:rPr>
                <w:rFonts w:ascii="Arial" w:cs="Arial" w:eastAsia="Arial" w:hAnsi="Arial"/>
                <w:sz w:val="14"/>
                <w:szCs w:val="14"/>
                <w:color w:val="auto"/>
              </w:rPr>
              <w:t>150%</w:t>
            </w:r>
          </w:p>
        </w:tc>
        <w:tc>
          <w:tcPr>
            <w:tcW w:w="48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1860" w:type="dxa"/>
            <w:vAlign w:val="bottom"/>
            <w:tcBorders>
              <w:bottom w:val="single" w:sz="8" w:color="959595"/>
            </w:tcBorders>
            <w:vMerge w:val="continue"/>
          </w:tcPr>
          <w:p>
            <w:pPr>
              <w:spacing w:after="0"/>
              <w:rPr>
                <w:sz w:val="10"/>
                <w:szCs w:val="10"/>
                <w:color w:val="auto"/>
              </w:rPr>
            </w:pPr>
          </w:p>
        </w:tc>
        <w:tc>
          <w:tcPr>
            <w:tcW w:w="520" w:type="dxa"/>
            <w:vAlign w:val="bottom"/>
            <w:tcBorders>
              <w:bottom w:val="single" w:sz="8" w:color="959595"/>
            </w:tcBorders>
          </w:tcPr>
          <w:p>
            <w:pPr>
              <w:spacing w:after="0"/>
              <w:rPr>
                <w:sz w:val="10"/>
                <w:szCs w:val="10"/>
                <w:color w:val="auto"/>
              </w:rPr>
            </w:pPr>
          </w:p>
        </w:tc>
        <w:tc>
          <w:tcPr>
            <w:tcW w:w="1240" w:type="dxa"/>
            <w:vAlign w:val="bottom"/>
            <w:tcBorders>
              <w:bottom w:val="single" w:sz="8" w:color="959595"/>
            </w:tcBorders>
            <w:vMerge w:val="continue"/>
          </w:tcPr>
          <w:p>
            <w:pPr>
              <w:spacing w:after="0"/>
              <w:rPr>
                <w:sz w:val="10"/>
                <w:szCs w:val="10"/>
                <w:color w:val="auto"/>
              </w:rPr>
            </w:pPr>
          </w:p>
        </w:tc>
        <w:tc>
          <w:tcPr>
            <w:tcW w:w="480" w:type="dxa"/>
            <w:vAlign w:val="bottom"/>
          </w:tcPr>
          <w:p>
            <w:pPr>
              <w:spacing w:after="0"/>
              <w:rPr>
                <w:sz w:val="10"/>
                <w:szCs w:val="10"/>
                <w:color w:val="auto"/>
              </w:rPr>
            </w:pPr>
          </w:p>
        </w:tc>
        <w:tc>
          <w:tcPr>
            <w:tcW w:w="1680" w:type="dxa"/>
            <w:vAlign w:val="bottom"/>
            <w:tcBorders>
              <w:bottom w:val="single" w:sz="8" w:color="959595"/>
            </w:tcBorders>
          </w:tcPr>
          <w:p>
            <w:pPr>
              <w:spacing w:after="0"/>
              <w:rPr>
                <w:sz w:val="10"/>
                <w:szCs w:val="10"/>
                <w:color w:val="auto"/>
              </w:rPr>
            </w:pPr>
          </w:p>
        </w:tc>
        <w:tc>
          <w:tcPr>
            <w:tcW w:w="1580" w:type="dxa"/>
            <w:vAlign w:val="bottom"/>
            <w:tcBorders>
              <w:bottom w:val="single" w:sz="8" w:color="959595"/>
            </w:tcBorders>
          </w:tcPr>
          <w:p>
            <w:pPr>
              <w:spacing w:after="0"/>
              <w:rPr>
                <w:sz w:val="10"/>
                <w:szCs w:val="10"/>
                <w:color w:val="auto"/>
              </w:rPr>
            </w:pPr>
          </w:p>
        </w:tc>
        <w:tc>
          <w:tcPr>
            <w:tcW w:w="480" w:type="dxa"/>
            <w:vAlign w:val="bottom"/>
          </w:tcPr>
          <w:p>
            <w:pPr>
              <w:spacing w:after="0"/>
              <w:rPr>
                <w:sz w:val="10"/>
                <w:szCs w:val="10"/>
                <w:color w:val="auto"/>
              </w:rPr>
            </w:pPr>
          </w:p>
        </w:tc>
        <w:tc>
          <w:tcPr>
            <w:tcW w:w="1220" w:type="dxa"/>
            <w:vAlign w:val="bottom"/>
            <w:tcBorders>
              <w:bottom w:val="single" w:sz="8" w:color="959595"/>
            </w:tcBorders>
          </w:tcPr>
          <w:p>
            <w:pPr>
              <w:spacing w:after="0"/>
              <w:rPr>
                <w:sz w:val="10"/>
                <w:szCs w:val="10"/>
                <w:color w:val="auto"/>
              </w:rPr>
            </w:pPr>
          </w:p>
        </w:tc>
        <w:tc>
          <w:tcPr>
            <w:tcW w:w="1980" w:type="dxa"/>
            <w:vAlign w:val="bottom"/>
            <w:tcBorders>
              <w:bottom w:val="single" w:sz="8" w:color="959595"/>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186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rPr>
              <w:t>50th</w:t>
            </w:r>
          </w:p>
        </w:tc>
        <w:tc>
          <w:tcPr>
            <w:tcW w:w="1760" w:type="dxa"/>
            <w:vAlign w:val="bottom"/>
            <w:tcBorders>
              <w:bottom w:val="single" w:sz="8" w:color="959595"/>
            </w:tcBorders>
            <w:gridSpan w:val="2"/>
          </w:tcPr>
          <w:p>
            <w:pPr>
              <w:jc w:val="center"/>
              <w:spacing w:after="0"/>
              <w:rPr>
                <w:sz w:val="20"/>
                <w:szCs w:val="20"/>
                <w:color w:val="auto"/>
              </w:rPr>
            </w:pPr>
            <w:r>
              <w:rPr>
                <w:rFonts w:ascii="Arial" w:cs="Arial" w:eastAsia="Arial" w:hAnsi="Arial"/>
                <w:sz w:val="14"/>
                <w:szCs w:val="14"/>
                <w:color w:val="auto"/>
              </w:rPr>
              <w:t>100% (Target)</w:t>
            </w:r>
          </w:p>
        </w:tc>
        <w:tc>
          <w:tcPr>
            <w:tcW w:w="480" w:type="dxa"/>
            <w:vAlign w:val="bottom"/>
          </w:tcPr>
          <w:p>
            <w:pPr>
              <w:spacing w:after="0"/>
              <w:rPr>
                <w:sz w:val="16"/>
                <w:szCs w:val="16"/>
                <w:color w:val="auto"/>
              </w:rPr>
            </w:pPr>
          </w:p>
        </w:tc>
        <w:tc>
          <w:tcPr>
            <w:tcW w:w="1680" w:type="dxa"/>
            <w:vAlign w:val="bottom"/>
            <w:vMerge w:val="restart"/>
          </w:tcPr>
          <w:p>
            <w:pPr>
              <w:jc w:val="center"/>
              <w:ind w:left="52"/>
              <w:spacing w:after="0"/>
              <w:rPr>
                <w:sz w:val="20"/>
                <w:szCs w:val="20"/>
                <w:color w:val="auto"/>
              </w:rPr>
            </w:pPr>
            <w:r>
              <w:rPr>
                <w:rFonts w:ascii="Arial" w:cs="Arial" w:eastAsia="Arial" w:hAnsi="Arial"/>
                <w:sz w:val="14"/>
                <w:szCs w:val="14"/>
                <w:color w:val="auto"/>
                <w:w w:val="99"/>
              </w:rPr>
              <w:t>Plan</w:t>
            </w:r>
          </w:p>
        </w:tc>
        <w:tc>
          <w:tcPr>
            <w:tcW w:w="1580" w:type="dxa"/>
            <w:vAlign w:val="bottom"/>
            <w:vMerge w:val="restart"/>
          </w:tcPr>
          <w:p>
            <w:pPr>
              <w:jc w:val="center"/>
              <w:ind w:left="31"/>
              <w:spacing w:after="0"/>
              <w:rPr>
                <w:sz w:val="20"/>
                <w:szCs w:val="20"/>
                <w:color w:val="auto"/>
              </w:rPr>
            </w:pPr>
            <w:r>
              <w:rPr>
                <w:rFonts w:ascii="Arial" w:cs="Arial" w:eastAsia="Arial" w:hAnsi="Arial"/>
                <w:sz w:val="14"/>
                <w:szCs w:val="14"/>
                <w:color w:val="auto"/>
              </w:rPr>
              <w:t>100%</w:t>
            </w:r>
          </w:p>
        </w:tc>
        <w:tc>
          <w:tcPr>
            <w:tcW w:w="480" w:type="dxa"/>
            <w:vAlign w:val="bottom"/>
          </w:tcPr>
          <w:p>
            <w:pPr>
              <w:spacing w:after="0"/>
              <w:rPr>
                <w:sz w:val="16"/>
                <w:szCs w:val="16"/>
                <w:color w:val="auto"/>
              </w:rPr>
            </w:pPr>
          </w:p>
        </w:tc>
        <w:tc>
          <w:tcPr>
            <w:tcW w:w="1220" w:type="dxa"/>
            <w:vAlign w:val="bottom"/>
            <w:vMerge w:val="restart"/>
          </w:tcPr>
          <w:p>
            <w:pPr>
              <w:jc w:val="center"/>
              <w:ind w:left="431"/>
              <w:spacing w:after="0"/>
              <w:rPr>
                <w:sz w:val="20"/>
                <w:szCs w:val="20"/>
                <w:color w:val="auto"/>
              </w:rPr>
            </w:pPr>
            <w:r>
              <w:rPr>
                <w:rFonts w:ascii="Arial" w:cs="Arial" w:eastAsia="Arial" w:hAnsi="Arial"/>
                <w:sz w:val="14"/>
                <w:szCs w:val="14"/>
                <w:color w:val="auto"/>
                <w:w w:val="99"/>
              </w:rPr>
              <w:t>Plan</w:t>
            </w:r>
          </w:p>
        </w:tc>
        <w:tc>
          <w:tcPr>
            <w:tcW w:w="1980" w:type="dxa"/>
            <w:vAlign w:val="bottom"/>
            <w:vMerge w:val="restart"/>
          </w:tcPr>
          <w:p>
            <w:pPr>
              <w:jc w:val="center"/>
              <w:ind w:left="431"/>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00" w:type="dxa"/>
            <w:vAlign w:val="bottom"/>
          </w:tcPr>
          <w:p>
            <w:pPr>
              <w:spacing w:after="0"/>
              <w:rPr>
                <w:sz w:val="6"/>
                <w:szCs w:val="6"/>
                <w:color w:val="auto"/>
              </w:rPr>
            </w:pPr>
          </w:p>
        </w:tc>
        <w:tc>
          <w:tcPr>
            <w:tcW w:w="1860" w:type="dxa"/>
            <w:vAlign w:val="bottom"/>
            <w:vMerge w:val="restart"/>
          </w:tcPr>
          <w:p>
            <w:pPr>
              <w:jc w:val="center"/>
              <w:spacing w:after="0"/>
              <w:rPr>
                <w:sz w:val="20"/>
                <w:szCs w:val="20"/>
                <w:color w:val="auto"/>
              </w:rPr>
            </w:pPr>
            <w:r>
              <w:rPr>
                <w:rFonts w:ascii="Arial" w:cs="Arial" w:eastAsia="Arial" w:hAnsi="Arial"/>
                <w:sz w:val="14"/>
                <w:szCs w:val="14"/>
                <w:color w:val="auto"/>
              </w:rPr>
              <w:t>40th</w:t>
            </w:r>
          </w:p>
        </w:tc>
        <w:tc>
          <w:tcPr>
            <w:tcW w:w="520" w:type="dxa"/>
            <w:vAlign w:val="bottom"/>
          </w:tcPr>
          <w:p>
            <w:pPr>
              <w:spacing w:after="0"/>
              <w:rPr>
                <w:sz w:val="6"/>
                <w:szCs w:val="6"/>
                <w:color w:val="auto"/>
              </w:rPr>
            </w:pPr>
          </w:p>
        </w:tc>
        <w:tc>
          <w:tcPr>
            <w:tcW w:w="1240" w:type="dxa"/>
            <w:vAlign w:val="bottom"/>
            <w:vMerge w:val="restart"/>
          </w:tcPr>
          <w:p>
            <w:pPr>
              <w:jc w:val="center"/>
              <w:ind w:right="370"/>
              <w:spacing w:after="0"/>
              <w:rPr>
                <w:sz w:val="20"/>
                <w:szCs w:val="20"/>
                <w:color w:val="auto"/>
              </w:rPr>
            </w:pPr>
            <w:r>
              <w:rPr>
                <w:rFonts w:ascii="Arial" w:cs="Arial" w:eastAsia="Arial" w:hAnsi="Arial"/>
                <w:sz w:val="14"/>
                <w:szCs w:val="14"/>
                <w:color w:val="auto"/>
                <w:w w:val="99"/>
              </w:rPr>
              <w:t>50%</w:t>
            </w:r>
          </w:p>
        </w:tc>
        <w:tc>
          <w:tcPr>
            <w:tcW w:w="48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15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1860" w:type="dxa"/>
            <w:vAlign w:val="bottom"/>
            <w:tcBorders>
              <w:bottom w:val="single" w:sz="8" w:color="959595"/>
            </w:tcBorders>
            <w:vMerge w:val="continue"/>
          </w:tcPr>
          <w:p>
            <w:pPr>
              <w:spacing w:after="0"/>
              <w:rPr>
                <w:sz w:val="10"/>
                <w:szCs w:val="10"/>
                <w:color w:val="auto"/>
              </w:rPr>
            </w:pPr>
          </w:p>
        </w:tc>
        <w:tc>
          <w:tcPr>
            <w:tcW w:w="520" w:type="dxa"/>
            <w:vAlign w:val="bottom"/>
            <w:tcBorders>
              <w:bottom w:val="single" w:sz="8" w:color="959595"/>
            </w:tcBorders>
          </w:tcPr>
          <w:p>
            <w:pPr>
              <w:spacing w:after="0"/>
              <w:rPr>
                <w:sz w:val="10"/>
                <w:szCs w:val="10"/>
                <w:color w:val="auto"/>
              </w:rPr>
            </w:pPr>
          </w:p>
        </w:tc>
        <w:tc>
          <w:tcPr>
            <w:tcW w:w="1240" w:type="dxa"/>
            <w:vAlign w:val="bottom"/>
            <w:tcBorders>
              <w:bottom w:val="single" w:sz="8" w:color="959595"/>
            </w:tcBorders>
            <w:vMerge w:val="continue"/>
          </w:tcPr>
          <w:p>
            <w:pPr>
              <w:spacing w:after="0"/>
              <w:rPr>
                <w:sz w:val="10"/>
                <w:szCs w:val="10"/>
                <w:color w:val="auto"/>
              </w:rPr>
            </w:pPr>
          </w:p>
        </w:tc>
        <w:tc>
          <w:tcPr>
            <w:tcW w:w="480" w:type="dxa"/>
            <w:vAlign w:val="bottom"/>
          </w:tcPr>
          <w:p>
            <w:pPr>
              <w:spacing w:after="0"/>
              <w:rPr>
                <w:sz w:val="10"/>
                <w:szCs w:val="10"/>
                <w:color w:val="auto"/>
              </w:rPr>
            </w:pPr>
          </w:p>
        </w:tc>
        <w:tc>
          <w:tcPr>
            <w:tcW w:w="1680" w:type="dxa"/>
            <w:vAlign w:val="bottom"/>
            <w:tcBorders>
              <w:bottom w:val="single" w:sz="8" w:color="959595"/>
            </w:tcBorders>
          </w:tcPr>
          <w:p>
            <w:pPr>
              <w:spacing w:after="0"/>
              <w:rPr>
                <w:sz w:val="10"/>
                <w:szCs w:val="10"/>
                <w:color w:val="auto"/>
              </w:rPr>
            </w:pPr>
          </w:p>
        </w:tc>
        <w:tc>
          <w:tcPr>
            <w:tcW w:w="1580" w:type="dxa"/>
            <w:vAlign w:val="bottom"/>
            <w:tcBorders>
              <w:bottom w:val="single" w:sz="8" w:color="959595"/>
            </w:tcBorders>
          </w:tcPr>
          <w:p>
            <w:pPr>
              <w:spacing w:after="0"/>
              <w:rPr>
                <w:sz w:val="10"/>
                <w:szCs w:val="10"/>
                <w:color w:val="auto"/>
              </w:rPr>
            </w:pPr>
          </w:p>
        </w:tc>
        <w:tc>
          <w:tcPr>
            <w:tcW w:w="480" w:type="dxa"/>
            <w:vAlign w:val="bottom"/>
          </w:tcPr>
          <w:p>
            <w:pPr>
              <w:spacing w:after="0"/>
              <w:rPr>
                <w:sz w:val="10"/>
                <w:szCs w:val="10"/>
                <w:color w:val="auto"/>
              </w:rPr>
            </w:pPr>
          </w:p>
        </w:tc>
        <w:tc>
          <w:tcPr>
            <w:tcW w:w="1220" w:type="dxa"/>
            <w:vAlign w:val="bottom"/>
            <w:tcBorders>
              <w:bottom w:val="single" w:sz="8" w:color="959595"/>
            </w:tcBorders>
          </w:tcPr>
          <w:p>
            <w:pPr>
              <w:spacing w:after="0"/>
              <w:rPr>
                <w:sz w:val="10"/>
                <w:szCs w:val="10"/>
                <w:color w:val="auto"/>
              </w:rPr>
            </w:pPr>
          </w:p>
        </w:tc>
        <w:tc>
          <w:tcPr>
            <w:tcW w:w="1980" w:type="dxa"/>
            <w:vAlign w:val="bottom"/>
            <w:tcBorders>
              <w:bottom w:val="single" w:sz="8" w:color="959595"/>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5"/>
        </w:trPr>
        <w:tc>
          <w:tcPr>
            <w:tcW w:w="100" w:type="dxa"/>
            <w:vAlign w:val="bottom"/>
          </w:tcPr>
          <w:p>
            <w:pPr>
              <w:spacing w:after="0"/>
              <w:rPr>
                <w:sz w:val="16"/>
                <w:szCs w:val="16"/>
                <w:color w:val="auto"/>
              </w:rPr>
            </w:pPr>
          </w:p>
        </w:tc>
        <w:tc>
          <w:tcPr>
            <w:tcW w:w="186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rPr>
              <w:t>35th</w:t>
            </w:r>
          </w:p>
        </w:tc>
        <w:tc>
          <w:tcPr>
            <w:tcW w:w="520" w:type="dxa"/>
            <w:vAlign w:val="bottom"/>
            <w:tcBorders>
              <w:bottom w:val="single" w:sz="8" w:color="959595"/>
            </w:tcBorders>
          </w:tcPr>
          <w:p>
            <w:pPr>
              <w:spacing w:after="0"/>
              <w:rPr>
                <w:sz w:val="16"/>
                <w:szCs w:val="16"/>
                <w:color w:val="auto"/>
              </w:rPr>
            </w:pPr>
          </w:p>
        </w:tc>
        <w:tc>
          <w:tcPr>
            <w:tcW w:w="1240" w:type="dxa"/>
            <w:vAlign w:val="bottom"/>
            <w:tcBorders>
              <w:bottom w:val="single" w:sz="8" w:color="959595"/>
            </w:tcBorders>
          </w:tcPr>
          <w:p>
            <w:pPr>
              <w:jc w:val="center"/>
              <w:ind w:right="370"/>
              <w:spacing w:after="0"/>
              <w:rPr>
                <w:sz w:val="20"/>
                <w:szCs w:val="20"/>
                <w:color w:val="auto"/>
              </w:rPr>
            </w:pPr>
            <w:r>
              <w:rPr>
                <w:rFonts w:ascii="Arial" w:cs="Arial" w:eastAsia="Arial" w:hAnsi="Arial"/>
                <w:sz w:val="14"/>
                <w:szCs w:val="14"/>
                <w:color w:val="auto"/>
                <w:w w:val="99"/>
              </w:rPr>
              <w:t>25%</w:t>
            </w:r>
          </w:p>
        </w:tc>
        <w:tc>
          <w:tcPr>
            <w:tcW w:w="4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80" w:type="dxa"/>
            <w:vAlign w:val="bottom"/>
            <w:vMerge w:val="restart"/>
          </w:tcPr>
          <w:p>
            <w:pPr>
              <w:jc w:val="center"/>
              <w:ind w:left="31"/>
              <w:spacing w:after="0"/>
              <w:rPr>
                <w:sz w:val="20"/>
                <w:szCs w:val="20"/>
                <w:color w:val="auto"/>
              </w:rPr>
            </w:pPr>
            <w:r>
              <w:rPr>
                <w:rFonts w:ascii="Arial" w:cs="Arial" w:eastAsia="Arial" w:hAnsi="Arial"/>
                <w:sz w:val="14"/>
                <w:szCs w:val="14"/>
                <w:color w:val="auto"/>
                <w:w w:val="99"/>
              </w:rPr>
              <w:t>25%</w:t>
            </w:r>
          </w:p>
        </w:tc>
        <w:tc>
          <w:tcPr>
            <w:tcW w:w="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980" w:type="dxa"/>
            <w:vAlign w:val="bottom"/>
            <w:vMerge w:val="restart"/>
          </w:tcPr>
          <w:p>
            <w:pPr>
              <w:jc w:val="center"/>
              <w:ind w:left="431"/>
              <w:spacing w:after="0"/>
              <w:rPr>
                <w:sz w:val="20"/>
                <w:szCs w:val="20"/>
                <w:color w:val="auto"/>
              </w:rPr>
            </w:pPr>
            <w:r>
              <w:rPr>
                <w:rFonts w:ascii="Arial" w:cs="Arial" w:eastAsia="Arial" w:hAnsi="Arial"/>
                <w:sz w:val="14"/>
                <w:szCs w:val="14"/>
                <w:color w:val="auto"/>
                <w:w w:val="99"/>
              </w:rPr>
              <w:t>25%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6"/>
        </w:trPr>
        <w:tc>
          <w:tcPr>
            <w:tcW w:w="100" w:type="dxa"/>
            <w:vAlign w:val="bottom"/>
          </w:tcPr>
          <w:p>
            <w:pPr>
              <w:spacing w:after="0"/>
              <w:rPr>
                <w:sz w:val="6"/>
                <w:szCs w:val="6"/>
                <w:color w:val="auto"/>
              </w:rPr>
            </w:pPr>
          </w:p>
        </w:tc>
        <w:tc>
          <w:tcPr>
            <w:tcW w:w="1860" w:type="dxa"/>
            <w:vAlign w:val="bottom"/>
            <w:vMerge w:val="restart"/>
          </w:tcPr>
          <w:p>
            <w:pPr>
              <w:jc w:val="center"/>
              <w:ind w:left="11"/>
              <w:spacing w:after="0"/>
              <w:rPr>
                <w:sz w:val="20"/>
                <w:szCs w:val="20"/>
                <w:color w:val="auto"/>
              </w:rPr>
            </w:pPr>
            <w:r>
              <w:rPr>
                <w:rFonts w:ascii="Arial" w:cs="Arial" w:eastAsia="Arial" w:hAnsi="Arial"/>
                <w:sz w:val="14"/>
                <w:szCs w:val="14"/>
                <w:color w:val="auto"/>
              </w:rPr>
              <w:t>&lt; 35th</w:t>
            </w:r>
          </w:p>
        </w:tc>
        <w:tc>
          <w:tcPr>
            <w:tcW w:w="520" w:type="dxa"/>
            <w:vAlign w:val="bottom"/>
          </w:tcPr>
          <w:p>
            <w:pPr>
              <w:spacing w:after="0"/>
              <w:rPr>
                <w:sz w:val="6"/>
                <w:szCs w:val="6"/>
                <w:color w:val="auto"/>
              </w:rPr>
            </w:pPr>
          </w:p>
        </w:tc>
        <w:tc>
          <w:tcPr>
            <w:tcW w:w="1240" w:type="dxa"/>
            <w:vAlign w:val="bottom"/>
            <w:vMerge w:val="restart"/>
          </w:tcPr>
          <w:p>
            <w:pPr>
              <w:jc w:val="center"/>
              <w:ind w:right="370"/>
              <w:spacing w:after="0"/>
              <w:rPr>
                <w:sz w:val="20"/>
                <w:szCs w:val="20"/>
                <w:color w:val="auto"/>
              </w:rPr>
            </w:pPr>
            <w:r>
              <w:rPr>
                <w:rFonts w:ascii="Arial" w:cs="Arial" w:eastAsia="Arial" w:hAnsi="Arial"/>
                <w:sz w:val="14"/>
                <w:szCs w:val="14"/>
                <w:color w:val="auto"/>
                <w:w w:val="98"/>
              </w:rPr>
              <w:t>0%</w:t>
            </w:r>
          </w:p>
        </w:tc>
        <w:tc>
          <w:tcPr>
            <w:tcW w:w="480" w:type="dxa"/>
            <w:vAlign w:val="bottom"/>
          </w:tcPr>
          <w:p>
            <w:pPr>
              <w:spacing w:after="0"/>
              <w:rPr>
                <w:sz w:val="6"/>
                <w:szCs w:val="6"/>
                <w:color w:val="auto"/>
              </w:rPr>
            </w:pPr>
          </w:p>
        </w:tc>
        <w:tc>
          <w:tcPr>
            <w:tcW w:w="1680" w:type="dxa"/>
            <w:vAlign w:val="bottom"/>
            <w:vMerge w:val="restart"/>
          </w:tcPr>
          <w:p>
            <w:pPr>
              <w:jc w:val="center"/>
              <w:ind w:left="32"/>
              <w:spacing w:after="0"/>
              <w:rPr>
                <w:sz w:val="20"/>
                <w:szCs w:val="20"/>
                <w:color w:val="auto"/>
              </w:rPr>
            </w:pPr>
            <w:r>
              <w:rPr>
                <w:rFonts w:ascii="Arial" w:cs="Arial" w:eastAsia="Arial" w:hAnsi="Arial"/>
                <w:sz w:val="14"/>
                <w:szCs w:val="14"/>
                <w:color w:val="auto"/>
              </w:rPr>
              <w:t>Plan -15%</w:t>
            </w:r>
          </w:p>
        </w:tc>
        <w:tc>
          <w:tcPr>
            <w:tcW w:w="15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1220" w:type="dxa"/>
            <w:vAlign w:val="bottom"/>
            <w:vMerge w:val="restart"/>
          </w:tcPr>
          <w:p>
            <w:pPr>
              <w:jc w:val="center"/>
              <w:ind w:left="411"/>
              <w:spacing w:after="0"/>
              <w:rPr>
                <w:sz w:val="20"/>
                <w:szCs w:val="20"/>
                <w:color w:val="auto"/>
              </w:rPr>
            </w:pPr>
            <w:r>
              <w:rPr>
                <w:rFonts w:ascii="Arial" w:cs="Arial" w:eastAsia="Arial" w:hAnsi="Arial"/>
                <w:sz w:val="14"/>
                <w:szCs w:val="14"/>
                <w:color w:val="auto"/>
              </w:rPr>
              <w:t>Plan -10%</w:t>
            </w:r>
          </w:p>
        </w:tc>
        <w:tc>
          <w:tcPr>
            <w:tcW w:w="19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100" w:type="dxa"/>
            <w:vAlign w:val="bottom"/>
          </w:tcPr>
          <w:p>
            <w:pPr>
              <w:spacing w:after="0"/>
              <w:rPr>
                <w:sz w:val="10"/>
                <w:szCs w:val="10"/>
                <w:color w:val="auto"/>
              </w:rPr>
            </w:pPr>
          </w:p>
        </w:tc>
        <w:tc>
          <w:tcPr>
            <w:tcW w:w="1860" w:type="dxa"/>
            <w:vAlign w:val="bottom"/>
            <w:tcBorders>
              <w:bottom w:val="single" w:sz="8" w:color="959595"/>
            </w:tcBorders>
            <w:vMerge w:val="continue"/>
          </w:tcPr>
          <w:p>
            <w:pPr>
              <w:spacing w:after="0"/>
              <w:rPr>
                <w:sz w:val="10"/>
                <w:szCs w:val="10"/>
                <w:color w:val="auto"/>
              </w:rPr>
            </w:pPr>
          </w:p>
        </w:tc>
        <w:tc>
          <w:tcPr>
            <w:tcW w:w="520" w:type="dxa"/>
            <w:vAlign w:val="bottom"/>
            <w:tcBorders>
              <w:bottom w:val="single" w:sz="8" w:color="959595"/>
            </w:tcBorders>
          </w:tcPr>
          <w:p>
            <w:pPr>
              <w:spacing w:after="0"/>
              <w:rPr>
                <w:sz w:val="10"/>
                <w:szCs w:val="10"/>
                <w:color w:val="auto"/>
              </w:rPr>
            </w:pPr>
          </w:p>
        </w:tc>
        <w:tc>
          <w:tcPr>
            <w:tcW w:w="1240" w:type="dxa"/>
            <w:vAlign w:val="bottom"/>
            <w:tcBorders>
              <w:bottom w:val="single" w:sz="8" w:color="959595"/>
            </w:tcBorders>
            <w:vMerge w:val="continue"/>
          </w:tcPr>
          <w:p>
            <w:pPr>
              <w:spacing w:after="0"/>
              <w:rPr>
                <w:sz w:val="10"/>
                <w:szCs w:val="10"/>
                <w:color w:val="auto"/>
              </w:rPr>
            </w:pPr>
          </w:p>
        </w:tc>
        <w:tc>
          <w:tcPr>
            <w:tcW w:w="480" w:type="dxa"/>
            <w:vAlign w:val="bottom"/>
          </w:tcPr>
          <w:p>
            <w:pPr>
              <w:spacing w:after="0"/>
              <w:rPr>
                <w:sz w:val="10"/>
                <w:szCs w:val="10"/>
                <w:color w:val="auto"/>
              </w:rPr>
            </w:pPr>
          </w:p>
        </w:tc>
        <w:tc>
          <w:tcPr>
            <w:tcW w:w="1680" w:type="dxa"/>
            <w:vAlign w:val="bottom"/>
            <w:tcBorders>
              <w:bottom w:val="single" w:sz="8" w:color="959595"/>
            </w:tcBorders>
            <w:vMerge w:val="continue"/>
          </w:tcPr>
          <w:p>
            <w:pPr>
              <w:spacing w:after="0"/>
              <w:rPr>
                <w:sz w:val="10"/>
                <w:szCs w:val="10"/>
                <w:color w:val="auto"/>
              </w:rPr>
            </w:pPr>
          </w:p>
        </w:tc>
        <w:tc>
          <w:tcPr>
            <w:tcW w:w="1580" w:type="dxa"/>
            <w:vAlign w:val="bottom"/>
            <w:tcBorders>
              <w:bottom w:val="single" w:sz="8" w:color="959595"/>
            </w:tcBorders>
          </w:tcPr>
          <w:p>
            <w:pPr>
              <w:spacing w:after="0"/>
              <w:rPr>
                <w:sz w:val="10"/>
                <w:szCs w:val="10"/>
                <w:color w:val="auto"/>
              </w:rPr>
            </w:pPr>
          </w:p>
        </w:tc>
        <w:tc>
          <w:tcPr>
            <w:tcW w:w="480" w:type="dxa"/>
            <w:vAlign w:val="bottom"/>
          </w:tcPr>
          <w:p>
            <w:pPr>
              <w:spacing w:after="0"/>
              <w:rPr>
                <w:sz w:val="10"/>
                <w:szCs w:val="10"/>
                <w:color w:val="auto"/>
              </w:rPr>
            </w:pPr>
          </w:p>
        </w:tc>
        <w:tc>
          <w:tcPr>
            <w:tcW w:w="1220" w:type="dxa"/>
            <w:vAlign w:val="bottom"/>
            <w:tcBorders>
              <w:bottom w:val="single" w:sz="8" w:color="959595"/>
            </w:tcBorders>
            <w:vMerge w:val="continue"/>
          </w:tcPr>
          <w:p>
            <w:pPr>
              <w:spacing w:after="0"/>
              <w:rPr>
                <w:sz w:val="10"/>
                <w:szCs w:val="10"/>
                <w:color w:val="auto"/>
              </w:rPr>
            </w:pPr>
          </w:p>
        </w:tc>
        <w:tc>
          <w:tcPr>
            <w:tcW w:w="1980" w:type="dxa"/>
            <w:vAlign w:val="bottom"/>
            <w:tcBorders>
              <w:bottom w:val="single" w:sz="8" w:color="959595"/>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40" w:right="300" w:hanging="233"/>
        <w:spacing w:after="0" w:line="276" w:lineRule="auto"/>
        <w:tabs>
          <w:tab w:leader="none" w:pos="213" w:val="left"/>
        </w:tabs>
        <w:numPr>
          <w:ilvl w:val="0"/>
          <w:numId w:val="86"/>
        </w:numPr>
        <w:rPr>
          <w:rFonts w:ascii="Arial" w:cs="Arial" w:eastAsia="Arial" w:hAnsi="Arial"/>
          <w:sz w:val="14"/>
          <w:szCs w:val="14"/>
          <w:color w:val="auto"/>
        </w:rPr>
      </w:pPr>
      <w:r>
        <w:rPr>
          <w:rFonts w:ascii="Arial" w:cs="Arial" w:eastAsia="Arial" w:hAnsi="Arial"/>
          <w:sz w:val="14"/>
          <w:szCs w:val="14"/>
          <w:color w:val="auto"/>
        </w:rPr>
        <w:t>2021-2023 Relative TSR performance is measured against our peers in the S&amp;P GICS 2010 - Capital Goods, US-Indexed &amp; with a revenue &gt;$10B and market cap &gt;$5B, totaling 27 peers (See page 49 for Relative TSR Comparators).</w:t>
      </w:r>
    </w:p>
    <w:p>
      <w:pPr>
        <w:spacing w:after="0" w:line="78" w:lineRule="exact"/>
        <w:rPr>
          <w:sz w:val="20"/>
          <w:szCs w:val="20"/>
          <w:color w:val="auto"/>
        </w:rPr>
      </w:pPr>
    </w:p>
    <w:p>
      <w:pPr>
        <w:spacing w:after="0"/>
        <w:rPr>
          <w:sz w:val="20"/>
          <w:szCs w:val="20"/>
          <w:color w:val="auto"/>
        </w:rPr>
      </w:pPr>
      <w:r>
        <w:rPr>
          <w:rFonts w:ascii="Arial" w:cs="Arial" w:eastAsia="Arial" w:hAnsi="Arial"/>
          <w:sz w:val="20"/>
          <w:szCs w:val="20"/>
          <w:color w:val="003478"/>
        </w:rPr>
        <w:t>2019-2021 LTIP and PSU Awards</w:t>
      </w:r>
    </w:p>
    <w:p>
      <w:pPr>
        <w:spacing w:after="0" w:line="117"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The cash-based LTIP and share-based PSU payouts for the three-year performance period ended December 31, 2021 shown below were calculated by comparing actual corporate performance for each metric for the period January 1, 2019 through December 31, 2021, against a table of payment levels from 0% to 200% (with the 100% payout level being considered target) established at the beginning of the performance period in February 2019. Except as discussed above in relation to government stimulus and assistance programs enacted in response to COVID-19, we have not made any modifications to our compensation programs or to our targets or goals, in response to COVID-19 or the CARES Act.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20" w:type="dxa"/>
            <w:vAlign w:val="bottom"/>
            <w:tcBorders>
              <w:bottom w:val="single" w:sz="8" w:color="E4E6EF"/>
            </w:tcBorders>
            <w:shd w:val="clear" w:color="auto" w:fill="E4E6EF"/>
          </w:tcPr>
          <w:p>
            <w:pPr>
              <w:ind w:left="20"/>
              <w:spacing w:after="0"/>
              <w:rPr>
                <w:sz w:val="20"/>
                <w:szCs w:val="20"/>
                <w:color w:val="auto"/>
              </w:rPr>
            </w:pPr>
            <w:r>
              <w:rPr>
                <w:rFonts w:ascii="Arial" w:cs="Arial" w:eastAsia="Arial" w:hAnsi="Arial"/>
                <w:sz w:val="13"/>
                <w:szCs w:val="13"/>
                <w:color w:val="auto"/>
              </w:rPr>
              <w:t>Measure</w:t>
            </w:r>
          </w:p>
        </w:tc>
        <w:tc>
          <w:tcPr>
            <w:tcW w:w="1560" w:type="dxa"/>
            <w:vAlign w:val="bottom"/>
            <w:tcBorders>
              <w:bottom w:val="single" w:sz="8" w:color="E4E6EF"/>
            </w:tcBorders>
            <w:shd w:val="clear" w:color="auto" w:fill="E4E6EF"/>
          </w:tcPr>
          <w:p>
            <w:pPr>
              <w:jc w:val="center"/>
              <w:spacing w:after="0"/>
              <w:rPr>
                <w:sz w:val="20"/>
                <w:szCs w:val="20"/>
                <w:color w:val="auto"/>
              </w:rPr>
            </w:pPr>
            <w:r>
              <w:rPr>
                <w:rFonts w:ascii="Arial" w:cs="Arial" w:eastAsia="Arial" w:hAnsi="Arial"/>
                <w:sz w:val="13"/>
                <w:szCs w:val="13"/>
                <w:color w:val="auto"/>
                <w:w w:val="95"/>
              </w:rPr>
              <w:t>Performance Target</w:t>
            </w:r>
          </w:p>
        </w:tc>
        <w:tc>
          <w:tcPr>
            <w:tcW w:w="1660" w:type="dxa"/>
            <w:vAlign w:val="bottom"/>
            <w:tcBorders>
              <w:bottom w:val="single" w:sz="8" w:color="E4E6EF"/>
            </w:tcBorders>
            <w:shd w:val="clear" w:color="auto" w:fill="E4E6EF"/>
          </w:tcPr>
          <w:p>
            <w:pPr>
              <w:jc w:val="center"/>
              <w:ind w:right="11"/>
              <w:spacing w:after="0"/>
              <w:rPr>
                <w:sz w:val="20"/>
                <w:szCs w:val="20"/>
                <w:color w:val="auto"/>
              </w:rPr>
            </w:pPr>
            <w:r>
              <w:rPr>
                <w:rFonts w:ascii="Arial" w:cs="Arial" w:eastAsia="Arial" w:hAnsi="Arial"/>
                <w:sz w:val="13"/>
                <w:szCs w:val="13"/>
                <w:color w:val="auto"/>
                <w:w w:val="95"/>
              </w:rPr>
              <w:t>Performance Result</w:t>
            </w:r>
          </w:p>
        </w:tc>
        <w:tc>
          <w:tcPr>
            <w:tcW w:w="1200" w:type="dxa"/>
            <w:vAlign w:val="bottom"/>
            <w:tcBorders>
              <w:bottom w:val="single" w:sz="8" w:color="E4E6EF"/>
            </w:tcBorders>
            <w:shd w:val="clear" w:color="auto" w:fill="E4E6EF"/>
          </w:tcPr>
          <w:p>
            <w:pPr>
              <w:jc w:val="center"/>
              <w:spacing w:after="0"/>
              <w:rPr>
                <w:sz w:val="20"/>
                <w:szCs w:val="20"/>
                <w:color w:val="auto"/>
              </w:rPr>
            </w:pPr>
            <w:r>
              <w:rPr>
                <w:rFonts w:ascii="Arial" w:cs="Arial" w:eastAsia="Arial" w:hAnsi="Arial"/>
                <w:sz w:val="13"/>
                <w:szCs w:val="13"/>
                <w:color w:val="auto"/>
                <w:w w:val="96"/>
              </w:rPr>
              <w:t>Weighting</w:t>
            </w:r>
          </w:p>
        </w:tc>
        <w:tc>
          <w:tcPr>
            <w:tcW w:w="1400" w:type="dxa"/>
            <w:vAlign w:val="bottom"/>
            <w:tcBorders>
              <w:bottom w:val="single" w:sz="8" w:color="E4E6EF"/>
            </w:tcBorders>
            <w:shd w:val="clear" w:color="auto" w:fill="E4E6EF"/>
          </w:tcPr>
          <w:p>
            <w:pPr>
              <w:jc w:val="center"/>
              <w:spacing w:after="0"/>
              <w:rPr>
                <w:sz w:val="20"/>
                <w:szCs w:val="20"/>
                <w:color w:val="auto"/>
              </w:rPr>
            </w:pPr>
            <w:r>
              <w:rPr>
                <w:rFonts w:ascii="Arial" w:cs="Arial" w:eastAsia="Arial" w:hAnsi="Arial"/>
                <w:sz w:val="13"/>
                <w:szCs w:val="13"/>
                <w:color w:val="auto"/>
                <w:w w:val="96"/>
              </w:rPr>
              <w:t>Payout Factor</w:t>
            </w:r>
          </w:p>
        </w:tc>
      </w:tr>
      <w:tr>
        <w:trPr>
          <w:trHeight w:val="182"/>
        </w:trPr>
        <w:tc>
          <w:tcPr>
            <w:tcW w:w="5420" w:type="dxa"/>
            <w:vAlign w:val="bottom"/>
            <w:tcBorders>
              <w:top w:val="single" w:sz="8" w:color="003478"/>
              <w:bottom w:val="single" w:sz="8" w:color="959595"/>
            </w:tcBorders>
          </w:tcPr>
          <w:p>
            <w:pPr>
              <w:ind w:left="20"/>
              <w:spacing w:after="0"/>
              <w:rPr>
                <w:sz w:val="20"/>
                <w:szCs w:val="20"/>
                <w:color w:val="auto"/>
              </w:rPr>
            </w:pPr>
            <w:r>
              <w:rPr>
                <w:rFonts w:ascii="Arial" w:cs="Arial" w:eastAsia="Arial" w:hAnsi="Arial"/>
                <w:sz w:val="14"/>
                <w:szCs w:val="14"/>
                <w:color w:val="auto"/>
              </w:rPr>
              <w:t>Relative TSR</w:t>
            </w:r>
          </w:p>
        </w:tc>
        <w:tc>
          <w:tcPr>
            <w:tcW w:w="1560" w:type="dxa"/>
            <w:vAlign w:val="bottom"/>
            <w:tcBorders>
              <w:top w:val="single" w:sz="8" w:color="003478"/>
              <w:bottom w:val="single" w:sz="8" w:color="959595"/>
            </w:tcBorders>
          </w:tcPr>
          <w:p>
            <w:pPr>
              <w:jc w:val="center"/>
              <w:spacing w:after="0" w:line="182" w:lineRule="exact"/>
              <w:rPr>
                <w:sz w:val="20"/>
                <w:szCs w:val="20"/>
                <w:color w:val="auto"/>
              </w:rPr>
            </w:pPr>
            <w:r>
              <w:rPr>
                <w:rFonts w:ascii="Arial" w:cs="Arial" w:eastAsia="Arial" w:hAnsi="Arial"/>
                <w:sz w:val="14"/>
                <w:szCs w:val="14"/>
                <w:color w:val="auto"/>
                <w:w w:val="98"/>
              </w:rPr>
              <w:t>50</w:t>
            </w:r>
            <w:r>
              <w:rPr>
                <w:rFonts w:ascii="Arial" w:cs="Arial" w:eastAsia="Arial" w:hAnsi="Arial"/>
                <w:sz w:val="18"/>
                <w:szCs w:val="18"/>
                <w:color w:val="auto"/>
                <w:w w:val="98"/>
                <w:vertAlign w:val="superscript"/>
              </w:rPr>
              <w:t>th</w:t>
            </w:r>
            <w:r>
              <w:rPr>
                <w:rFonts w:ascii="Arial" w:cs="Arial" w:eastAsia="Arial" w:hAnsi="Arial"/>
                <w:sz w:val="14"/>
                <w:szCs w:val="14"/>
                <w:color w:val="auto"/>
                <w:w w:val="98"/>
              </w:rPr>
              <w:t xml:space="preserve"> Percentile</w:t>
            </w:r>
          </w:p>
        </w:tc>
        <w:tc>
          <w:tcPr>
            <w:tcW w:w="1660" w:type="dxa"/>
            <w:vAlign w:val="bottom"/>
            <w:tcBorders>
              <w:top w:val="single" w:sz="8" w:color="003478"/>
              <w:bottom w:val="single" w:sz="8" w:color="959595"/>
            </w:tcBorders>
          </w:tcPr>
          <w:p>
            <w:pPr>
              <w:jc w:val="center"/>
              <w:ind w:right="11"/>
              <w:spacing w:after="0" w:line="182" w:lineRule="exact"/>
              <w:rPr>
                <w:sz w:val="20"/>
                <w:szCs w:val="20"/>
                <w:color w:val="auto"/>
              </w:rPr>
            </w:pPr>
            <w:r>
              <w:rPr>
                <w:rFonts w:ascii="Arial" w:cs="Arial" w:eastAsia="Arial" w:hAnsi="Arial"/>
                <w:sz w:val="14"/>
                <w:szCs w:val="14"/>
                <w:color w:val="auto"/>
                <w:w w:val="98"/>
              </w:rPr>
              <w:t>57</w:t>
            </w:r>
            <w:r>
              <w:rPr>
                <w:rFonts w:ascii="Arial" w:cs="Arial" w:eastAsia="Arial" w:hAnsi="Arial"/>
                <w:sz w:val="18"/>
                <w:szCs w:val="18"/>
                <w:color w:val="auto"/>
                <w:w w:val="98"/>
                <w:vertAlign w:val="superscript"/>
              </w:rPr>
              <w:t>th</w:t>
            </w:r>
            <w:r>
              <w:rPr>
                <w:rFonts w:ascii="Arial" w:cs="Arial" w:eastAsia="Arial" w:hAnsi="Arial"/>
                <w:sz w:val="14"/>
                <w:szCs w:val="14"/>
                <w:color w:val="auto"/>
                <w:w w:val="98"/>
              </w:rPr>
              <w:t xml:space="preserve"> Percentile</w:t>
            </w:r>
          </w:p>
        </w:tc>
        <w:tc>
          <w:tcPr>
            <w:tcW w:w="1200" w:type="dxa"/>
            <w:vAlign w:val="bottom"/>
            <w:tcBorders>
              <w:top w:val="single" w:sz="8" w:color="003478"/>
              <w:bottom w:val="single" w:sz="8" w:color="959595"/>
            </w:tcBorders>
          </w:tcPr>
          <w:p>
            <w:pPr>
              <w:jc w:val="center"/>
              <w:spacing w:after="0"/>
              <w:rPr>
                <w:sz w:val="20"/>
                <w:szCs w:val="20"/>
                <w:color w:val="auto"/>
              </w:rPr>
            </w:pPr>
            <w:r>
              <w:rPr>
                <w:rFonts w:ascii="Arial" w:cs="Arial" w:eastAsia="Arial" w:hAnsi="Arial"/>
                <w:sz w:val="14"/>
                <w:szCs w:val="14"/>
                <w:color w:val="auto"/>
                <w:w w:val="99"/>
              </w:rPr>
              <w:t>50%</w:t>
            </w:r>
          </w:p>
        </w:tc>
        <w:tc>
          <w:tcPr>
            <w:tcW w:w="1400" w:type="dxa"/>
            <w:vAlign w:val="bottom"/>
            <w:tcBorders>
              <w:top w:val="single" w:sz="8" w:color="003478"/>
              <w:bottom w:val="single" w:sz="8" w:color="959595"/>
            </w:tcBorders>
          </w:tcPr>
          <w:p>
            <w:pPr>
              <w:jc w:val="center"/>
              <w:spacing w:after="0"/>
              <w:rPr>
                <w:sz w:val="20"/>
                <w:szCs w:val="20"/>
                <w:color w:val="auto"/>
              </w:rPr>
            </w:pPr>
            <w:r>
              <w:rPr>
                <w:rFonts w:ascii="Arial" w:cs="Arial" w:eastAsia="Arial" w:hAnsi="Arial"/>
                <w:sz w:val="14"/>
                <w:szCs w:val="14"/>
                <w:color w:val="auto"/>
              </w:rPr>
              <w:t>135.7%</w:t>
            </w:r>
          </w:p>
        </w:tc>
      </w:tr>
      <w:tr>
        <w:trPr>
          <w:trHeight w:val="182"/>
        </w:trPr>
        <w:tc>
          <w:tcPr>
            <w:tcW w:w="542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Performance Cash*</w:t>
            </w:r>
          </w:p>
        </w:tc>
        <w:tc>
          <w:tcPr>
            <w:tcW w:w="156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9"/>
              </w:rPr>
              <w:t>$21.4B</w:t>
            </w:r>
          </w:p>
        </w:tc>
        <w:tc>
          <w:tcPr>
            <w:tcW w:w="1660" w:type="dxa"/>
            <w:vAlign w:val="bottom"/>
            <w:tcBorders>
              <w:bottom w:val="single" w:sz="8" w:color="959595"/>
            </w:tcBorders>
          </w:tcPr>
          <w:p>
            <w:pPr>
              <w:jc w:val="center"/>
              <w:ind w:right="11"/>
              <w:spacing w:after="0"/>
              <w:rPr>
                <w:sz w:val="20"/>
                <w:szCs w:val="20"/>
                <w:color w:val="auto"/>
              </w:rPr>
            </w:pPr>
            <w:r>
              <w:rPr>
                <w:rFonts w:ascii="Arial" w:cs="Arial" w:eastAsia="Arial" w:hAnsi="Arial"/>
                <w:sz w:val="14"/>
                <w:szCs w:val="14"/>
                <w:color w:val="auto"/>
              </w:rPr>
              <w:t>$24.8B</w:t>
            </w:r>
          </w:p>
        </w:tc>
        <w:tc>
          <w:tcPr>
            <w:tcW w:w="120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9"/>
              </w:rPr>
              <w:t>25%</w:t>
            </w:r>
          </w:p>
        </w:tc>
        <w:tc>
          <w:tcPr>
            <w:tcW w:w="140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rPr>
              <w:t>200.0%</w:t>
            </w:r>
          </w:p>
        </w:tc>
      </w:tr>
      <w:tr>
        <w:trPr>
          <w:trHeight w:val="182"/>
        </w:trPr>
        <w:tc>
          <w:tcPr>
            <w:tcW w:w="5420" w:type="dxa"/>
            <w:vAlign w:val="bottom"/>
            <w:tcBorders>
              <w:bottom w:val="single" w:sz="8" w:color="9D9D9C"/>
            </w:tcBorders>
          </w:tcPr>
          <w:p>
            <w:pPr>
              <w:ind w:left="20"/>
              <w:spacing w:after="0"/>
              <w:rPr>
                <w:sz w:val="20"/>
                <w:szCs w:val="20"/>
                <w:color w:val="auto"/>
              </w:rPr>
            </w:pPr>
            <w:r>
              <w:rPr>
                <w:rFonts w:ascii="Arial" w:cs="Arial" w:eastAsia="Arial" w:hAnsi="Arial"/>
                <w:sz w:val="14"/>
                <w:szCs w:val="14"/>
                <w:color w:val="auto"/>
              </w:rPr>
              <w:t>ROIC*</w:t>
            </w:r>
          </w:p>
        </w:tc>
        <w:tc>
          <w:tcPr>
            <w:tcW w:w="1560" w:type="dxa"/>
            <w:vAlign w:val="bottom"/>
            <w:tcBorders>
              <w:bottom w:val="single" w:sz="8" w:color="959595"/>
            </w:tcBorders>
          </w:tcPr>
          <w:p>
            <w:pPr>
              <w:jc w:val="right"/>
              <w:ind w:right="511"/>
              <w:spacing w:after="0"/>
              <w:rPr>
                <w:sz w:val="20"/>
                <w:szCs w:val="20"/>
                <w:color w:val="auto"/>
              </w:rPr>
            </w:pPr>
            <w:r>
              <w:rPr>
                <w:rFonts w:ascii="Arial" w:cs="Arial" w:eastAsia="Arial" w:hAnsi="Arial"/>
                <w:sz w:val="14"/>
                <w:szCs w:val="14"/>
                <w:color w:val="auto"/>
              </w:rPr>
              <w:t>20.5%</w:t>
            </w:r>
          </w:p>
        </w:tc>
        <w:tc>
          <w:tcPr>
            <w:tcW w:w="1660" w:type="dxa"/>
            <w:vAlign w:val="bottom"/>
            <w:tcBorders>
              <w:bottom w:val="single" w:sz="8" w:color="959595"/>
            </w:tcBorders>
          </w:tcPr>
          <w:p>
            <w:pPr>
              <w:jc w:val="right"/>
              <w:ind w:right="591"/>
              <w:spacing w:after="0"/>
              <w:rPr>
                <w:sz w:val="20"/>
                <w:szCs w:val="20"/>
                <w:color w:val="auto"/>
              </w:rPr>
            </w:pPr>
            <w:r>
              <w:rPr>
                <w:rFonts w:ascii="Arial" w:cs="Arial" w:eastAsia="Arial" w:hAnsi="Arial"/>
                <w:sz w:val="14"/>
                <w:szCs w:val="14"/>
                <w:color w:val="auto"/>
              </w:rPr>
              <w:t>22.6%</w:t>
            </w:r>
          </w:p>
        </w:tc>
        <w:tc>
          <w:tcPr>
            <w:tcW w:w="120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w w:val="99"/>
              </w:rPr>
              <w:t>25%</w:t>
            </w:r>
          </w:p>
        </w:tc>
        <w:tc>
          <w:tcPr>
            <w:tcW w:w="1400" w:type="dxa"/>
            <w:vAlign w:val="bottom"/>
            <w:tcBorders>
              <w:bottom w:val="single" w:sz="8" w:color="959595"/>
            </w:tcBorders>
          </w:tcPr>
          <w:p>
            <w:pPr>
              <w:jc w:val="center"/>
              <w:spacing w:after="0"/>
              <w:rPr>
                <w:sz w:val="20"/>
                <w:szCs w:val="20"/>
                <w:color w:val="auto"/>
              </w:rPr>
            </w:pPr>
            <w:r>
              <w:rPr>
                <w:rFonts w:ascii="Arial" w:cs="Arial" w:eastAsia="Arial" w:hAnsi="Arial"/>
                <w:sz w:val="14"/>
                <w:szCs w:val="14"/>
                <w:color w:val="auto"/>
              </w:rPr>
              <w:t>200.0%</w:t>
            </w:r>
          </w:p>
        </w:tc>
      </w:tr>
      <w:tr>
        <w:trPr>
          <w:trHeight w:val="182"/>
        </w:trPr>
        <w:tc>
          <w:tcPr>
            <w:tcW w:w="542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003478"/>
              </w:rPr>
              <w:t>Overall Payout Factor</w:t>
            </w:r>
          </w:p>
        </w:tc>
        <w:tc>
          <w:tcPr>
            <w:tcW w:w="1560" w:type="dxa"/>
            <w:vAlign w:val="bottom"/>
            <w:tcBorders>
              <w:bottom w:val="single" w:sz="8" w:color="959595"/>
            </w:tcBorders>
          </w:tcPr>
          <w:p>
            <w:pPr>
              <w:spacing w:after="0"/>
              <w:rPr>
                <w:sz w:val="15"/>
                <w:szCs w:val="15"/>
                <w:color w:val="auto"/>
              </w:rPr>
            </w:pPr>
          </w:p>
        </w:tc>
        <w:tc>
          <w:tcPr>
            <w:tcW w:w="1660" w:type="dxa"/>
            <w:vAlign w:val="bottom"/>
            <w:tcBorders>
              <w:bottom w:val="single" w:sz="8" w:color="959595"/>
            </w:tcBorders>
          </w:tcPr>
          <w:p>
            <w:pPr>
              <w:spacing w:after="0"/>
              <w:rPr>
                <w:sz w:val="15"/>
                <w:szCs w:val="15"/>
                <w:color w:val="auto"/>
              </w:rPr>
            </w:pPr>
          </w:p>
        </w:tc>
        <w:tc>
          <w:tcPr>
            <w:tcW w:w="1200" w:type="dxa"/>
            <w:vAlign w:val="bottom"/>
            <w:tcBorders>
              <w:bottom w:val="single" w:sz="8" w:color="959595"/>
            </w:tcBorders>
          </w:tcPr>
          <w:p>
            <w:pPr>
              <w:spacing w:after="0"/>
              <w:rPr>
                <w:sz w:val="15"/>
                <w:szCs w:val="15"/>
                <w:color w:val="auto"/>
              </w:rPr>
            </w:pPr>
          </w:p>
        </w:tc>
        <w:tc>
          <w:tcPr>
            <w:tcW w:w="1400" w:type="dxa"/>
            <w:vAlign w:val="bottom"/>
            <w:tcBorders>
              <w:bottom w:val="single" w:sz="8" w:color="959595"/>
            </w:tcBorders>
          </w:tcPr>
          <w:p>
            <w:pPr>
              <w:jc w:val="center"/>
              <w:spacing w:after="0"/>
              <w:rPr>
                <w:sz w:val="20"/>
                <w:szCs w:val="20"/>
                <w:color w:val="auto"/>
              </w:rPr>
            </w:pPr>
            <w:r>
              <w:rPr>
                <w:rFonts w:ascii="Arial" w:cs="Arial" w:eastAsia="Arial" w:hAnsi="Arial"/>
                <w:sz w:val="14"/>
                <w:szCs w:val="14"/>
                <w:b w:val="1"/>
                <w:bCs w:val="1"/>
                <w:color w:val="003478"/>
              </w:rPr>
              <w:t>167.9%</w:t>
            </w:r>
          </w:p>
        </w:tc>
      </w:tr>
    </w:tbl>
    <w:p>
      <w:pPr>
        <w:spacing w:after="0" w:line="139" w:lineRule="exact"/>
        <w:rPr>
          <w:sz w:val="20"/>
          <w:szCs w:val="20"/>
          <w:color w:val="auto"/>
        </w:rPr>
      </w:pPr>
    </w:p>
    <w:p>
      <w:pPr>
        <w:ind w:left="220" w:hanging="213"/>
        <w:spacing w:after="0"/>
        <w:tabs>
          <w:tab w:leader="none" w:pos="2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See Appendix A for definition of Non-GAAP measures.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Based on a weighted payout factor of 167.9%, the following table shows the payouts for 2019-2021 LTIP and PSU awards made in 2022.</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40" w:type="dxa"/>
            <w:vAlign w:val="bottom"/>
            <w:vMerge w:val="restart"/>
            <w:shd w:val="clear" w:color="auto" w:fill="E4E6EF"/>
          </w:tcPr>
          <w:p>
            <w:pPr>
              <w:ind w:left="20"/>
              <w:spacing w:after="0"/>
              <w:rPr>
                <w:sz w:val="20"/>
                <w:szCs w:val="20"/>
                <w:color w:val="auto"/>
              </w:rPr>
            </w:pPr>
            <w:r>
              <w:rPr>
                <w:rFonts w:ascii="Arial" w:cs="Arial" w:eastAsia="Arial" w:hAnsi="Arial"/>
                <w:sz w:val="13"/>
                <w:szCs w:val="13"/>
                <w:color w:val="auto"/>
              </w:rPr>
              <w:t>NEO*</w:t>
            </w:r>
          </w:p>
        </w:tc>
        <w:tc>
          <w:tcPr>
            <w:tcW w:w="3660" w:type="dxa"/>
            <w:vAlign w:val="bottom"/>
            <w:vMerge w:val="restart"/>
            <w:shd w:val="clear" w:color="auto" w:fill="E4E6EF"/>
          </w:tcPr>
          <w:p>
            <w:pPr>
              <w:ind w:left="2500"/>
              <w:spacing w:after="0"/>
              <w:rPr>
                <w:sz w:val="20"/>
                <w:szCs w:val="20"/>
                <w:color w:val="auto"/>
              </w:rPr>
            </w:pPr>
            <w:r>
              <w:rPr>
                <w:rFonts w:ascii="Arial" w:cs="Arial" w:eastAsia="Arial" w:hAnsi="Arial"/>
                <w:sz w:val="13"/>
                <w:szCs w:val="13"/>
                <w:color w:val="auto"/>
              </w:rPr>
              <w:t>LTIP Target ($)</w:t>
            </w:r>
          </w:p>
        </w:tc>
        <w:tc>
          <w:tcPr>
            <w:tcW w:w="1620" w:type="dxa"/>
            <w:vAlign w:val="bottom"/>
            <w:vMerge w:val="restart"/>
            <w:shd w:val="clear" w:color="auto" w:fill="E4E6EF"/>
          </w:tcPr>
          <w:p>
            <w:pPr>
              <w:ind w:left="340"/>
              <w:spacing w:after="0"/>
              <w:rPr>
                <w:sz w:val="20"/>
                <w:szCs w:val="20"/>
                <w:color w:val="auto"/>
              </w:rPr>
            </w:pPr>
            <w:r>
              <w:rPr>
                <w:rFonts w:ascii="Arial" w:cs="Arial" w:eastAsia="Arial" w:hAnsi="Arial"/>
                <w:sz w:val="13"/>
                <w:szCs w:val="13"/>
                <w:color w:val="auto"/>
              </w:rPr>
              <w:t>LTIP Payout ($)</w:t>
            </w:r>
          </w:p>
        </w:tc>
        <w:tc>
          <w:tcPr>
            <w:tcW w:w="1480" w:type="dxa"/>
            <w:vAlign w:val="bottom"/>
            <w:vMerge w:val="restart"/>
            <w:shd w:val="clear" w:color="auto" w:fill="E4E6EF"/>
          </w:tcPr>
          <w:p>
            <w:pPr>
              <w:ind w:left="420"/>
              <w:spacing w:after="0"/>
              <w:rPr>
                <w:sz w:val="20"/>
                <w:szCs w:val="20"/>
                <w:color w:val="auto"/>
              </w:rPr>
            </w:pPr>
            <w:r>
              <w:rPr>
                <w:rFonts w:ascii="Arial" w:cs="Arial" w:eastAsia="Arial" w:hAnsi="Arial"/>
                <w:sz w:val="13"/>
                <w:szCs w:val="13"/>
                <w:color w:val="auto"/>
              </w:rPr>
              <w:t>PSUs Target (#)</w:t>
            </w:r>
          </w:p>
        </w:tc>
        <w:tc>
          <w:tcPr>
            <w:tcW w:w="1640" w:type="dxa"/>
            <w:vAlign w:val="bottom"/>
            <w:shd w:val="clear" w:color="auto" w:fill="E4E6EF"/>
          </w:tcPr>
          <w:p>
            <w:pPr>
              <w:jc w:val="center"/>
              <w:ind w:left="57"/>
              <w:spacing w:after="0"/>
              <w:rPr>
                <w:sz w:val="20"/>
                <w:szCs w:val="20"/>
                <w:color w:val="auto"/>
              </w:rPr>
            </w:pPr>
            <w:r>
              <w:rPr>
                <w:rFonts w:ascii="Arial" w:cs="Arial" w:eastAsia="Arial" w:hAnsi="Arial"/>
                <w:sz w:val="13"/>
                <w:szCs w:val="13"/>
                <w:color w:val="auto"/>
                <w:w w:val="95"/>
              </w:rPr>
              <w:t>Total Shares Distributed /</w:t>
            </w:r>
          </w:p>
        </w:tc>
        <w:tc>
          <w:tcPr>
            <w:tcW w:w="0" w:type="dxa"/>
            <w:vAlign w:val="bottom"/>
          </w:tcPr>
          <w:p>
            <w:pPr>
              <w:spacing w:after="0"/>
              <w:rPr>
                <w:sz w:val="1"/>
                <w:szCs w:val="1"/>
                <w:color w:val="auto"/>
              </w:rPr>
            </w:pPr>
          </w:p>
        </w:tc>
      </w:tr>
      <w:tr>
        <w:trPr>
          <w:trHeight w:val="69"/>
        </w:trPr>
        <w:tc>
          <w:tcPr>
            <w:tcW w:w="2840" w:type="dxa"/>
            <w:vAlign w:val="bottom"/>
            <w:vMerge w:val="continue"/>
            <w:shd w:val="clear" w:color="auto" w:fill="E4E6EF"/>
          </w:tcPr>
          <w:p>
            <w:pPr>
              <w:spacing w:after="0"/>
              <w:rPr>
                <w:sz w:val="5"/>
                <w:szCs w:val="5"/>
                <w:color w:val="auto"/>
              </w:rPr>
            </w:pPr>
          </w:p>
        </w:tc>
        <w:tc>
          <w:tcPr>
            <w:tcW w:w="3660" w:type="dxa"/>
            <w:vAlign w:val="bottom"/>
            <w:vMerge w:val="continue"/>
            <w:shd w:val="clear" w:color="auto" w:fill="E4E6EF"/>
          </w:tcPr>
          <w:p>
            <w:pPr>
              <w:spacing w:after="0"/>
              <w:rPr>
                <w:sz w:val="5"/>
                <w:szCs w:val="5"/>
                <w:color w:val="auto"/>
              </w:rPr>
            </w:pPr>
          </w:p>
        </w:tc>
        <w:tc>
          <w:tcPr>
            <w:tcW w:w="1620" w:type="dxa"/>
            <w:vAlign w:val="bottom"/>
            <w:vMerge w:val="continue"/>
            <w:shd w:val="clear" w:color="auto" w:fill="E4E6EF"/>
          </w:tcPr>
          <w:p>
            <w:pPr>
              <w:spacing w:after="0"/>
              <w:rPr>
                <w:sz w:val="5"/>
                <w:szCs w:val="5"/>
                <w:color w:val="auto"/>
              </w:rPr>
            </w:pPr>
          </w:p>
        </w:tc>
        <w:tc>
          <w:tcPr>
            <w:tcW w:w="1480" w:type="dxa"/>
            <w:vAlign w:val="bottom"/>
            <w:vMerge w:val="continue"/>
            <w:shd w:val="clear" w:color="auto" w:fill="E4E6EF"/>
          </w:tcPr>
          <w:p>
            <w:pPr>
              <w:spacing w:after="0"/>
              <w:rPr>
                <w:sz w:val="5"/>
                <w:szCs w:val="5"/>
                <w:color w:val="auto"/>
              </w:rPr>
            </w:pPr>
          </w:p>
        </w:tc>
        <w:tc>
          <w:tcPr>
            <w:tcW w:w="1640" w:type="dxa"/>
            <w:vAlign w:val="bottom"/>
            <w:vMerge w:val="restart"/>
            <w:shd w:val="clear" w:color="auto" w:fill="E4E6EF"/>
          </w:tcPr>
          <w:p>
            <w:pPr>
              <w:jc w:val="center"/>
              <w:ind w:left="77"/>
              <w:spacing w:after="0"/>
              <w:rPr>
                <w:sz w:val="20"/>
                <w:szCs w:val="20"/>
                <w:color w:val="auto"/>
              </w:rPr>
            </w:pPr>
            <w:r>
              <w:rPr>
                <w:rFonts w:ascii="Arial" w:cs="Arial" w:eastAsia="Arial" w:hAnsi="Arial"/>
                <w:sz w:val="13"/>
                <w:szCs w:val="13"/>
                <w:color w:val="auto"/>
              </w:rPr>
              <w:t>Earned</w:t>
            </w:r>
          </w:p>
        </w:tc>
        <w:tc>
          <w:tcPr>
            <w:tcW w:w="0" w:type="dxa"/>
            <w:vAlign w:val="bottom"/>
          </w:tcPr>
          <w:p>
            <w:pPr>
              <w:spacing w:after="0"/>
              <w:rPr>
                <w:sz w:val="1"/>
                <w:szCs w:val="1"/>
                <w:color w:val="auto"/>
              </w:rPr>
            </w:pPr>
          </w:p>
        </w:tc>
      </w:tr>
      <w:tr>
        <w:trPr>
          <w:trHeight w:val="92"/>
        </w:trPr>
        <w:tc>
          <w:tcPr>
            <w:tcW w:w="2840" w:type="dxa"/>
            <w:vAlign w:val="bottom"/>
            <w:tcBorders>
              <w:bottom w:val="single" w:sz="8" w:color="E4E6EF"/>
            </w:tcBorders>
            <w:shd w:val="clear" w:color="auto" w:fill="E4E6EF"/>
          </w:tcPr>
          <w:p>
            <w:pPr>
              <w:spacing w:after="0"/>
              <w:rPr>
                <w:sz w:val="7"/>
                <w:szCs w:val="7"/>
                <w:color w:val="auto"/>
              </w:rPr>
            </w:pPr>
          </w:p>
        </w:tc>
        <w:tc>
          <w:tcPr>
            <w:tcW w:w="3660" w:type="dxa"/>
            <w:vAlign w:val="bottom"/>
            <w:tcBorders>
              <w:bottom w:val="single" w:sz="8" w:color="E4E6EF"/>
            </w:tcBorders>
            <w:shd w:val="clear" w:color="auto" w:fill="E4E6EF"/>
          </w:tcPr>
          <w:p>
            <w:pPr>
              <w:spacing w:after="0"/>
              <w:rPr>
                <w:sz w:val="7"/>
                <w:szCs w:val="7"/>
                <w:color w:val="auto"/>
              </w:rPr>
            </w:pPr>
          </w:p>
        </w:tc>
        <w:tc>
          <w:tcPr>
            <w:tcW w:w="1620" w:type="dxa"/>
            <w:vAlign w:val="bottom"/>
            <w:tcBorders>
              <w:bottom w:val="single" w:sz="8" w:color="E4E6EF"/>
            </w:tcBorders>
            <w:shd w:val="clear" w:color="auto" w:fill="E4E6EF"/>
          </w:tcPr>
          <w:p>
            <w:pPr>
              <w:spacing w:after="0"/>
              <w:rPr>
                <w:sz w:val="7"/>
                <w:szCs w:val="7"/>
                <w:color w:val="auto"/>
              </w:rPr>
            </w:pPr>
          </w:p>
        </w:tc>
        <w:tc>
          <w:tcPr>
            <w:tcW w:w="1480" w:type="dxa"/>
            <w:vAlign w:val="bottom"/>
            <w:tcBorders>
              <w:bottom w:val="single" w:sz="8" w:color="E4E6EF"/>
            </w:tcBorders>
            <w:shd w:val="clear" w:color="auto" w:fill="E4E6EF"/>
          </w:tcPr>
          <w:p>
            <w:pPr>
              <w:spacing w:after="0"/>
              <w:rPr>
                <w:sz w:val="7"/>
                <w:szCs w:val="7"/>
                <w:color w:val="auto"/>
              </w:rPr>
            </w:pPr>
          </w:p>
        </w:tc>
        <w:tc>
          <w:tcPr>
            <w:tcW w:w="1640" w:type="dxa"/>
            <w:vAlign w:val="bottom"/>
            <w:tcBorders>
              <w:bottom w:val="single" w:sz="8" w:color="E4E6EF"/>
            </w:tcBorders>
            <w:vMerge w:val="continue"/>
            <w:shd w:val="clear" w:color="auto" w:fill="E4E6E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40" w:type="dxa"/>
            <w:vAlign w:val="bottom"/>
            <w:shd w:val="clear" w:color="auto" w:fill="003478"/>
          </w:tcPr>
          <w:p>
            <w:pPr>
              <w:spacing w:after="0" w:line="20" w:lineRule="exact"/>
              <w:rPr>
                <w:sz w:val="1"/>
                <w:szCs w:val="1"/>
                <w:color w:val="auto"/>
              </w:rPr>
            </w:pPr>
          </w:p>
        </w:tc>
        <w:tc>
          <w:tcPr>
            <w:tcW w:w="3660" w:type="dxa"/>
            <w:vAlign w:val="bottom"/>
            <w:shd w:val="clear" w:color="auto" w:fill="003478"/>
          </w:tcPr>
          <w:p>
            <w:pPr>
              <w:spacing w:after="0" w:line="20" w:lineRule="exact"/>
              <w:rPr>
                <w:sz w:val="1"/>
                <w:szCs w:val="1"/>
                <w:color w:val="auto"/>
              </w:rPr>
            </w:pPr>
          </w:p>
        </w:tc>
        <w:tc>
          <w:tcPr>
            <w:tcW w:w="1620" w:type="dxa"/>
            <w:vAlign w:val="bottom"/>
            <w:shd w:val="clear" w:color="auto" w:fill="003478"/>
          </w:tcPr>
          <w:p>
            <w:pPr>
              <w:spacing w:after="0" w:line="20" w:lineRule="exact"/>
              <w:rPr>
                <w:sz w:val="1"/>
                <w:szCs w:val="1"/>
                <w:color w:val="auto"/>
              </w:rPr>
            </w:pPr>
          </w:p>
        </w:tc>
        <w:tc>
          <w:tcPr>
            <w:tcW w:w="1480" w:type="dxa"/>
            <w:vAlign w:val="bottom"/>
            <w:shd w:val="clear" w:color="auto" w:fill="003478"/>
          </w:tcPr>
          <w:p>
            <w:pPr>
              <w:spacing w:after="0" w:line="20" w:lineRule="exact"/>
              <w:rPr>
                <w:sz w:val="1"/>
                <w:szCs w:val="1"/>
                <w:color w:val="auto"/>
              </w:rPr>
            </w:pPr>
          </w:p>
        </w:tc>
        <w:tc>
          <w:tcPr>
            <w:tcW w:w="1640" w:type="dxa"/>
            <w:vAlign w:val="bottom"/>
            <w:shd w:val="clear" w:color="auto" w:fill="00347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254" w:right="339" w:bottom="1440" w:gutter="0" w:footer="0" w:header="0"/>
        </w:sectPr>
      </w:pPr>
    </w:p>
    <w:tbl>
      <w:tblPr>
        <w:tblLayout w:type="fixed"/>
        <w:tblInd w:w="0" w:type="dxa"/>
        <w:tblCellMar>
          <w:top w:w="0" w:type="dxa"/>
          <w:left w:w="0" w:type="dxa"/>
          <w:bottom w:w="0" w:type="dxa"/>
          <w:right w:w="0" w:type="dxa"/>
        </w:tblCellMar>
      </w:tblPr>
      <w:tr>
        <w:trPr>
          <w:trHeight w:val="188"/>
        </w:trPr>
        <w:tc>
          <w:tcPr>
            <w:tcW w:w="5000" w:type="dxa"/>
            <w:vAlign w:val="bottom"/>
            <w:tcBorders>
              <w:bottom w:val="single" w:sz="8" w:color="929292"/>
            </w:tcBorders>
          </w:tcPr>
          <w:p>
            <w:pPr>
              <w:ind w:left="20"/>
              <w:spacing w:after="0"/>
              <w:rPr>
                <w:sz w:val="20"/>
                <w:szCs w:val="20"/>
                <w:color w:val="auto"/>
              </w:rPr>
            </w:pPr>
            <w:r>
              <w:rPr>
                <w:rFonts w:ascii="Arial" w:cs="Arial" w:eastAsia="Arial" w:hAnsi="Arial"/>
                <w:sz w:val="14"/>
                <w:szCs w:val="14"/>
                <w:b w:val="1"/>
                <w:bCs w:val="1"/>
                <w:color w:val="003478"/>
              </w:rPr>
              <w:t>Mr. Mollard**</w:t>
            </w:r>
          </w:p>
        </w:tc>
        <w:tc>
          <w:tcPr>
            <w:tcW w:w="1920" w:type="dxa"/>
            <w:vAlign w:val="bottom"/>
            <w:tcBorders>
              <w:bottom w:val="single" w:sz="8" w:color="959595"/>
            </w:tcBorders>
          </w:tcPr>
          <w:p>
            <w:pPr>
              <w:jc w:val="right"/>
              <w:ind w:right="368"/>
              <w:spacing w:after="0"/>
              <w:rPr>
                <w:sz w:val="20"/>
                <w:szCs w:val="20"/>
                <w:color w:val="auto"/>
              </w:rPr>
            </w:pPr>
            <w:r>
              <w:rPr>
                <w:rFonts w:ascii="Arial" w:cs="Arial" w:eastAsia="Arial" w:hAnsi="Arial"/>
                <w:sz w:val="14"/>
                <w:szCs w:val="14"/>
                <w:color w:val="auto"/>
              </w:rPr>
              <w:t>300,000</w:t>
            </w:r>
          </w:p>
        </w:tc>
        <w:tc>
          <w:tcPr>
            <w:tcW w:w="10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503,700</w:t>
            </w:r>
          </w:p>
        </w:tc>
      </w:tr>
      <w:tr>
        <w:trPr>
          <w:trHeight w:val="182"/>
        </w:trPr>
        <w:tc>
          <w:tcPr>
            <w:tcW w:w="5000" w:type="dxa"/>
            <w:vAlign w:val="bottom"/>
            <w:tcBorders>
              <w:bottom w:val="single" w:sz="8" w:color="9D9D9C"/>
            </w:tcBorders>
          </w:tcPr>
          <w:p>
            <w:pPr>
              <w:ind w:left="20"/>
              <w:spacing w:after="0"/>
              <w:rPr>
                <w:sz w:val="20"/>
                <w:szCs w:val="20"/>
                <w:color w:val="auto"/>
              </w:rPr>
            </w:pPr>
            <w:r>
              <w:rPr>
                <w:rFonts w:ascii="Arial" w:cs="Arial" w:eastAsia="Arial" w:hAnsi="Arial"/>
                <w:sz w:val="14"/>
                <w:szCs w:val="14"/>
                <w:b w:val="1"/>
                <w:bCs w:val="1"/>
                <w:color w:val="003478"/>
              </w:rPr>
              <w:t>Mr. Possenriede***</w:t>
            </w:r>
          </w:p>
        </w:tc>
        <w:tc>
          <w:tcPr>
            <w:tcW w:w="1920" w:type="dxa"/>
            <w:vAlign w:val="bottom"/>
            <w:tcBorders>
              <w:bottom w:val="single" w:sz="8" w:color="9D9D9C"/>
            </w:tcBorders>
          </w:tcPr>
          <w:p>
            <w:pPr>
              <w:jc w:val="right"/>
              <w:ind w:right="368"/>
              <w:spacing w:after="0"/>
              <w:rPr>
                <w:sz w:val="20"/>
                <w:szCs w:val="20"/>
                <w:color w:val="auto"/>
              </w:rPr>
            </w:pPr>
            <w:r>
              <w:rPr>
                <w:rFonts w:ascii="Arial" w:cs="Arial" w:eastAsia="Arial" w:hAnsi="Arial"/>
                <w:sz w:val="14"/>
                <w:szCs w:val="14"/>
                <w:color w:val="auto"/>
              </w:rPr>
              <w:t>776,004</w:t>
            </w:r>
          </w:p>
        </w:tc>
        <w:tc>
          <w:tcPr>
            <w:tcW w:w="108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1,302,911</w:t>
            </w:r>
          </w:p>
        </w:tc>
      </w:tr>
      <w:tr>
        <w:trPr>
          <w:trHeight w:val="182"/>
        </w:trPr>
        <w:tc>
          <w:tcPr>
            <w:tcW w:w="500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003478"/>
              </w:rPr>
              <w:t xml:space="preserve">Mr. St. </w:t>
            </w:r>
            <w:r>
              <w:rPr>
                <w:rFonts w:ascii="Arial" w:cs="Arial" w:eastAsia="Arial" w:hAnsi="Arial"/>
                <w:sz w:val="14"/>
                <w:szCs w:val="14"/>
                <w:b w:val="1"/>
                <w:bCs w:val="1"/>
                <w:color w:val="330E74"/>
              </w:rPr>
              <w:t>John</w:t>
            </w:r>
          </w:p>
        </w:tc>
        <w:tc>
          <w:tcPr>
            <w:tcW w:w="1920" w:type="dxa"/>
            <w:vAlign w:val="bottom"/>
            <w:tcBorders>
              <w:bottom w:val="single" w:sz="8" w:color="959595"/>
            </w:tcBorders>
          </w:tcPr>
          <w:p>
            <w:pPr>
              <w:jc w:val="right"/>
              <w:ind w:right="368"/>
              <w:spacing w:after="0"/>
              <w:rPr>
                <w:sz w:val="20"/>
                <w:szCs w:val="20"/>
                <w:color w:val="auto"/>
              </w:rPr>
            </w:pPr>
            <w:r>
              <w:rPr>
                <w:rFonts w:ascii="Arial" w:cs="Arial" w:eastAsia="Arial" w:hAnsi="Arial"/>
                <w:sz w:val="14"/>
                <w:szCs w:val="14"/>
                <w:color w:val="auto"/>
              </w:rPr>
              <w:t>785,000</w:t>
            </w:r>
          </w:p>
        </w:tc>
        <w:tc>
          <w:tcPr>
            <w:tcW w:w="10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1,318,015</w:t>
            </w:r>
          </w:p>
        </w:tc>
      </w:tr>
      <w:tr>
        <w:trPr>
          <w:trHeight w:val="182"/>
        </w:trPr>
        <w:tc>
          <w:tcPr>
            <w:tcW w:w="5000" w:type="dxa"/>
            <w:vAlign w:val="bottom"/>
            <w:tcBorders>
              <w:bottom w:val="single" w:sz="8" w:color="929292"/>
            </w:tcBorders>
          </w:tcPr>
          <w:p>
            <w:pPr>
              <w:ind w:left="20"/>
              <w:spacing w:after="0"/>
              <w:rPr>
                <w:sz w:val="20"/>
                <w:szCs w:val="20"/>
                <w:color w:val="auto"/>
              </w:rPr>
            </w:pPr>
            <w:r>
              <w:rPr>
                <w:rFonts w:ascii="Arial" w:cs="Arial" w:eastAsia="Arial" w:hAnsi="Arial"/>
                <w:sz w:val="14"/>
                <w:szCs w:val="14"/>
                <w:b w:val="1"/>
                <w:bCs w:val="1"/>
                <w:color w:val="003478"/>
              </w:rPr>
              <w:t>Mr. Ambrose</w:t>
            </w:r>
          </w:p>
        </w:tc>
        <w:tc>
          <w:tcPr>
            <w:tcW w:w="1920" w:type="dxa"/>
            <w:vAlign w:val="bottom"/>
            <w:tcBorders>
              <w:bottom w:val="single" w:sz="8" w:color="929292"/>
            </w:tcBorders>
          </w:tcPr>
          <w:p>
            <w:pPr>
              <w:jc w:val="right"/>
              <w:ind w:right="368"/>
              <w:spacing w:after="0"/>
              <w:rPr>
                <w:sz w:val="20"/>
                <w:szCs w:val="20"/>
                <w:color w:val="auto"/>
              </w:rPr>
            </w:pPr>
            <w:r>
              <w:rPr>
                <w:rFonts w:ascii="Arial" w:cs="Arial" w:eastAsia="Arial" w:hAnsi="Arial"/>
                <w:sz w:val="14"/>
                <w:szCs w:val="14"/>
                <w:color w:val="auto"/>
              </w:rPr>
              <w:t>785,000</w:t>
            </w:r>
          </w:p>
        </w:tc>
        <w:tc>
          <w:tcPr>
            <w:tcW w:w="108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1,318,015</w:t>
            </w:r>
          </w:p>
        </w:tc>
      </w:tr>
      <w:tr>
        <w:trPr>
          <w:trHeight w:val="182"/>
        </w:trPr>
        <w:tc>
          <w:tcPr>
            <w:tcW w:w="5000" w:type="dxa"/>
            <w:vAlign w:val="bottom"/>
            <w:tcBorders>
              <w:bottom w:val="single" w:sz="8" w:color="929292"/>
            </w:tcBorders>
          </w:tcPr>
          <w:p>
            <w:pPr>
              <w:ind w:left="20"/>
              <w:spacing w:after="0"/>
              <w:rPr>
                <w:sz w:val="20"/>
                <w:szCs w:val="20"/>
                <w:color w:val="auto"/>
              </w:rPr>
            </w:pPr>
            <w:r>
              <w:rPr>
                <w:rFonts w:ascii="Arial" w:cs="Arial" w:eastAsia="Arial" w:hAnsi="Arial"/>
                <w:sz w:val="14"/>
                <w:szCs w:val="14"/>
                <w:b w:val="1"/>
                <w:bCs w:val="1"/>
                <w:color w:val="003478"/>
              </w:rPr>
              <w:t>Ms. Hill**</w:t>
            </w:r>
          </w:p>
        </w:tc>
        <w:tc>
          <w:tcPr>
            <w:tcW w:w="1920" w:type="dxa"/>
            <w:vAlign w:val="bottom"/>
            <w:tcBorders>
              <w:bottom w:val="single" w:sz="8" w:color="929292"/>
            </w:tcBorders>
          </w:tcPr>
          <w:p>
            <w:pPr>
              <w:jc w:val="right"/>
              <w:ind w:right="368"/>
              <w:spacing w:after="0"/>
              <w:rPr>
                <w:sz w:val="20"/>
                <w:szCs w:val="20"/>
                <w:color w:val="auto"/>
              </w:rPr>
            </w:pPr>
            <w:r>
              <w:rPr>
                <w:rFonts w:ascii="Arial" w:cs="Arial" w:eastAsia="Arial" w:hAnsi="Arial"/>
                <w:sz w:val="14"/>
                <w:szCs w:val="14"/>
                <w:color w:val="auto"/>
              </w:rPr>
              <w:t>420,000</w:t>
            </w:r>
          </w:p>
        </w:tc>
        <w:tc>
          <w:tcPr>
            <w:tcW w:w="108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705,180</w:t>
            </w:r>
          </w:p>
        </w:tc>
      </w:tr>
      <w:tr>
        <w:trPr>
          <w:trHeight w:val="182"/>
        </w:trPr>
        <w:tc>
          <w:tcPr>
            <w:tcW w:w="500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003478"/>
              </w:rPr>
              <w:t>Ms. Hewson</w:t>
            </w:r>
          </w:p>
        </w:tc>
        <w:tc>
          <w:tcPr>
            <w:tcW w:w="1920" w:type="dxa"/>
            <w:vAlign w:val="bottom"/>
            <w:tcBorders>
              <w:bottom w:val="single" w:sz="8" w:color="959595"/>
            </w:tcBorders>
          </w:tcPr>
          <w:p>
            <w:pPr>
              <w:jc w:val="right"/>
              <w:ind w:right="368"/>
              <w:spacing w:after="0"/>
              <w:rPr>
                <w:sz w:val="20"/>
                <w:szCs w:val="20"/>
                <w:color w:val="auto"/>
              </w:rPr>
            </w:pPr>
            <w:r>
              <w:rPr>
                <w:rFonts w:ascii="Arial" w:cs="Arial" w:eastAsia="Arial" w:hAnsi="Arial"/>
                <w:sz w:val="14"/>
                <w:szCs w:val="14"/>
                <w:color w:val="auto"/>
              </w:rPr>
              <w:t>2,860,000</w:t>
            </w:r>
          </w:p>
        </w:tc>
        <w:tc>
          <w:tcPr>
            <w:tcW w:w="108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4,801,940</w:t>
            </w:r>
          </w:p>
        </w:tc>
      </w:tr>
    </w:tbl>
    <w:p>
      <w:pPr>
        <w:spacing w:after="0" w:line="153" w:lineRule="exact"/>
        <w:rPr>
          <w:sz w:val="20"/>
          <w:szCs w:val="20"/>
          <w:color w:val="auto"/>
        </w:rPr>
      </w:pPr>
    </w:p>
    <w:p>
      <w:pPr>
        <w:ind w:left="220" w:hanging="213"/>
        <w:spacing w:after="0"/>
        <w:tabs>
          <w:tab w:leader="none" w:pos="2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Excludes Mr. Taiclet who did not receive a 2019 - 2021 LTIP award.</w:t>
      </w:r>
    </w:p>
    <w:p>
      <w:pPr>
        <w:spacing w:after="0" w:line="14" w:lineRule="exact"/>
        <w:rPr>
          <w:sz w:val="20"/>
          <w:szCs w:val="20"/>
          <w:color w:val="auto"/>
        </w:rPr>
      </w:pPr>
    </w:p>
    <w:p>
      <w:pPr>
        <w:ind w:left="280" w:hanging="273"/>
        <w:spacing w:after="0"/>
        <w:tabs>
          <w:tab w:leader="none" w:pos="2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Reflects targets and payouts associated with the 2019-2021 awards received as Vice Presidents.</w:t>
      </w:r>
    </w:p>
    <w:p>
      <w:pPr>
        <w:spacing w:after="0" w:line="13" w:lineRule="exact"/>
        <w:rPr>
          <w:rFonts w:ascii="Arial" w:cs="Arial" w:eastAsia="Arial" w:hAnsi="Arial"/>
          <w:sz w:val="14"/>
          <w:szCs w:val="14"/>
          <w:color w:val="auto"/>
        </w:rPr>
      </w:pPr>
    </w:p>
    <w:p>
      <w:pPr>
        <w:ind w:left="340" w:hanging="333"/>
        <w:spacing w:after="0"/>
        <w:tabs>
          <w:tab w:leader="none" w:pos="3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Target and payout pro-rated based on days worked during the 2019-2021 performance cycle.</w:t>
      </w:r>
    </w:p>
    <w:p>
      <w:pPr>
        <w:spacing w:after="0" w:line="20" w:lineRule="exact"/>
        <w:rPr>
          <w:sz w:val="20"/>
          <w:szCs w:val="20"/>
          <w:color w:val="auto"/>
        </w:rPr>
      </w:pPr>
      <w:r>
        <w:rPr>
          <w:sz w:val="20"/>
          <w:szCs w:val="20"/>
          <w:color w:val="auto"/>
        </w:rPr>
        <w:br w:type="column"/>
      </w:r>
    </w:p>
    <w:p>
      <w:pPr>
        <w:jc w:val="both"/>
        <w:ind w:left="200"/>
        <w:spacing w:after="0"/>
        <w:tabs>
          <w:tab w:leader="none" w:pos="1680" w:val="left"/>
        </w:tabs>
        <w:rPr>
          <w:sz w:val="20"/>
          <w:szCs w:val="20"/>
          <w:color w:val="auto"/>
        </w:rPr>
      </w:pPr>
      <w:r>
        <w:rPr>
          <w:rFonts w:ascii="Arial" w:cs="Arial" w:eastAsia="Arial" w:hAnsi="Arial"/>
          <w:sz w:val="14"/>
          <w:szCs w:val="14"/>
          <w:color w:val="auto"/>
        </w:rPr>
        <w:t>247</w:t>
      </w:r>
      <w:r>
        <w:rPr>
          <w:sz w:val="20"/>
          <w:szCs w:val="20"/>
          <w:color w:val="auto"/>
        </w:rPr>
        <w:tab/>
      </w:r>
      <w:r>
        <w:rPr>
          <w:rFonts w:ascii="Arial" w:cs="Arial" w:eastAsia="Arial" w:hAnsi="Arial"/>
          <w:sz w:val="14"/>
          <w:szCs w:val="14"/>
          <w:color w:val="auto"/>
        </w:rPr>
        <w:t>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5715</wp:posOffset>
            </wp:positionV>
            <wp:extent cx="191135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1" w:lineRule="exact"/>
        <w:rPr>
          <w:sz w:val="20"/>
          <w:szCs w:val="20"/>
          <w:color w:val="auto"/>
        </w:rPr>
      </w:pPr>
    </w:p>
    <w:p>
      <w:pPr>
        <w:ind w:left="80"/>
        <w:spacing w:after="0"/>
        <w:tabs>
          <w:tab w:leader="none" w:pos="1480" w:val="left"/>
        </w:tabs>
        <w:rPr>
          <w:sz w:val="20"/>
          <w:szCs w:val="20"/>
          <w:color w:val="auto"/>
        </w:rPr>
      </w:pPr>
      <w:r>
        <w:rPr>
          <w:rFonts w:ascii="Arial" w:cs="Arial" w:eastAsia="Arial" w:hAnsi="Arial"/>
          <w:sz w:val="14"/>
          <w:szCs w:val="14"/>
          <w:color w:val="auto"/>
        </w:rPr>
        <w:t>6,022</w:t>
      </w:r>
      <w:r>
        <w:rPr>
          <w:sz w:val="20"/>
          <w:szCs w:val="20"/>
          <w:color w:val="auto"/>
        </w:rPr>
        <w:tab/>
      </w:r>
      <w:r>
        <w:rPr>
          <w:rFonts w:ascii="Arial" w:cs="Arial" w:eastAsia="Arial" w:hAnsi="Arial"/>
          <w:sz w:val="14"/>
          <w:szCs w:val="14"/>
          <w:color w:val="auto"/>
        </w:rPr>
        <w:t>10,111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5715</wp:posOffset>
            </wp:positionV>
            <wp:extent cx="191135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1" w:lineRule="exact"/>
        <w:rPr>
          <w:sz w:val="20"/>
          <w:szCs w:val="20"/>
          <w:color w:val="auto"/>
        </w:rPr>
      </w:pPr>
    </w:p>
    <w:p>
      <w:pPr>
        <w:ind w:left="80"/>
        <w:spacing w:after="0"/>
        <w:tabs>
          <w:tab w:leader="none" w:pos="1480" w:val="left"/>
        </w:tabs>
        <w:rPr>
          <w:sz w:val="20"/>
          <w:szCs w:val="20"/>
          <w:color w:val="auto"/>
        </w:rPr>
      </w:pPr>
      <w:r>
        <w:rPr>
          <w:rFonts w:ascii="Arial" w:cs="Arial" w:eastAsia="Arial" w:hAnsi="Arial"/>
          <w:sz w:val="14"/>
          <w:szCs w:val="14"/>
          <w:color w:val="auto"/>
        </w:rPr>
        <w:t>6,446</w:t>
      </w:r>
      <w:r>
        <w:rPr>
          <w:sz w:val="20"/>
          <w:szCs w:val="20"/>
          <w:color w:val="auto"/>
        </w:rPr>
        <w:tab/>
      </w:r>
      <w:r>
        <w:rPr>
          <w:rFonts w:ascii="Arial" w:cs="Arial" w:eastAsia="Arial" w:hAnsi="Arial"/>
          <w:sz w:val="14"/>
          <w:szCs w:val="14"/>
          <w:color w:val="auto"/>
        </w:rPr>
        <w:t>10,823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5715</wp:posOffset>
            </wp:positionV>
            <wp:extent cx="191135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1" w:lineRule="exact"/>
        <w:rPr>
          <w:sz w:val="20"/>
          <w:szCs w:val="20"/>
          <w:color w:val="auto"/>
        </w:rPr>
      </w:pPr>
    </w:p>
    <w:p>
      <w:pPr>
        <w:ind w:left="80"/>
        <w:spacing w:after="0"/>
        <w:tabs>
          <w:tab w:leader="none" w:pos="1480" w:val="left"/>
        </w:tabs>
        <w:rPr>
          <w:sz w:val="20"/>
          <w:szCs w:val="20"/>
          <w:color w:val="auto"/>
        </w:rPr>
      </w:pPr>
      <w:r>
        <w:rPr>
          <w:rFonts w:ascii="Arial" w:cs="Arial" w:eastAsia="Arial" w:hAnsi="Arial"/>
          <w:sz w:val="14"/>
          <w:szCs w:val="14"/>
          <w:color w:val="auto"/>
        </w:rPr>
        <w:t>6,446</w:t>
      </w:r>
      <w:r>
        <w:rPr>
          <w:sz w:val="20"/>
          <w:szCs w:val="20"/>
          <w:color w:val="auto"/>
        </w:rPr>
        <w:tab/>
      </w:r>
      <w:r>
        <w:rPr>
          <w:rFonts w:ascii="Arial" w:cs="Arial" w:eastAsia="Arial" w:hAnsi="Arial"/>
          <w:sz w:val="14"/>
          <w:szCs w:val="14"/>
          <w:color w:val="auto"/>
        </w:rPr>
        <w:t>10,823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5715</wp:posOffset>
            </wp:positionV>
            <wp:extent cx="191135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21" w:lineRule="exact"/>
        <w:rPr>
          <w:sz w:val="20"/>
          <w:szCs w:val="20"/>
          <w:color w:val="auto"/>
        </w:rPr>
      </w:pPr>
    </w:p>
    <w:p>
      <w:pPr>
        <w:ind w:left="1700" w:hanging="1501"/>
        <w:spacing w:after="0"/>
        <w:tabs>
          <w:tab w:leader="none" w:pos="1700" w:val="left"/>
        </w:tabs>
        <w:numPr>
          <w:ilvl w:val="0"/>
          <w:numId w:val="91"/>
        </w:numPr>
        <w:rPr>
          <w:rFonts w:ascii="Arial" w:cs="Arial" w:eastAsia="Arial" w:hAnsi="Arial"/>
          <w:sz w:val="14"/>
          <w:szCs w:val="14"/>
          <w:color w:val="auto"/>
        </w:rPr>
      </w:pPr>
      <w:r>
        <w:rPr>
          <w:rFonts w:ascii="Arial" w:cs="Arial" w:eastAsia="Arial" w:hAnsi="Arial"/>
          <w:sz w:val="14"/>
          <w:szCs w:val="14"/>
          <w:color w:val="auto"/>
        </w:rPr>
        <w:t>580</w:t>
      </w:r>
    </w:p>
    <w:p>
      <w:pPr>
        <w:spacing w:after="0" w:line="4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23,48139,425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5715</wp:posOffset>
            </wp:positionV>
            <wp:extent cx="191135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911350" cy="8255"/>
                    </a:xfrm>
                    <a:prstGeom prst="rect">
                      <a:avLst/>
                    </a:prstGeom>
                    <a:noFill/>
                  </pic:spPr>
                </pic:pic>
              </a:graphicData>
            </a:graphic>
          </wp:anchor>
        </w:drawing>
        <w:drawing>
          <wp:anchor simplePos="0" relativeHeight="251657728" behindDoc="1" locked="0" layoutInCell="0" allowOverlap="1">
            <wp:simplePos x="0" y="0"/>
            <wp:positionH relativeFrom="column">
              <wp:posOffset>-665480</wp:posOffset>
            </wp:positionH>
            <wp:positionV relativeFrom="paragraph">
              <wp:posOffset>-121920</wp:posOffset>
            </wp:positionV>
            <wp:extent cx="191135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808" w:lineRule="exact"/>
        <w:rPr>
          <w:sz w:val="20"/>
          <w:szCs w:val="20"/>
          <w:color w:val="auto"/>
        </w:rPr>
      </w:pPr>
    </w:p>
    <w:p>
      <w:pPr>
        <w:sectPr>
          <w:pgSz w:w="11900" w:h="16838" w:orient="portrait"/>
          <w:cols w:equalWidth="0" w:num="2">
            <w:col w:w="8560" w:space="720"/>
            <w:col w:w="1960"/>
          </w:cols>
          <w:pgMar w:left="320" w:top="254" w:right="339" w:bottom="1440" w:gutter="0" w:footer="0" w:header="0"/>
          <w:type w:val="continuous"/>
        </w:sectPr>
      </w:pPr>
    </w:p>
    <w:p>
      <w:pPr>
        <w:spacing w:after="0"/>
        <w:rPr>
          <w:sz w:val="20"/>
          <w:szCs w:val="20"/>
          <w:color w:val="auto"/>
        </w:rPr>
      </w:pPr>
      <w:r>
        <w:rPr>
          <w:rFonts w:ascii="Arial" w:cs="Arial" w:eastAsia="Arial" w:hAnsi="Arial"/>
          <w:sz w:val="21"/>
          <w:szCs w:val="21"/>
          <w:color w:val="818EB4"/>
        </w:rPr>
        <w:t>2022 Incentive Opportunities</w:t>
      </w:r>
    </w:p>
    <w:p>
      <w:pPr>
        <w:spacing w:after="0" w:line="122"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In February 2022, the Compensation Committee approved the 2022 incentive opportunities for executives. There were no changes to our overall annual or long-term incentive plan design for 2022. However, the Compensation Committee approved the use of Free Cash Flow to replace Cash From Operations and Performance Cash under the annual and long-term incentive plans. The definition of Free Cash Flow incorporates capital expenditures and includes specified adjustments to ensure that the ultimate payout is not impacted to the benefit or detriment of management that would result in a difference between planned and actual financial results. The Compensation Committee also approved strategic and operational goals under our annual incentive program for 2022 in the following four categories: enterprise performance; new business / growth; strategy; and environmental, social and governance (ESG). The new separate ESG category includes goals designed to achieve objectives related to attracting, developing, and retaining our premier and diverse workforce, protecting Lockheed Martin, U.S. Government and 3</w:t>
      </w:r>
      <w:r>
        <w:rPr>
          <w:rFonts w:ascii="Arial" w:cs="Arial" w:eastAsia="Arial" w:hAnsi="Arial"/>
          <w:sz w:val="23"/>
          <w:szCs w:val="23"/>
          <w:color w:val="auto"/>
          <w:vertAlign w:val="superscript"/>
        </w:rPr>
        <w:t>rd</w:t>
      </w:r>
      <w:r>
        <w:rPr>
          <w:rFonts w:ascii="Arial" w:cs="Arial" w:eastAsia="Arial" w:hAnsi="Arial"/>
          <w:sz w:val="17"/>
          <w:szCs w:val="17"/>
          <w:color w:val="auto"/>
        </w:rPr>
        <w:t xml:space="preserve"> party proprietary data from cyber intrusion, ensuring the safety and security of our products, services and workplace, and responsibly stewarding our climate. Separately, the Committee retains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50</w:t>
      </w:r>
    </w:p>
    <w:p>
      <w:pPr>
        <w:sectPr>
          <w:pgSz w:w="11900" w:h="16838" w:orient="portrait"/>
          <w:cols w:equalWidth="0" w:num="1">
            <w:col w:w="11240"/>
          </w:cols>
          <w:pgMar w:left="320" w:top="254" w:right="339" w:bottom="1440" w:gutter="0" w:footer="0" w:header="0"/>
          <w:type w:val="continuous"/>
        </w:sectPr>
      </w:pPr>
    </w:p>
    <w:bookmarkStart w:id="56" w:name="page57"/>
    <w:bookmarkEnd w:id="56"/>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7"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discretion under our annual incentive program to adjust the financial performance metrics, goals and results to preserve the intended incentives to account for changes in capitalization or a corporate transaction, changes in accounting policies or practices, special charges to earnings or unusual or unforeseen events.</w:t>
      </w:r>
    </w:p>
    <w:p>
      <w:pPr>
        <w:spacing w:after="0" w:line="95" w:lineRule="exact"/>
        <w:rPr>
          <w:sz w:val="20"/>
          <w:szCs w:val="20"/>
          <w:color w:val="auto"/>
        </w:rPr>
      </w:pPr>
    </w:p>
    <w:p>
      <w:pPr>
        <w:jc w:val="both"/>
        <w:ind w:right="140"/>
        <w:spacing w:after="0" w:line="269" w:lineRule="auto"/>
        <w:rPr>
          <w:sz w:val="20"/>
          <w:szCs w:val="20"/>
          <w:color w:val="auto"/>
        </w:rPr>
      </w:pPr>
      <w:r>
        <w:rPr>
          <w:rFonts w:ascii="Arial" w:cs="Arial" w:eastAsia="Arial" w:hAnsi="Arial"/>
          <w:sz w:val="17"/>
          <w:szCs w:val="17"/>
          <w:color w:val="auto"/>
        </w:rPr>
        <w:t>Additionally, in February 2022, Mr. Mollard received a $500,000 one-time special RSU grant in recognition of his performance and service as Acting CFO and to retain him for his assistance with the CFO transition during 2022. The award will vest on December 15, 2022, which is aligned with Mr. Mollard’s mandatory retirement date absent a waiver under our policy.</w:t>
      </w:r>
    </w:p>
    <w:p>
      <w:pPr>
        <w:spacing w:after="0" w:line="89" w:lineRule="exact"/>
        <w:rPr>
          <w:sz w:val="20"/>
          <w:szCs w:val="20"/>
          <w:color w:val="auto"/>
        </w:rPr>
      </w:pPr>
    </w:p>
    <w:p>
      <w:pPr>
        <w:spacing w:after="0"/>
        <w:rPr>
          <w:sz w:val="20"/>
          <w:szCs w:val="20"/>
          <w:color w:val="auto"/>
        </w:rPr>
      </w:pPr>
      <w:r>
        <w:rPr>
          <w:rFonts w:ascii="Arial" w:cs="Arial" w:eastAsia="Arial" w:hAnsi="Arial"/>
          <w:sz w:val="25"/>
          <w:szCs w:val="25"/>
          <w:color w:val="818EB4"/>
        </w:rPr>
        <w:t>Other Compensation Matters</w:t>
      </w:r>
    </w:p>
    <w:p>
      <w:pPr>
        <w:spacing w:after="0" w:line="121" w:lineRule="exact"/>
        <w:rPr>
          <w:sz w:val="20"/>
          <w:szCs w:val="20"/>
          <w:color w:val="auto"/>
        </w:rPr>
      </w:pPr>
    </w:p>
    <w:p>
      <w:pPr>
        <w:spacing w:after="0"/>
        <w:rPr>
          <w:sz w:val="20"/>
          <w:szCs w:val="20"/>
          <w:color w:val="auto"/>
        </w:rPr>
      </w:pPr>
      <w:r>
        <w:rPr>
          <w:rFonts w:ascii="Arial" w:cs="Arial" w:eastAsia="Arial" w:hAnsi="Arial"/>
          <w:sz w:val="21"/>
          <w:szCs w:val="21"/>
          <w:color w:val="818EB4"/>
        </w:rPr>
        <w:t>Our Use of Independent Compensation Consultants</w:t>
      </w:r>
    </w:p>
    <w:p>
      <w:pPr>
        <w:spacing w:after="0" w:line="12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independent compensation consultant provides important information about market practices, the types and amounts of compensation offered to executives generally and the role of corporate governance considerations in making compensation decisions. The Compensation Committee’s charter authorizes it to retain outside advisors that it believes are appropriate to assist in evaluating executive compensation.</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color w:val="auto"/>
        </w:rPr>
        <w:t>For 2021, the Compensation Committee continued to retain Meridian as an independent compensation consultant. In connection with its retention of</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Meridian, the Compensation Committee considered the following factors in assessing Meridian’s independence:</w:t>
      </w:r>
    </w:p>
    <w:p>
      <w:pPr>
        <w:spacing w:after="0" w:line="127" w:lineRule="exact"/>
        <w:rPr>
          <w:sz w:val="20"/>
          <w:szCs w:val="20"/>
          <w:color w:val="auto"/>
        </w:rPr>
      </w:pPr>
    </w:p>
    <w:p>
      <w:pPr>
        <w:ind w:left="220" w:hanging="132"/>
        <w:spacing w:after="0"/>
        <w:tabs>
          <w:tab w:leader="none" w:pos="220" w:val="left"/>
        </w:tabs>
        <w:numPr>
          <w:ilvl w:val="0"/>
          <w:numId w:val="92"/>
        </w:numPr>
        <w:rPr>
          <w:rFonts w:ascii="Arial" w:cs="Arial" w:eastAsia="Arial" w:hAnsi="Arial"/>
          <w:sz w:val="17"/>
          <w:szCs w:val="17"/>
          <w:color w:val="002E6D"/>
        </w:rPr>
      </w:pPr>
      <w:r>
        <w:rPr>
          <w:rFonts w:ascii="Arial" w:cs="Arial" w:eastAsia="Arial" w:hAnsi="Arial"/>
          <w:sz w:val="17"/>
          <w:szCs w:val="17"/>
          <w:color w:val="auto"/>
        </w:rPr>
        <w:t>Meridian’s services for the Company are limited to executive and director compensation.</w:t>
      </w:r>
    </w:p>
    <w:p>
      <w:pPr>
        <w:spacing w:after="0" w:line="127" w:lineRule="exact"/>
        <w:rPr>
          <w:rFonts w:ascii="Arial" w:cs="Arial" w:eastAsia="Arial" w:hAnsi="Arial"/>
          <w:sz w:val="17"/>
          <w:szCs w:val="17"/>
          <w:color w:val="002E6D"/>
        </w:rPr>
      </w:pPr>
    </w:p>
    <w:p>
      <w:pPr>
        <w:ind w:left="220" w:hanging="132"/>
        <w:spacing w:after="0"/>
        <w:tabs>
          <w:tab w:leader="none" w:pos="220" w:val="left"/>
        </w:tabs>
        <w:numPr>
          <w:ilvl w:val="0"/>
          <w:numId w:val="92"/>
        </w:numPr>
        <w:rPr>
          <w:rFonts w:ascii="Arial" w:cs="Arial" w:eastAsia="Arial" w:hAnsi="Arial"/>
          <w:sz w:val="17"/>
          <w:szCs w:val="17"/>
          <w:color w:val="002E6D"/>
        </w:rPr>
      </w:pPr>
      <w:r>
        <w:rPr>
          <w:rFonts w:ascii="Arial" w:cs="Arial" w:eastAsia="Arial" w:hAnsi="Arial"/>
          <w:sz w:val="17"/>
          <w:szCs w:val="17"/>
          <w:color w:val="auto"/>
        </w:rPr>
        <w:t>The compensation paid to Meridian is less than 1% of Meridian’s revenues.</w:t>
      </w:r>
    </w:p>
    <w:p>
      <w:pPr>
        <w:spacing w:after="0" w:line="127" w:lineRule="exact"/>
        <w:rPr>
          <w:rFonts w:ascii="Arial" w:cs="Arial" w:eastAsia="Arial" w:hAnsi="Arial"/>
          <w:sz w:val="17"/>
          <w:szCs w:val="17"/>
          <w:color w:val="002E6D"/>
        </w:rPr>
      </w:pPr>
    </w:p>
    <w:p>
      <w:pPr>
        <w:ind w:left="220" w:hanging="132"/>
        <w:spacing w:after="0"/>
        <w:tabs>
          <w:tab w:leader="none" w:pos="220" w:val="left"/>
        </w:tabs>
        <w:numPr>
          <w:ilvl w:val="0"/>
          <w:numId w:val="92"/>
        </w:numPr>
        <w:rPr>
          <w:rFonts w:ascii="Arial" w:cs="Arial" w:eastAsia="Arial" w:hAnsi="Arial"/>
          <w:sz w:val="17"/>
          <w:szCs w:val="17"/>
          <w:color w:val="002E6D"/>
        </w:rPr>
      </w:pPr>
      <w:r>
        <w:rPr>
          <w:rFonts w:ascii="Arial" w:cs="Arial" w:eastAsia="Arial" w:hAnsi="Arial"/>
          <w:sz w:val="17"/>
          <w:szCs w:val="17"/>
          <w:color w:val="auto"/>
        </w:rPr>
        <w:t>Meridian has business ethics and insider trading and stock ownership policies, which are designed to avoid conflicts of interest.</w:t>
      </w:r>
    </w:p>
    <w:p>
      <w:pPr>
        <w:spacing w:after="0" w:line="127" w:lineRule="exact"/>
        <w:rPr>
          <w:rFonts w:ascii="Arial" w:cs="Arial" w:eastAsia="Arial" w:hAnsi="Arial"/>
          <w:sz w:val="17"/>
          <w:szCs w:val="17"/>
          <w:color w:val="002E6D"/>
        </w:rPr>
      </w:pPr>
    </w:p>
    <w:p>
      <w:pPr>
        <w:ind w:left="220" w:hanging="132"/>
        <w:spacing w:after="0"/>
        <w:tabs>
          <w:tab w:leader="none" w:pos="220" w:val="left"/>
        </w:tabs>
        <w:numPr>
          <w:ilvl w:val="0"/>
          <w:numId w:val="92"/>
        </w:numPr>
        <w:rPr>
          <w:rFonts w:ascii="Arial" w:cs="Arial" w:eastAsia="Arial" w:hAnsi="Arial"/>
          <w:sz w:val="17"/>
          <w:szCs w:val="17"/>
          <w:color w:val="002E6D"/>
        </w:rPr>
      </w:pPr>
      <w:r>
        <w:rPr>
          <w:rFonts w:ascii="Arial" w:cs="Arial" w:eastAsia="Arial" w:hAnsi="Arial"/>
          <w:sz w:val="17"/>
          <w:szCs w:val="17"/>
          <w:color w:val="auto"/>
        </w:rPr>
        <w:t>Meridian employees supporting the engagement and their immediate family members do not own Lockheed Martin securities.</w:t>
      </w:r>
    </w:p>
    <w:p>
      <w:pPr>
        <w:spacing w:after="0" w:line="127" w:lineRule="exact"/>
        <w:rPr>
          <w:rFonts w:ascii="Arial" w:cs="Arial" w:eastAsia="Arial" w:hAnsi="Arial"/>
          <w:sz w:val="17"/>
          <w:szCs w:val="17"/>
          <w:color w:val="002E6D"/>
        </w:rPr>
      </w:pPr>
    </w:p>
    <w:p>
      <w:pPr>
        <w:ind w:left="240" w:right="300" w:hanging="152"/>
        <w:spacing w:after="0" w:line="274" w:lineRule="auto"/>
        <w:tabs>
          <w:tab w:leader="none" w:pos="205" w:val="left"/>
        </w:tabs>
        <w:numPr>
          <w:ilvl w:val="0"/>
          <w:numId w:val="92"/>
        </w:numPr>
        <w:rPr>
          <w:rFonts w:ascii="Arial" w:cs="Arial" w:eastAsia="Arial" w:hAnsi="Arial"/>
          <w:sz w:val="17"/>
          <w:szCs w:val="17"/>
          <w:color w:val="002E6D"/>
        </w:rPr>
      </w:pPr>
      <w:r>
        <w:rPr>
          <w:rFonts w:ascii="Arial" w:cs="Arial" w:eastAsia="Arial" w:hAnsi="Arial"/>
          <w:sz w:val="17"/>
          <w:szCs w:val="17"/>
          <w:color w:val="auto"/>
        </w:rPr>
        <w:t>Meridian employees supporting the engagement have no business or personal relationships with members of the Compensation Committee or with any Lockheed Martin executive officer.</w:t>
      </w:r>
    </w:p>
    <w:p>
      <w:pPr>
        <w:spacing w:after="0" w:line="91"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At its February 2022 meeting, the Compensation Committee renewed the engagement of Meridian. At that time, Meridian confirmed the continuing accuracy of each of the factors described above.</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The nature and scope of Meridian’s engagement was determined by the Compensation Committee and not limited in any way by management.</w:t>
      </w:r>
    </w:p>
    <w:p>
      <w:pPr>
        <w:spacing w:after="0" w:line="127" w:lineRule="exact"/>
        <w:rPr>
          <w:sz w:val="20"/>
          <w:szCs w:val="20"/>
          <w:color w:val="auto"/>
        </w:rPr>
      </w:pPr>
    </w:p>
    <w:p>
      <w:pPr>
        <w:spacing w:after="0"/>
        <w:rPr>
          <w:sz w:val="20"/>
          <w:szCs w:val="20"/>
          <w:color w:val="auto"/>
        </w:rPr>
      </w:pPr>
      <w:r>
        <w:rPr>
          <w:rFonts w:ascii="Arial" w:cs="Arial" w:eastAsia="Arial" w:hAnsi="Arial"/>
          <w:sz w:val="21"/>
          <w:szCs w:val="21"/>
          <w:color w:val="818EB4"/>
        </w:rPr>
        <w:t>Policy Regarding Timing of Equity Grants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We have a corporate policy statement concerning the grant of equity awards. Under that policy:</w:t>
      </w:r>
    </w:p>
    <w:p>
      <w:pPr>
        <w:spacing w:after="0" w:line="127" w:lineRule="exact"/>
        <w:rPr>
          <w:sz w:val="20"/>
          <w:szCs w:val="20"/>
          <w:color w:val="auto"/>
        </w:rPr>
      </w:pPr>
    </w:p>
    <w:p>
      <w:pPr>
        <w:ind w:left="220" w:hanging="132"/>
        <w:spacing w:after="0"/>
        <w:tabs>
          <w:tab w:leader="none" w:pos="220" w:val="left"/>
        </w:tabs>
        <w:numPr>
          <w:ilvl w:val="0"/>
          <w:numId w:val="93"/>
        </w:numPr>
        <w:rPr>
          <w:rFonts w:ascii="Arial" w:cs="Arial" w:eastAsia="Arial" w:hAnsi="Arial"/>
          <w:sz w:val="17"/>
          <w:szCs w:val="17"/>
          <w:color w:val="002E6D"/>
        </w:rPr>
      </w:pPr>
      <w:r>
        <w:rPr>
          <w:rFonts w:ascii="Arial" w:cs="Arial" w:eastAsia="Arial" w:hAnsi="Arial"/>
          <w:sz w:val="17"/>
          <w:szCs w:val="17"/>
          <w:color w:val="auto"/>
        </w:rPr>
        <w:t>The Compensation Committee is responsible for determining the grant date of all equity awards to executive officers.</w:t>
      </w:r>
    </w:p>
    <w:p>
      <w:pPr>
        <w:spacing w:after="0" w:line="127" w:lineRule="exact"/>
        <w:rPr>
          <w:rFonts w:ascii="Arial" w:cs="Arial" w:eastAsia="Arial" w:hAnsi="Arial"/>
          <w:sz w:val="17"/>
          <w:szCs w:val="17"/>
          <w:color w:val="002E6D"/>
        </w:rPr>
      </w:pPr>
    </w:p>
    <w:p>
      <w:pPr>
        <w:ind w:left="240" w:hanging="152"/>
        <w:spacing w:after="0" w:line="274" w:lineRule="auto"/>
        <w:tabs>
          <w:tab w:leader="none" w:pos="205" w:val="left"/>
        </w:tabs>
        <w:numPr>
          <w:ilvl w:val="0"/>
          <w:numId w:val="93"/>
        </w:numPr>
        <w:rPr>
          <w:rFonts w:ascii="Arial" w:cs="Arial" w:eastAsia="Arial" w:hAnsi="Arial"/>
          <w:sz w:val="17"/>
          <w:szCs w:val="17"/>
          <w:color w:val="002E6D"/>
        </w:rPr>
      </w:pPr>
      <w:r>
        <w:rPr>
          <w:rFonts w:ascii="Arial" w:cs="Arial" w:eastAsia="Arial" w:hAnsi="Arial"/>
          <w:sz w:val="17"/>
          <w:szCs w:val="17"/>
          <w:color w:val="auto"/>
        </w:rPr>
        <w:t>No equity award may be backdated. A future date may be used if, among other reasons, the Compensation Committee’s action occurs in proximity to the release of earnings or during a trading blackout period.</w:t>
      </w:r>
    </w:p>
    <w:p>
      <w:pPr>
        <w:spacing w:after="0" w:line="91" w:lineRule="exact"/>
        <w:rPr>
          <w:rFonts w:ascii="Arial" w:cs="Arial" w:eastAsia="Arial" w:hAnsi="Arial"/>
          <w:sz w:val="17"/>
          <w:szCs w:val="17"/>
          <w:color w:val="002E6D"/>
        </w:rPr>
      </w:pPr>
    </w:p>
    <w:p>
      <w:pPr>
        <w:ind w:left="240" w:right="120" w:hanging="152"/>
        <w:spacing w:after="0" w:line="274" w:lineRule="auto"/>
        <w:tabs>
          <w:tab w:leader="none" w:pos="205" w:val="left"/>
        </w:tabs>
        <w:numPr>
          <w:ilvl w:val="0"/>
          <w:numId w:val="93"/>
        </w:numPr>
        <w:rPr>
          <w:rFonts w:ascii="Arial" w:cs="Arial" w:eastAsia="Arial" w:hAnsi="Arial"/>
          <w:sz w:val="17"/>
          <w:szCs w:val="17"/>
          <w:color w:val="002E6D"/>
        </w:rPr>
      </w:pPr>
      <w:r>
        <w:rPr>
          <w:rFonts w:ascii="Arial" w:cs="Arial" w:eastAsia="Arial" w:hAnsi="Arial"/>
          <w:sz w:val="17"/>
          <w:szCs w:val="17"/>
          <w:color w:val="auto"/>
        </w:rPr>
        <w:t>Proposed equity awards are presented to the Compensation Committee in February of each year. Off-cycle awards may be considered in special circumstances, which may include hiring, retention or acquisition transactions.</w:t>
      </w:r>
    </w:p>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In addition, our equity plans explicitly prohibit repricing of stock options or paying cash for underwater stock options.</w:t>
      </w:r>
    </w:p>
    <w:p>
      <w:pPr>
        <w:spacing w:after="0" w:line="127" w:lineRule="exact"/>
        <w:rPr>
          <w:sz w:val="20"/>
          <w:szCs w:val="20"/>
          <w:color w:val="auto"/>
        </w:rPr>
      </w:pPr>
    </w:p>
    <w:p>
      <w:pPr>
        <w:spacing w:after="0"/>
        <w:rPr>
          <w:sz w:val="20"/>
          <w:szCs w:val="20"/>
          <w:color w:val="auto"/>
        </w:rPr>
      </w:pPr>
      <w:r>
        <w:rPr>
          <w:rFonts w:ascii="Arial" w:cs="Arial" w:eastAsia="Arial" w:hAnsi="Arial"/>
          <w:sz w:val="21"/>
          <w:szCs w:val="21"/>
          <w:color w:val="818EB4"/>
        </w:rPr>
        <w:t>Clawback and Other Protective Provisions</w:t>
      </w:r>
    </w:p>
    <w:p>
      <w:pPr>
        <w:spacing w:after="0" w:line="122"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The Governance Guidelines include a clawback policy, which provides that if the Board of Directors determines that (1) an officer’s intentional misconduct, gross negligence or failure to report such acts by another person is a contributing factor in requiring us to restate any of our financial statements or constituted fraud, bribery or another illegal act (or contributed to another person’s fraud, bribery or other illegal act) that adversely impacts our financial position or reputation; (2) an officer’s intentional misconduct or gross negligence causes severe reputational or financial harm to the Company; or (3) an officer’s misappropriation of Lockheed Martin Proprietary Information causes, or is intended to cause, severe reputational or financial harm to the Company, then the Board shall take such action as it deems in the best interest of the Company and necessary to remedy the misconduct and prevent its recurrence. Among other actions, the Board may seek to recover or require reimbursement of amounts awarded to the officer in the form of an annual incentive bonus or LTI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264160</wp:posOffset>
            </wp:positionV>
            <wp:extent cx="963930" cy="2216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51</w:t>
      </w:r>
    </w:p>
    <w:p>
      <w:pPr>
        <w:sectPr>
          <w:pgSz w:w="11900" w:h="16838" w:orient="portrait"/>
          <w:cols w:equalWidth="0" w:num="1">
            <w:col w:w="11220"/>
          </w:cols>
          <w:pgMar w:left="320" w:top="254" w:right="359" w:bottom="1440" w:gutter="0" w:footer="0" w:header="0"/>
        </w:sectPr>
      </w:pPr>
    </w:p>
    <w:bookmarkStart w:id="57" w:name="page58"/>
    <w:bookmarkEnd w:id="57"/>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7"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The clawback policy is incorporated into our annual incentive plan and in the award agreements for the long-term incentive awards (parts (2) and (3) above beginning in 2019), covering all variable incentive compensation. There were no events requiring Board consideration of a clawback action during 2021. If the Board recoups incentive compensation under the policy, management intends to disclose the aggregate amount of incentive compensation recovered, so long as the underlying event has already been publicly disclosed in our filings with the SEC. This disclosure would appear in the proxy statement following any such Board action and would provide the aggregate amount of recovery for each event if there is more than one applicable event. The award agreements for the NEOs and all executive-level award agreements also contain post-employment restrictive covenants, and compensation awarded under those agreements may be subject to clawback in the event an executive breaches any of the post-employment restrictive covenants.</w:t>
      </w:r>
    </w:p>
    <w:p>
      <w:pPr>
        <w:spacing w:after="0" w:line="100" w:lineRule="exact"/>
        <w:rPr>
          <w:sz w:val="20"/>
          <w:szCs w:val="20"/>
          <w:color w:val="auto"/>
        </w:rPr>
      </w:pPr>
    </w:p>
    <w:p>
      <w:pPr>
        <w:spacing w:after="0"/>
        <w:rPr>
          <w:sz w:val="20"/>
          <w:szCs w:val="20"/>
          <w:color w:val="auto"/>
        </w:rPr>
      </w:pPr>
      <w:r>
        <w:rPr>
          <w:rFonts w:ascii="Arial" w:cs="Arial" w:eastAsia="Arial" w:hAnsi="Arial"/>
          <w:sz w:val="21"/>
          <w:szCs w:val="21"/>
          <w:color w:val="818EB4"/>
        </w:rPr>
        <w:t>Anti-Hedging and Pledging Policy</w:t>
      </w:r>
    </w:p>
    <w:p>
      <w:pPr>
        <w:spacing w:after="0" w:line="122"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Our policies prohibit hedging and pledging of Lockheed Martin stock by all directors, officers and employees. Under our policies, Lockheed Martin directors, officers and employees may not purchase or sell derivative securities based on Lockheed Martin common stock or other Lockheed Martin securities. This policy also prohibits hedging or monetization transactions such as forward-sale contracts, equity swaps, collars and exchange funds, that are designed to hedge or offset any decrease in the market value of equity securities, lock in then-current market gains without the sale of the underlying security, or transactions in which the director or employee may divest aspects of the risks and rewards of ownership. This policy applies both to shares of Lockheed Martin common stock that are either (1) granted to directors, officers or employees by Lockheed Martin as part of their compensation or (2) held, directly or indirectly, by directors, officers or employees.</w:t>
      </w:r>
    </w:p>
    <w:p>
      <w:pPr>
        <w:spacing w:after="0" w:line="101" w:lineRule="exact"/>
        <w:rPr>
          <w:sz w:val="20"/>
          <w:szCs w:val="20"/>
          <w:color w:val="auto"/>
        </w:rPr>
      </w:pPr>
    </w:p>
    <w:p>
      <w:pPr>
        <w:spacing w:after="0"/>
        <w:rPr>
          <w:sz w:val="20"/>
          <w:szCs w:val="20"/>
          <w:color w:val="auto"/>
        </w:rPr>
      </w:pPr>
      <w:r>
        <w:rPr>
          <w:rFonts w:ascii="Arial" w:cs="Arial" w:eastAsia="Arial" w:hAnsi="Arial"/>
          <w:sz w:val="21"/>
          <w:szCs w:val="21"/>
          <w:color w:val="818EB4"/>
        </w:rPr>
        <w:t>Stock Ownership Requirements for Key Employees</w:t>
      </w:r>
    </w:p>
    <w:p>
      <w:pPr>
        <w:spacing w:after="0" w:line="122" w:lineRule="exact"/>
        <w:rPr>
          <w:sz w:val="20"/>
          <w:szCs w:val="20"/>
          <w:color w:val="auto"/>
        </w:rPr>
      </w:pPr>
    </w:p>
    <w:p>
      <w:pPr>
        <w:ind w:right="460"/>
        <w:spacing w:after="0" w:line="274" w:lineRule="auto"/>
        <w:rPr>
          <w:sz w:val="20"/>
          <w:szCs w:val="20"/>
          <w:color w:val="auto"/>
        </w:rPr>
      </w:pPr>
      <w:r>
        <w:rPr>
          <w:rFonts w:ascii="Arial" w:cs="Arial" w:eastAsia="Arial" w:hAnsi="Arial"/>
          <w:sz w:val="17"/>
          <w:szCs w:val="17"/>
          <w:color w:val="auto"/>
        </w:rPr>
        <w:t>To better align their interests with the long-term interests of our stockholders, we expect our officers (including the NEOs) and other members of management to maintain an ownership interest in the Company based on the following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056120" cy="767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056120" cy="76771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p>
      <w:pPr>
        <w:spacing w:after="0" w:line="319" w:lineRule="exact"/>
        <w:rPr>
          <w:sz w:val="20"/>
          <w:szCs w:val="20"/>
          <w:color w:val="auto"/>
        </w:rPr>
      </w:pPr>
    </w:p>
    <w:p>
      <w:pPr>
        <w:ind w:left="100"/>
        <w:spacing w:after="0"/>
        <w:rPr>
          <w:sz w:val="20"/>
          <w:szCs w:val="20"/>
          <w:color w:val="auto"/>
        </w:rPr>
      </w:pPr>
      <w:r>
        <w:rPr>
          <w:rFonts w:ascii="Arial" w:cs="Arial" w:eastAsia="Arial" w:hAnsi="Arial"/>
          <w:sz w:val="24"/>
          <w:szCs w:val="24"/>
          <w:b w:val="1"/>
          <w:bCs w:val="1"/>
          <w:color w:val="003478"/>
          <w:shd w:val="clear" w:color="auto" w:fill="E4E6EF"/>
        </w:rPr>
        <w:t>6x</w:t>
      </w:r>
    </w:p>
    <w:p>
      <w:pPr>
        <w:spacing w:after="0" w:line="88" w:lineRule="exact"/>
        <w:rPr>
          <w:sz w:val="20"/>
          <w:szCs w:val="20"/>
          <w:color w:val="auto"/>
        </w:rPr>
      </w:pPr>
    </w:p>
    <w:p>
      <w:pPr>
        <w:ind w:left="100" w:right="220"/>
        <w:spacing w:after="0" w:line="257" w:lineRule="auto"/>
        <w:rPr>
          <w:sz w:val="20"/>
          <w:szCs w:val="20"/>
          <w:color w:val="auto"/>
        </w:rPr>
      </w:pPr>
      <w:r>
        <w:rPr>
          <w:rFonts w:ascii="Arial" w:cs="Arial" w:eastAsia="Arial" w:hAnsi="Arial"/>
          <w:sz w:val="17"/>
          <w:szCs w:val="17"/>
          <w:color w:val="auto"/>
          <w:shd w:val="clear" w:color="auto" w:fill="E4E6EF"/>
        </w:rPr>
        <w:t>base salary for CEO and Chairman</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24"/>
          <w:szCs w:val="24"/>
          <w:b w:val="1"/>
          <w:bCs w:val="1"/>
          <w:color w:val="003478"/>
          <w:shd w:val="clear" w:color="auto" w:fill="E4E6EF"/>
        </w:rPr>
        <w:t>4x</w:t>
      </w:r>
    </w:p>
    <w:p>
      <w:pPr>
        <w:spacing w:after="0" w:line="88"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shd w:val="clear" w:color="auto" w:fill="E4E6EF"/>
        </w:rPr>
        <w:t>base salary for Chief Financial Officer and Chief Operating Officer</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24"/>
          <w:szCs w:val="24"/>
          <w:b w:val="1"/>
          <w:bCs w:val="1"/>
          <w:color w:val="003478"/>
          <w:shd w:val="clear" w:color="auto" w:fill="E4E6EF"/>
        </w:rPr>
        <w:t>3x</w:t>
      </w:r>
    </w:p>
    <w:p>
      <w:pPr>
        <w:spacing w:after="0" w:line="8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shd w:val="clear" w:color="auto" w:fill="E4E6EF"/>
        </w:rPr>
        <w:t>base salary for Executive Vice Presidents</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24"/>
          <w:szCs w:val="24"/>
          <w:b w:val="1"/>
          <w:bCs w:val="1"/>
          <w:color w:val="003478"/>
          <w:shd w:val="clear" w:color="auto" w:fill="E4E6EF"/>
        </w:rPr>
        <w:t>2x</w:t>
      </w:r>
    </w:p>
    <w:p>
      <w:pPr>
        <w:spacing w:after="0" w:line="88" w:lineRule="exact"/>
        <w:rPr>
          <w:sz w:val="20"/>
          <w:szCs w:val="20"/>
          <w:color w:val="auto"/>
        </w:rPr>
      </w:pPr>
    </w:p>
    <w:p>
      <w:pPr>
        <w:ind w:right="660"/>
        <w:spacing w:after="0" w:line="252" w:lineRule="auto"/>
        <w:rPr>
          <w:sz w:val="20"/>
          <w:szCs w:val="20"/>
          <w:color w:val="auto"/>
        </w:rPr>
      </w:pPr>
      <w:r>
        <w:rPr>
          <w:rFonts w:ascii="Arial" w:cs="Arial" w:eastAsia="Arial" w:hAnsi="Arial"/>
          <w:sz w:val="17"/>
          <w:szCs w:val="17"/>
          <w:color w:val="auto"/>
          <w:shd w:val="clear" w:color="auto" w:fill="E4E6EF"/>
        </w:rPr>
        <w:t>base salary for Senior Vice Presidents and Elected Vice Presidents</w:t>
      </w:r>
    </w:p>
    <w:p>
      <w:pPr>
        <w:spacing w:after="0" w:line="200" w:lineRule="exact"/>
        <w:rPr>
          <w:sz w:val="20"/>
          <w:szCs w:val="20"/>
          <w:color w:val="auto"/>
        </w:rPr>
      </w:pPr>
    </w:p>
    <w:p>
      <w:pPr>
        <w:sectPr>
          <w:pgSz w:w="11900" w:h="16838" w:orient="portrait"/>
          <w:cols w:equalWidth="0" w:num="4">
            <w:col w:w="2180" w:space="720"/>
            <w:col w:w="2280" w:space="520"/>
            <w:col w:w="2280" w:space="480"/>
            <w:col w:w="2780"/>
          </w:cols>
          <w:pgMar w:left="320" w:top="254" w:right="339" w:bottom="1440" w:gutter="0" w:footer="0" w:header="0"/>
          <w:type w:val="continuous"/>
        </w:sectPr>
      </w:pPr>
    </w:p>
    <w:p>
      <w:pPr>
        <w:spacing w:after="0" w:line="31"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NEOs are required to achieve ownership levels within five years of assuming their role and must hold net shares from vested RSUs and PSUs and net shares from options exercised until the value of the shares equals the specified multiple of base salary. The securities counted toward their respective target threshold include common stock, unvested RSUs, and stock units under our 401(k) plans and other deferral plans. Unvested PSUs are not counted towards ownership levels. As of December 31, 2021, each of our NEOs had exceeded their respective ownership requirements, irrespective of whether they have been in their current role for five years. NEOs who are no longer executive officers as of December 31, 2021 are not included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57150</wp:posOffset>
            </wp:positionV>
            <wp:extent cx="5810250" cy="21158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810250" cy="2115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52</w:t>
      </w:r>
    </w:p>
    <w:p>
      <w:pPr>
        <w:sectPr>
          <w:pgSz w:w="11900" w:h="16838" w:orient="portrait"/>
          <w:cols w:equalWidth="0" w:num="1">
            <w:col w:w="11240"/>
          </w:cols>
          <w:pgMar w:left="320" w:top="254" w:right="339" w:bottom="1440" w:gutter="0" w:footer="0" w:header="0"/>
          <w:type w:val="continuous"/>
        </w:sectPr>
      </w:pPr>
    </w:p>
    <w:bookmarkStart w:id="58" w:name="page59"/>
    <w:bookmarkEnd w:id="58"/>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21"/>
          <w:szCs w:val="21"/>
          <w:color w:val="818EB4"/>
        </w:rPr>
        <w:t>Benefit, Retirement and Perquisite Programs</w:t>
      </w:r>
    </w:p>
    <w:p>
      <w:pPr>
        <w:spacing w:after="0" w:line="122"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We offer other compensatory arrangements to our NEOs. The purpose for these benefits is to ensure security of executives, provide assistance with business-related expenses, and be competitive with the other companies in our industry. Below is a summary of programs available to our NEOs. Further details are described in footnotes to the Summary Compensation Table on page 54.</w:t>
      </w:r>
    </w:p>
    <w:p>
      <w:pPr>
        <w:spacing w:after="0" w:line="75"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002F6C"/>
        </w:rPr>
        <w:t xml:space="preserve">Health, Welfare and Retirement Benefits. </w:t>
      </w:r>
      <w:r>
        <w:rPr>
          <w:rFonts w:ascii="Arial" w:cs="Arial" w:eastAsia="Arial" w:hAnsi="Arial"/>
          <w:sz w:val="17"/>
          <w:szCs w:val="17"/>
          <w:color w:val="000000"/>
        </w:rPr>
        <w:t>Our NEOs are eligible for savings, pension, medical, disability, and life insurance benefits under the</w:t>
      </w:r>
      <w:r>
        <w:rPr>
          <w:rFonts w:ascii="Arial" w:cs="Arial" w:eastAsia="Arial" w:hAnsi="Arial"/>
          <w:sz w:val="17"/>
          <w:szCs w:val="17"/>
          <w:b w:val="1"/>
          <w:bCs w:val="1"/>
          <w:color w:val="002F6C"/>
        </w:rPr>
        <w:t xml:space="preserve"> </w:t>
      </w:r>
      <w:r>
        <w:rPr>
          <w:rFonts w:ascii="Arial" w:cs="Arial" w:eastAsia="Arial" w:hAnsi="Arial"/>
          <w:sz w:val="17"/>
          <w:szCs w:val="17"/>
          <w:color w:val="000000"/>
        </w:rPr>
        <w:t>plans available to salaried, non-union employees. We offer supplemental pension and savings plans to make up for benefits that otherwise would be unavailable due to Internal Revenue Service (IRS) limits on qualified plans. These plans are restorative and do not provide an enhanced benefit. We also offer a plan for the deferral of short-term and long-term cash performance incentive compensation. Pension and supplemental pension plans that the NEOs participate in were completely frozen effective January 1, 2020. Mr. Taiclet does not participate in any pension or supplemental pension plan.</w:t>
      </w:r>
    </w:p>
    <w:p>
      <w:pPr>
        <w:spacing w:after="0" w:line="78"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b w:val="1"/>
          <w:bCs w:val="1"/>
          <w:color w:val="002F6C"/>
        </w:rPr>
        <w:t xml:space="preserve">Perquisites and Security. </w:t>
      </w:r>
      <w:r>
        <w:rPr>
          <w:rFonts w:ascii="Arial" w:cs="Arial" w:eastAsia="Arial" w:hAnsi="Arial"/>
          <w:sz w:val="17"/>
          <w:szCs w:val="17"/>
          <w:color w:val="000000"/>
        </w:rPr>
        <w:t>Perquisites provided to the NEOs include executive physicals, relocation assistance (when applicable), personal travel on</w:t>
      </w:r>
      <w:r>
        <w:rPr>
          <w:rFonts w:ascii="Arial" w:cs="Arial" w:eastAsia="Arial" w:hAnsi="Arial"/>
          <w:sz w:val="17"/>
          <w:szCs w:val="17"/>
          <w:b w:val="1"/>
          <w:bCs w:val="1"/>
          <w:color w:val="002F6C"/>
        </w:rPr>
        <w:t xml:space="preserve"> </w:t>
      </w:r>
      <w:r>
        <w:rPr>
          <w:rFonts w:ascii="Arial" w:cs="Arial" w:eastAsia="Arial" w:hAnsi="Arial"/>
          <w:sz w:val="17"/>
          <w:szCs w:val="17"/>
          <w:color w:val="000000"/>
        </w:rPr>
        <w:t>the corporate aircraft, and gifts for retirement or years of service milestones (when applicable), as well as home and personal security as needed to address security concerns arising out of our business. We believe security is necessary and generally provided to executives within our industry given the nature of our business. In the event of a threat to an executive officer, the CBS Committee reviews the security recommended by our Chief Security Officer, and approves accordingly. Furthermore, our Board has directed our CEO to use corporate aircraft for security reasons while on business and personal travel. Other NEOs may use the corporate aircraft for personal travel dependent upon circumstances and availability. For 2021, personal use of the corporate aircraft for Mr. Taiclet amounted to $1,115,376. Of this amount, $353,303 related to flights that were exclusively personal in nature. The remainder is the incremental cost of flights that had a personal benefit but were associated with a Lockheed Martin business purpose; which, in light of the COVID-19 pandemic, includes the incremental cost of travel to the Company’s headquarters for business purposes from an out-of-state residence of $241,365, the incremental cost of $316,071 for re-positioning, or “deadhead,” flights associated with these flights given the home base of the corporate aircraft and flight crew, and the incremental cost of $204,637 for flights related to Lockheed Martin business originating or ending in a location other than the Company’s headquarters, including any deadheads.</w:t>
      </w:r>
    </w:p>
    <w:p>
      <w:pPr>
        <w:spacing w:after="0" w:line="78"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b w:val="1"/>
          <w:bCs w:val="1"/>
          <w:color w:val="002F6C"/>
        </w:rPr>
        <w:t xml:space="preserve">Tax Assistance. </w:t>
      </w:r>
      <w:r>
        <w:rPr>
          <w:rFonts w:ascii="Arial" w:cs="Arial" w:eastAsia="Arial" w:hAnsi="Arial"/>
          <w:sz w:val="17"/>
          <w:szCs w:val="17"/>
          <w:color w:val="000000"/>
        </w:rPr>
        <w:t>We do not have agreements or severance arrangements that provide tax gross-ups for excise taxes imposed as a result of a</w:t>
      </w:r>
      <w:r>
        <w:rPr>
          <w:rFonts w:ascii="Arial" w:cs="Arial" w:eastAsia="Arial" w:hAnsi="Arial"/>
          <w:sz w:val="17"/>
          <w:szCs w:val="17"/>
          <w:b w:val="1"/>
          <w:bCs w:val="1"/>
          <w:color w:val="002F6C"/>
        </w:rPr>
        <w:t xml:space="preserve"> </w:t>
      </w:r>
      <w:r>
        <w:rPr>
          <w:rFonts w:ascii="Arial" w:cs="Arial" w:eastAsia="Arial" w:hAnsi="Arial"/>
          <w:sz w:val="17"/>
          <w:szCs w:val="17"/>
          <w:color w:val="000000"/>
        </w:rPr>
        <w:t>change in control. In 2021, we provided tax assistance for taxable security expenses, relocation-related expenses in accordance with our relocation policies and travel expenses for a family member accompanying a NEO on travel determined to be business travel for tax purposes. In addition, we pay an amount estimated to cover the state income tax imposed on employees who became subject to income tax in a state other than their state of residence due to business travel. Tax assistance was provided for these items because the associated tax liability imposed on the executive would not have been incurred unless business reasons required the items to be provided or the executive to travel to the non-resident state. We also provided tax assistance for a retirement gift to Ms. Hewson.</w:t>
      </w:r>
    </w:p>
    <w:p>
      <w:pPr>
        <w:spacing w:after="0" w:line="98" w:lineRule="exact"/>
        <w:rPr>
          <w:sz w:val="20"/>
          <w:szCs w:val="20"/>
          <w:color w:val="auto"/>
        </w:rPr>
      </w:pPr>
    </w:p>
    <w:p>
      <w:pPr>
        <w:spacing w:after="0"/>
        <w:rPr>
          <w:sz w:val="20"/>
          <w:szCs w:val="20"/>
          <w:color w:val="auto"/>
        </w:rPr>
      </w:pPr>
      <w:r>
        <w:rPr>
          <w:rFonts w:ascii="Arial" w:cs="Arial" w:eastAsia="Arial" w:hAnsi="Arial"/>
          <w:sz w:val="21"/>
          <w:szCs w:val="21"/>
          <w:color w:val="818EB4"/>
        </w:rPr>
        <w:t>Post-Employment, Change in Control, Divestiture and Severance Benefits</w:t>
      </w:r>
    </w:p>
    <w:p>
      <w:pPr>
        <w:spacing w:after="0" w:line="122"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Our NEOs do not have employment agreements but participate in the Lockheed Martin Corporation Executive Severance Plan. Benefits are payable under this plan in the event of a Company-initiated termination of employment other than for cause. All of the NEOs are covered under the plan. The benefit payable in a lump sum under the plan is two weeks of basic severance plus a supplemental payment of one times the NEO’s base salary and the equivalent of one year’s target annual incentive bonus. For the CEO, the multiplier is 2.99 instead of one. NEOs participating in the plan also receive a lump sum payment to cover the cost of medical benefits for one year in addition to outplacement and relocation services. To receive the supplemental severance benefit, the NEO must execute a release of claims and an agreement containing post-employment, non-compete and non-solicitation covenants identical to those included in our NEOs’ LTI award agreements.</w:t>
      </w:r>
    </w:p>
    <w:p>
      <w:pPr>
        <w:spacing w:after="0" w:line="102"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With respect to LTI, upon certain terminations of employment, including death, disability, retirement, layoff, divestiture or a change in control, the NEOs may be eligible for continued vesting on the normal schedule, immediate payment of benefits previously earned or accelerated vesting of LTI awards in full or on a pro rata basis. The type of event and the nature of the benefit determine which of these approaches will apply. The purpose of these provisions is to protect previously earned or granted benefits by making them available following the specified event. We view the vesting (or continued vesting) to be an important retention feature for senior-level employees. Because benefits paid at termination consist of previously granted or earned benefits, we do not consider termination benefits as a separate item in compensation decisions. Our LTI awards do not provide for tax assistance.</w:t>
      </w:r>
    </w:p>
    <w:p>
      <w:pPr>
        <w:spacing w:after="0" w:line="102"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In the event of a change in control, our plans provide for the acceleration of the payment of the non-qualified portion of earned pension benefits and non-qualified deferred compensation. All LTI awards require a “double trigger” for vesting to accelerate (both a change in control and a qualifying termination of employment), unless the successor does not assume or continue the awards or provide substitute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260350</wp:posOffset>
            </wp:positionV>
            <wp:extent cx="963930" cy="2216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53</w:t>
      </w:r>
    </w:p>
    <w:p>
      <w:pPr>
        <w:sectPr>
          <w:pgSz w:w="11900" w:h="16838" w:orient="portrait"/>
          <w:cols w:equalWidth="0" w:num="1">
            <w:col w:w="11240"/>
          </w:cols>
          <w:pgMar w:left="320" w:top="254" w:right="339" w:bottom="1440" w:gutter="0" w:footer="0" w:header="0"/>
        </w:sectPr>
      </w:pPr>
    </w:p>
    <w:bookmarkStart w:id="59" w:name="page60"/>
    <w:bookmarkEnd w:id="59"/>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ind w:left="9560"/>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9"/>
          <w:szCs w:val="29"/>
          <w:color w:val="003478"/>
        </w:rPr>
        <w:t>Summary Compensation Table</w:t>
      </w:r>
    </w:p>
    <w:p>
      <w:pPr>
        <w:spacing w:after="0" w:line="121"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The following table shows annual and long-term compensation awarded, earned or paid for services in all capacities to the NEOs for the fiscal year ended December 31, 2021 and, where applicable, the prior fiscal years. Numbers have been rounded to the nearest dollar.</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700" w:type="dxa"/>
            <w:vAlign w:val="bottom"/>
            <w:shd w:val="clear" w:color="auto" w:fill="E5E7EF"/>
          </w:tcPr>
          <w:p>
            <w:pPr>
              <w:spacing w:after="0"/>
              <w:rPr>
                <w:sz w:val="14"/>
                <w:szCs w:val="14"/>
                <w:color w:val="auto"/>
              </w:rPr>
            </w:pPr>
          </w:p>
        </w:tc>
        <w:tc>
          <w:tcPr>
            <w:tcW w:w="700" w:type="dxa"/>
            <w:vAlign w:val="bottom"/>
            <w:shd w:val="clear" w:color="auto" w:fill="E5E7EF"/>
          </w:tcPr>
          <w:p>
            <w:pPr>
              <w:spacing w:after="0"/>
              <w:rPr>
                <w:sz w:val="14"/>
                <w:szCs w:val="14"/>
                <w:color w:val="auto"/>
              </w:rPr>
            </w:pPr>
          </w:p>
        </w:tc>
        <w:tc>
          <w:tcPr>
            <w:tcW w:w="1060" w:type="dxa"/>
            <w:vAlign w:val="bottom"/>
            <w:shd w:val="clear" w:color="auto" w:fill="E5E7EF"/>
          </w:tcPr>
          <w:p>
            <w:pPr>
              <w:spacing w:after="0"/>
              <w:rPr>
                <w:sz w:val="14"/>
                <w:szCs w:val="14"/>
                <w:color w:val="auto"/>
              </w:rPr>
            </w:pPr>
          </w:p>
        </w:tc>
        <w:tc>
          <w:tcPr>
            <w:tcW w:w="200" w:type="dxa"/>
            <w:vAlign w:val="bottom"/>
            <w:shd w:val="clear" w:color="auto" w:fill="E5E7EF"/>
          </w:tcPr>
          <w:p>
            <w:pPr>
              <w:spacing w:after="0"/>
              <w:rPr>
                <w:sz w:val="14"/>
                <w:szCs w:val="14"/>
                <w:color w:val="auto"/>
              </w:rPr>
            </w:pPr>
          </w:p>
        </w:tc>
        <w:tc>
          <w:tcPr>
            <w:tcW w:w="900" w:type="dxa"/>
            <w:vAlign w:val="bottom"/>
            <w:shd w:val="clear" w:color="auto" w:fill="E5E7EF"/>
          </w:tcPr>
          <w:p>
            <w:pPr>
              <w:spacing w:after="0"/>
              <w:rPr>
                <w:sz w:val="14"/>
                <w:szCs w:val="14"/>
                <w:color w:val="auto"/>
              </w:rPr>
            </w:pPr>
          </w:p>
        </w:tc>
        <w:tc>
          <w:tcPr>
            <w:tcW w:w="1080" w:type="dxa"/>
            <w:vAlign w:val="bottom"/>
            <w:shd w:val="clear" w:color="auto" w:fill="E5E7EF"/>
          </w:tcPr>
          <w:p>
            <w:pPr>
              <w:spacing w:after="0"/>
              <w:rPr>
                <w:sz w:val="14"/>
                <w:szCs w:val="14"/>
                <w:color w:val="auto"/>
              </w:rPr>
            </w:pPr>
          </w:p>
        </w:tc>
        <w:tc>
          <w:tcPr>
            <w:tcW w:w="1240" w:type="dxa"/>
            <w:vAlign w:val="bottom"/>
            <w:shd w:val="clear" w:color="auto" w:fill="E5E7EF"/>
          </w:tcPr>
          <w:p>
            <w:pPr>
              <w:spacing w:after="0"/>
              <w:rPr>
                <w:sz w:val="14"/>
                <w:szCs w:val="14"/>
                <w:color w:val="auto"/>
              </w:rPr>
            </w:pPr>
          </w:p>
        </w:tc>
        <w:tc>
          <w:tcPr>
            <w:tcW w:w="1160" w:type="dxa"/>
            <w:vAlign w:val="bottom"/>
            <w:shd w:val="clear" w:color="auto" w:fill="E5E7EF"/>
          </w:tcPr>
          <w:p>
            <w:pPr>
              <w:jc w:val="right"/>
              <w:ind w:right="92"/>
              <w:spacing w:after="0"/>
              <w:rPr>
                <w:sz w:val="20"/>
                <w:szCs w:val="20"/>
                <w:color w:val="auto"/>
              </w:rPr>
            </w:pPr>
            <w:r>
              <w:rPr>
                <w:rFonts w:ascii="Arial" w:cs="Arial" w:eastAsia="Arial" w:hAnsi="Arial"/>
                <w:sz w:val="13"/>
                <w:szCs w:val="13"/>
                <w:color w:val="auto"/>
              </w:rPr>
              <w:t>Change in</w:t>
            </w:r>
          </w:p>
        </w:tc>
        <w:tc>
          <w:tcPr>
            <w:tcW w:w="1240" w:type="dxa"/>
            <w:vAlign w:val="bottom"/>
            <w:shd w:val="clear" w:color="auto" w:fill="E5E7EF"/>
          </w:tcPr>
          <w:p>
            <w:pPr>
              <w:spacing w:after="0"/>
              <w:rPr>
                <w:sz w:val="14"/>
                <w:szCs w:val="14"/>
                <w:color w:val="auto"/>
              </w:rPr>
            </w:pPr>
          </w:p>
        </w:tc>
        <w:tc>
          <w:tcPr>
            <w:tcW w:w="960" w:type="dxa"/>
            <w:vAlign w:val="bottom"/>
            <w:shd w:val="clear" w:color="auto" w:fill="E5E7E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E5E7EF"/>
          </w:tcPr>
          <w:p>
            <w:pPr>
              <w:spacing w:after="0"/>
              <w:rPr>
                <w:sz w:val="12"/>
                <w:szCs w:val="12"/>
                <w:color w:val="auto"/>
              </w:rPr>
            </w:pPr>
          </w:p>
        </w:tc>
        <w:tc>
          <w:tcPr>
            <w:tcW w:w="700" w:type="dxa"/>
            <w:vAlign w:val="bottom"/>
            <w:shd w:val="clear" w:color="auto" w:fill="E5E7EF"/>
          </w:tcPr>
          <w:p>
            <w:pPr>
              <w:spacing w:after="0"/>
              <w:rPr>
                <w:sz w:val="12"/>
                <w:szCs w:val="12"/>
                <w:color w:val="auto"/>
              </w:rPr>
            </w:pPr>
          </w:p>
        </w:tc>
        <w:tc>
          <w:tcPr>
            <w:tcW w:w="1060" w:type="dxa"/>
            <w:vAlign w:val="bottom"/>
            <w:shd w:val="clear" w:color="auto" w:fill="E5E7EF"/>
          </w:tcPr>
          <w:p>
            <w:pPr>
              <w:spacing w:after="0"/>
              <w:rPr>
                <w:sz w:val="12"/>
                <w:szCs w:val="12"/>
                <w:color w:val="auto"/>
              </w:rPr>
            </w:pPr>
          </w:p>
        </w:tc>
        <w:tc>
          <w:tcPr>
            <w:tcW w:w="200" w:type="dxa"/>
            <w:vAlign w:val="bottom"/>
            <w:shd w:val="clear" w:color="auto" w:fill="E5E7EF"/>
          </w:tcPr>
          <w:p>
            <w:pPr>
              <w:spacing w:after="0"/>
              <w:rPr>
                <w:sz w:val="12"/>
                <w:szCs w:val="12"/>
                <w:color w:val="auto"/>
              </w:rPr>
            </w:pPr>
          </w:p>
        </w:tc>
        <w:tc>
          <w:tcPr>
            <w:tcW w:w="900" w:type="dxa"/>
            <w:vAlign w:val="bottom"/>
            <w:shd w:val="clear" w:color="auto" w:fill="E5E7EF"/>
          </w:tcPr>
          <w:p>
            <w:pPr>
              <w:spacing w:after="0"/>
              <w:rPr>
                <w:sz w:val="12"/>
                <w:szCs w:val="12"/>
                <w:color w:val="auto"/>
              </w:rPr>
            </w:pPr>
          </w:p>
        </w:tc>
        <w:tc>
          <w:tcPr>
            <w:tcW w:w="1080" w:type="dxa"/>
            <w:vAlign w:val="bottom"/>
            <w:shd w:val="clear" w:color="auto" w:fill="E5E7EF"/>
          </w:tcPr>
          <w:p>
            <w:pPr>
              <w:spacing w:after="0"/>
              <w:rPr>
                <w:sz w:val="12"/>
                <w:szCs w:val="12"/>
                <w:color w:val="auto"/>
              </w:rPr>
            </w:pPr>
          </w:p>
        </w:tc>
        <w:tc>
          <w:tcPr>
            <w:tcW w:w="1240" w:type="dxa"/>
            <w:vAlign w:val="bottom"/>
            <w:shd w:val="clear" w:color="auto" w:fill="E5E7EF"/>
          </w:tcPr>
          <w:p>
            <w:pPr>
              <w:spacing w:after="0"/>
              <w:rPr>
                <w:sz w:val="12"/>
                <w:szCs w:val="12"/>
                <w:color w:val="auto"/>
              </w:rPr>
            </w:pPr>
          </w:p>
        </w:tc>
        <w:tc>
          <w:tcPr>
            <w:tcW w:w="1160" w:type="dxa"/>
            <w:vAlign w:val="bottom"/>
            <w:shd w:val="clear" w:color="auto" w:fill="E5E7EF"/>
          </w:tcPr>
          <w:p>
            <w:pPr>
              <w:jc w:val="right"/>
              <w:ind w:right="92"/>
              <w:spacing w:after="0" w:line="148" w:lineRule="exact"/>
              <w:rPr>
                <w:sz w:val="20"/>
                <w:szCs w:val="20"/>
                <w:color w:val="auto"/>
              </w:rPr>
            </w:pPr>
            <w:r>
              <w:rPr>
                <w:rFonts w:ascii="Arial" w:cs="Arial" w:eastAsia="Arial" w:hAnsi="Arial"/>
                <w:sz w:val="13"/>
                <w:szCs w:val="13"/>
                <w:color w:val="auto"/>
              </w:rPr>
              <w:t>Pension</w:t>
            </w:r>
          </w:p>
        </w:tc>
        <w:tc>
          <w:tcPr>
            <w:tcW w:w="1240" w:type="dxa"/>
            <w:vAlign w:val="bottom"/>
            <w:shd w:val="clear" w:color="auto" w:fill="E5E7EF"/>
          </w:tcPr>
          <w:p>
            <w:pPr>
              <w:spacing w:after="0"/>
              <w:rPr>
                <w:sz w:val="12"/>
                <w:szCs w:val="12"/>
                <w:color w:val="auto"/>
              </w:rPr>
            </w:pPr>
          </w:p>
        </w:tc>
        <w:tc>
          <w:tcPr>
            <w:tcW w:w="960" w:type="dxa"/>
            <w:vAlign w:val="bottom"/>
            <w:shd w:val="clear" w:color="auto" w:fill="E5E7E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E5E7EF"/>
          </w:tcPr>
          <w:p>
            <w:pPr>
              <w:spacing w:after="0"/>
              <w:rPr>
                <w:sz w:val="12"/>
                <w:szCs w:val="12"/>
                <w:color w:val="auto"/>
              </w:rPr>
            </w:pPr>
          </w:p>
        </w:tc>
        <w:tc>
          <w:tcPr>
            <w:tcW w:w="700" w:type="dxa"/>
            <w:vAlign w:val="bottom"/>
            <w:shd w:val="clear" w:color="auto" w:fill="E5E7EF"/>
          </w:tcPr>
          <w:p>
            <w:pPr>
              <w:spacing w:after="0"/>
              <w:rPr>
                <w:sz w:val="12"/>
                <w:szCs w:val="12"/>
                <w:color w:val="auto"/>
              </w:rPr>
            </w:pPr>
          </w:p>
        </w:tc>
        <w:tc>
          <w:tcPr>
            <w:tcW w:w="1060" w:type="dxa"/>
            <w:vAlign w:val="bottom"/>
            <w:shd w:val="clear" w:color="auto" w:fill="E5E7EF"/>
          </w:tcPr>
          <w:p>
            <w:pPr>
              <w:spacing w:after="0"/>
              <w:rPr>
                <w:sz w:val="12"/>
                <w:szCs w:val="12"/>
                <w:color w:val="auto"/>
              </w:rPr>
            </w:pPr>
          </w:p>
        </w:tc>
        <w:tc>
          <w:tcPr>
            <w:tcW w:w="200" w:type="dxa"/>
            <w:vAlign w:val="bottom"/>
            <w:shd w:val="clear" w:color="auto" w:fill="E5E7EF"/>
          </w:tcPr>
          <w:p>
            <w:pPr>
              <w:spacing w:after="0"/>
              <w:rPr>
                <w:sz w:val="12"/>
                <w:szCs w:val="12"/>
                <w:color w:val="auto"/>
              </w:rPr>
            </w:pPr>
          </w:p>
        </w:tc>
        <w:tc>
          <w:tcPr>
            <w:tcW w:w="900" w:type="dxa"/>
            <w:vAlign w:val="bottom"/>
            <w:shd w:val="clear" w:color="auto" w:fill="E5E7EF"/>
          </w:tcPr>
          <w:p>
            <w:pPr>
              <w:spacing w:after="0"/>
              <w:rPr>
                <w:sz w:val="12"/>
                <w:szCs w:val="12"/>
                <w:color w:val="auto"/>
              </w:rPr>
            </w:pPr>
          </w:p>
        </w:tc>
        <w:tc>
          <w:tcPr>
            <w:tcW w:w="1080" w:type="dxa"/>
            <w:vAlign w:val="bottom"/>
            <w:shd w:val="clear" w:color="auto" w:fill="E5E7EF"/>
          </w:tcPr>
          <w:p>
            <w:pPr>
              <w:spacing w:after="0"/>
              <w:rPr>
                <w:sz w:val="12"/>
                <w:szCs w:val="12"/>
                <w:color w:val="auto"/>
              </w:rPr>
            </w:pPr>
          </w:p>
        </w:tc>
        <w:tc>
          <w:tcPr>
            <w:tcW w:w="1240" w:type="dxa"/>
            <w:vAlign w:val="bottom"/>
            <w:shd w:val="clear" w:color="auto" w:fill="E5E7EF"/>
          </w:tcPr>
          <w:p>
            <w:pPr>
              <w:spacing w:after="0"/>
              <w:rPr>
                <w:sz w:val="12"/>
                <w:szCs w:val="12"/>
                <w:color w:val="auto"/>
              </w:rPr>
            </w:pPr>
          </w:p>
        </w:tc>
        <w:tc>
          <w:tcPr>
            <w:tcW w:w="1160" w:type="dxa"/>
            <w:vAlign w:val="bottom"/>
            <w:shd w:val="clear" w:color="auto" w:fill="E5E7EF"/>
          </w:tcPr>
          <w:p>
            <w:pPr>
              <w:jc w:val="right"/>
              <w:ind w:right="92"/>
              <w:spacing w:after="0" w:line="148" w:lineRule="exact"/>
              <w:rPr>
                <w:sz w:val="20"/>
                <w:szCs w:val="20"/>
                <w:color w:val="auto"/>
              </w:rPr>
            </w:pPr>
            <w:r>
              <w:rPr>
                <w:rFonts w:ascii="Arial" w:cs="Arial" w:eastAsia="Arial" w:hAnsi="Arial"/>
                <w:sz w:val="13"/>
                <w:szCs w:val="13"/>
                <w:color w:val="auto"/>
              </w:rPr>
              <w:t>Value and</w:t>
            </w:r>
          </w:p>
        </w:tc>
        <w:tc>
          <w:tcPr>
            <w:tcW w:w="1240" w:type="dxa"/>
            <w:vAlign w:val="bottom"/>
            <w:shd w:val="clear" w:color="auto" w:fill="E5E7EF"/>
          </w:tcPr>
          <w:p>
            <w:pPr>
              <w:spacing w:after="0"/>
              <w:rPr>
                <w:sz w:val="12"/>
                <w:szCs w:val="12"/>
                <w:color w:val="auto"/>
              </w:rPr>
            </w:pPr>
          </w:p>
        </w:tc>
        <w:tc>
          <w:tcPr>
            <w:tcW w:w="960" w:type="dxa"/>
            <w:vAlign w:val="bottom"/>
            <w:shd w:val="clear" w:color="auto" w:fill="E5E7E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E5E7EF"/>
          </w:tcPr>
          <w:p>
            <w:pPr>
              <w:spacing w:after="0"/>
              <w:rPr>
                <w:sz w:val="12"/>
                <w:szCs w:val="12"/>
                <w:color w:val="auto"/>
              </w:rPr>
            </w:pPr>
          </w:p>
        </w:tc>
        <w:tc>
          <w:tcPr>
            <w:tcW w:w="700" w:type="dxa"/>
            <w:vAlign w:val="bottom"/>
            <w:shd w:val="clear" w:color="auto" w:fill="E5E7EF"/>
          </w:tcPr>
          <w:p>
            <w:pPr>
              <w:spacing w:after="0"/>
              <w:rPr>
                <w:sz w:val="12"/>
                <w:szCs w:val="12"/>
                <w:color w:val="auto"/>
              </w:rPr>
            </w:pPr>
          </w:p>
        </w:tc>
        <w:tc>
          <w:tcPr>
            <w:tcW w:w="1060" w:type="dxa"/>
            <w:vAlign w:val="bottom"/>
            <w:shd w:val="clear" w:color="auto" w:fill="E5E7EF"/>
          </w:tcPr>
          <w:p>
            <w:pPr>
              <w:spacing w:after="0"/>
              <w:rPr>
                <w:sz w:val="12"/>
                <w:szCs w:val="12"/>
                <w:color w:val="auto"/>
              </w:rPr>
            </w:pPr>
          </w:p>
        </w:tc>
        <w:tc>
          <w:tcPr>
            <w:tcW w:w="200" w:type="dxa"/>
            <w:vAlign w:val="bottom"/>
            <w:shd w:val="clear" w:color="auto" w:fill="E5E7EF"/>
          </w:tcPr>
          <w:p>
            <w:pPr>
              <w:spacing w:after="0"/>
              <w:rPr>
                <w:sz w:val="12"/>
                <w:szCs w:val="12"/>
                <w:color w:val="auto"/>
              </w:rPr>
            </w:pPr>
          </w:p>
        </w:tc>
        <w:tc>
          <w:tcPr>
            <w:tcW w:w="900" w:type="dxa"/>
            <w:vAlign w:val="bottom"/>
            <w:shd w:val="clear" w:color="auto" w:fill="E5E7EF"/>
          </w:tcPr>
          <w:p>
            <w:pPr>
              <w:spacing w:after="0"/>
              <w:rPr>
                <w:sz w:val="12"/>
                <w:szCs w:val="12"/>
                <w:color w:val="auto"/>
              </w:rPr>
            </w:pPr>
          </w:p>
        </w:tc>
        <w:tc>
          <w:tcPr>
            <w:tcW w:w="1080" w:type="dxa"/>
            <w:vAlign w:val="bottom"/>
            <w:shd w:val="clear" w:color="auto" w:fill="E5E7EF"/>
          </w:tcPr>
          <w:p>
            <w:pPr>
              <w:spacing w:after="0"/>
              <w:rPr>
                <w:sz w:val="12"/>
                <w:szCs w:val="12"/>
                <w:color w:val="auto"/>
              </w:rPr>
            </w:pPr>
          </w:p>
        </w:tc>
        <w:tc>
          <w:tcPr>
            <w:tcW w:w="1240" w:type="dxa"/>
            <w:vAlign w:val="bottom"/>
            <w:shd w:val="clear" w:color="auto" w:fill="E5E7EF"/>
          </w:tcPr>
          <w:p>
            <w:pPr>
              <w:spacing w:after="0"/>
              <w:rPr>
                <w:sz w:val="12"/>
                <w:szCs w:val="12"/>
                <w:color w:val="auto"/>
              </w:rPr>
            </w:pPr>
          </w:p>
        </w:tc>
        <w:tc>
          <w:tcPr>
            <w:tcW w:w="1160" w:type="dxa"/>
            <w:vAlign w:val="bottom"/>
            <w:shd w:val="clear" w:color="auto" w:fill="E5E7EF"/>
          </w:tcPr>
          <w:p>
            <w:pPr>
              <w:jc w:val="right"/>
              <w:ind w:right="92"/>
              <w:spacing w:after="0" w:line="148" w:lineRule="exact"/>
              <w:rPr>
                <w:sz w:val="20"/>
                <w:szCs w:val="20"/>
                <w:color w:val="auto"/>
              </w:rPr>
            </w:pPr>
            <w:r>
              <w:rPr>
                <w:rFonts w:ascii="Arial" w:cs="Arial" w:eastAsia="Arial" w:hAnsi="Arial"/>
                <w:sz w:val="13"/>
                <w:szCs w:val="13"/>
                <w:color w:val="auto"/>
              </w:rPr>
              <w:t>Nonqualified</w:t>
            </w:r>
          </w:p>
        </w:tc>
        <w:tc>
          <w:tcPr>
            <w:tcW w:w="1240" w:type="dxa"/>
            <w:vAlign w:val="bottom"/>
            <w:shd w:val="clear" w:color="auto" w:fill="E5E7EF"/>
          </w:tcPr>
          <w:p>
            <w:pPr>
              <w:spacing w:after="0"/>
              <w:rPr>
                <w:sz w:val="12"/>
                <w:szCs w:val="12"/>
                <w:color w:val="auto"/>
              </w:rPr>
            </w:pPr>
          </w:p>
        </w:tc>
        <w:tc>
          <w:tcPr>
            <w:tcW w:w="960" w:type="dxa"/>
            <w:vAlign w:val="bottom"/>
            <w:shd w:val="clear" w:color="auto" w:fill="E5E7E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E5E7EF"/>
          </w:tcPr>
          <w:p>
            <w:pPr>
              <w:spacing w:after="0"/>
              <w:rPr>
                <w:sz w:val="12"/>
                <w:szCs w:val="12"/>
                <w:color w:val="auto"/>
              </w:rPr>
            </w:pPr>
          </w:p>
        </w:tc>
        <w:tc>
          <w:tcPr>
            <w:tcW w:w="700" w:type="dxa"/>
            <w:vAlign w:val="bottom"/>
            <w:shd w:val="clear" w:color="auto" w:fill="E5E7EF"/>
          </w:tcPr>
          <w:p>
            <w:pPr>
              <w:spacing w:after="0"/>
              <w:rPr>
                <w:sz w:val="12"/>
                <w:szCs w:val="12"/>
                <w:color w:val="auto"/>
              </w:rPr>
            </w:pPr>
          </w:p>
        </w:tc>
        <w:tc>
          <w:tcPr>
            <w:tcW w:w="1060" w:type="dxa"/>
            <w:vAlign w:val="bottom"/>
            <w:shd w:val="clear" w:color="auto" w:fill="E5E7EF"/>
          </w:tcPr>
          <w:p>
            <w:pPr>
              <w:spacing w:after="0"/>
              <w:rPr>
                <w:sz w:val="12"/>
                <w:szCs w:val="12"/>
                <w:color w:val="auto"/>
              </w:rPr>
            </w:pPr>
          </w:p>
        </w:tc>
        <w:tc>
          <w:tcPr>
            <w:tcW w:w="200" w:type="dxa"/>
            <w:vAlign w:val="bottom"/>
            <w:shd w:val="clear" w:color="auto" w:fill="E5E7EF"/>
          </w:tcPr>
          <w:p>
            <w:pPr>
              <w:spacing w:after="0"/>
              <w:rPr>
                <w:sz w:val="12"/>
                <w:szCs w:val="12"/>
                <w:color w:val="auto"/>
              </w:rPr>
            </w:pPr>
          </w:p>
        </w:tc>
        <w:tc>
          <w:tcPr>
            <w:tcW w:w="900" w:type="dxa"/>
            <w:vAlign w:val="bottom"/>
            <w:shd w:val="clear" w:color="auto" w:fill="E5E7EF"/>
          </w:tcPr>
          <w:p>
            <w:pPr>
              <w:spacing w:after="0"/>
              <w:rPr>
                <w:sz w:val="12"/>
                <w:szCs w:val="12"/>
                <w:color w:val="auto"/>
              </w:rPr>
            </w:pPr>
          </w:p>
        </w:tc>
        <w:tc>
          <w:tcPr>
            <w:tcW w:w="1080" w:type="dxa"/>
            <w:vAlign w:val="bottom"/>
            <w:shd w:val="clear" w:color="auto" w:fill="E5E7EF"/>
          </w:tcPr>
          <w:p>
            <w:pPr>
              <w:spacing w:after="0"/>
              <w:rPr>
                <w:sz w:val="12"/>
                <w:szCs w:val="12"/>
                <w:color w:val="auto"/>
              </w:rPr>
            </w:pPr>
          </w:p>
        </w:tc>
        <w:tc>
          <w:tcPr>
            <w:tcW w:w="1240" w:type="dxa"/>
            <w:vAlign w:val="bottom"/>
            <w:shd w:val="clear" w:color="auto" w:fill="E5E7EF"/>
          </w:tcPr>
          <w:p>
            <w:pPr>
              <w:jc w:val="right"/>
              <w:ind w:right="111"/>
              <w:spacing w:after="0" w:line="148" w:lineRule="exact"/>
              <w:rPr>
                <w:sz w:val="20"/>
                <w:szCs w:val="20"/>
                <w:color w:val="auto"/>
              </w:rPr>
            </w:pPr>
            <w:r>
              <w:rPr>
                <w:rFonts w:ascii="Arial" w:cs="Arial" w:eastAsia="Arial" w:hAnsi="Arial"/>
                <w:sz w:val="13"/>
                <w:szCs w:val="13"/>
                <w:color w:val="auto"/>
              </w:rPr>
              <w:t>Non-Equity</w:t>
            </w:r>
          </w:p>
        </w:tc>
        <w:tc>
          <w:tcPr>
            <w:tcW w:w="1160" w:type="dxa"/>
            <w:vAlign w:val="bottom"/>
            <w:shd w:val="clear" w:color="auto" w:fill="E5E7EF"/>
          </w:tcPr>
          <w:p>
            <w:pPr>
              <w:jc w:val="right"/>
              <w:ind w:right="92"/>
              <w:spacing w:after="0" w:line="148" w:lineRule="exact"/>
              <w:rPr>
                <w:sz w:val="20"/>
                <w:szCs w:val="20"/>
                <w:color w:val="auto"/>
              </w:rPr>
            </w:pPr>
            <w:r>
              <w:rPr>
                <w:rFonts w:ascii="Arial" w:cs="Arial" w:eastAsia="Arial" w:hAnsi="Arial"/>
                <w:sz w:val="13"/>
                <w:szCs w:val="13"/>
                <w:color w:val="auto"/>
              </w:rPr>
              <w:t>Deferred</w:t>
            </w:r>
          </w:p>
        </w:tc>
        <w:tc>
          <w:tcPr>
            <w:tcW w:w="1240" w:type="dxa"/>
            <w:vAlign w:val="bottom"/>
            <w:shd w:val="clear" w:color="auto" w:fill="E5E7EF"/>
          </w:tcPr>
          <w:p>
            <w:pPr>
              <w:spacing w:after="0"/>
              <w:rPr>
                <w:sz w:val="12"/>
                <w:szCs w:val="12"/>
                <w:color w:val="auto"/>
              </w:rPr>
            </w:pPr>
          </w:p>
        </w:tc>
        <w:tc>
          <w:tcPr>
            <w:tcW w:w="960" w:type="dxa"/>
            <w:vAlign w:val="bottom"/>
            <w:shd w:val="clear" w:color="auto" w:fill="E5E7E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700" w:type="dxa"/>
            <w:vAlign w:val="bottom"/>
            <w:shd w:val="clear" w:color="auto" w:fill="E5E7EF"/>
          </w:tcPr>
          <w:p>
            <w:pPr>
              <w:spacing w:after="0"/>
              <w:rPr>
                <w:sz w:val="12"/>
                <w:szCs w:val="12"/>
                <w:color w:val="auto"/>
              </w:rPr>
            </w:pPr>
          </w:p>
        </w:tc>
        <w:tc>
          <w:tcPr>
            <w:tcW w:w="700" w:type="dxa"/>
            <w:vAlign w:val="bottom"/>
            <w:shd w:val="clear" w:color="auto" w:fill="E5E7EF"/>
          </w:tcPr>
          <w:p>
            <w:pPr>
              <w:spacing w:after="0"/>
              <w:rPr>
                <w:sz w:val="12"/>
                <w:szCs w:val="12"/>
                <w:color w:val="auto"/>
              </w:rPr>
            </w:pPr>
          </w:p>
        </w:tc>
        <w:tc>
          <w:tcPr>
            <w:tcW w:w="1060" w:type="dxa"/>
            <w:vAlign w:val="bottom"/>
            <w:shd w:val="clear" w:color="auto" w:fill="E5E7EF"/>
          </w:tcPr>
          <w:p>
            <w:pPr>
              <w:spacing w:after="0"/>
              <w:rPr>
                <w:sz w:val="12"/>
                <w:szCs w:val="12"/>
                <w:color w:val="auto"/>
              </w:rPr>
            </w:pPr>
          </w:p>
        </w:tc>
        <w:tc>
          <w:tcPr>
            <w:tcW w:w="200" w:type="dxa"/>
            <w:vAlign w:val="bottom"/>
            <w:shd w:val="clear" w:color="auto" w:fill="E5E7EF"/>
          </w:tcPr>
          <w:p>
            <w:pPr>
              <w:spacing w:after="0"/>
              <w:rPr>
                <w:sz w:val="12"/>
                <w:szCs w:val="12"/>
                <w:color w:val="auto"/>
              </w:rPr>
            </w:pPr>
          </w:p>
        </w:tc>
        <w:tc>
          <w:tcPr>
            <w:tcW w:w="900" w:type="dxa"/>
            <w:vAlign w:val="bottom"/>
            <w:shd w:val="clear" w:color="auto" w:fill="E5E7EF"/>
          </w:tcPr>
          <w:p>
            <w:pPr>
              <w:spacing w:after="0"/>
              <w:rPr>
                <w:sz w:val="12"/>
                <w:szCs w:val="12"/>
                <w:color w:val="auto"/>
              </w:rPr>
            </w:pPr>
          </w:p>
        </w:tc>
        <w:tc>
          <w:tcPr>
            <w:tcW w:w="1080" w:type="dxa"/>
            <w:vAlign w:val="bottom"/>
            <w:shd w:val="clear" w:color="auto" w:fill="E5E7EF"/>
          </w:tcPr>
          <w:p>
            <w:pPr>
              <w:jc w:val="right"/>
              <w:ind w:right="70"/>
              <w:spacing w:after="0" w:line="148" w:lineRule="exact"/>
              <w:rPr>
                <w:sz w:val="20"/>
                <w:szCs w:val="20"/>
                <w:color w:val="auto"/>
              </w:rPr>
            </w:pPr>
            <w:r>
              <w:rPr>
                <w:rFonts w:ascii="Arial" w:cs="Arial" w:eastAsia="Arial" w:hAnsi="Arial"/>
                <w:sz w:val="13"/>
                <w:szCs w:val="13"/>
                <w:color w:val="auto"/>
              </w:rPr>
              <w:t>Stock</w:t>
            </w:r>
          </w:p>
        </w:tc>
        <w:tc>
          <w:tcPr>
            <w:tcW w:w="1240" w:type="dxa"/>
            <w:vAlign w:val="bottom"/>
            <w:shd w:val="clear" w:color="auto" w:fill="E5E7EF"/>
          </w:tcPr>
          <w:p>
            <w:pPr>
              <w:jc w:val="right"/>
              <w:ind w:right="111"/>
              <w:spacing w:after="0" w:line="148" w:lineRule="exact"/>
              <w:rPr>
                <w:sz w:val="20"/>
                <w:szCs w:val="20"/>
                <w:color w:val="auto"/>
              </w:rPr>
            </w:pPr>
            <w:r>
              <w:rPr>
                <w:rFonts w:ascii="Arial" w:cs="Arial" w:eastAsia="Arial" w:hAnsi="Arial"/>
                <w:sz w:val="13"/>
                <w:szCs w:val="13"/>
                <w:color w:val="auto"/>
              </w:rPr>
              <w:t>Incentive Plan</w:t>
            </w:r>
          </w:p>
        </w:tc>
        <w:tc>
          <w:tcPr>
            <w:tcW w:w="1160" w:type="dxa"/>
            <w:vAlign w:val="bottom"/>
            <w:shd w:val="clear" w:color="auto" w:fill="E5E7EF"/>
          </w:tcPr>
          <w:p>
            <w:pPr>
              <w:jc w:val="right"/>
              <w:ind w:right="92"/>
              <w:spacing w:after="0" w:line="148" w:lineRule="exact"/>
              <w:rPr>
                <w:sz w:val="20"/>
                <w:szCs w:val="20"/>
                <w:color w:val="auto"/>
              </w:rPr>
            </w:pPr>
            <w:r>
              <w:rPr>
                <w:rFonts w:ascii="Arial" w:cs="Arial" w:eastAsia="Arial" w:hAnsi="Arial"/>
                <w:sz w:val="13"/>
                <w:szCs w:val="13"/>
                <w:color w:val="auto"/>
              </w:rPr>
              <w:t>Compensation</w:t>
            </w:r>
          </w:p>
        </w:tc>
        <w:tc>
          <w:tcPr>
            <w:tcW w:w="1240" w:type="dxa"/>
            <w:vAlign w:val="bottom"/>
            <w:shd w:val="clear" w:color="auto" w:fill="E5E7EF"/>
          </w:tcPr>
          <w:p>
            <w:pPr>
              <w:jc w:val="right"/>
              <w:ind w:right="90"/>
              <w:spacing w:after="0" w:line="148" w:lineRule="exact"/>
              <w:rPr>
                <w:sz w:val="20"/>
                <w:szCs w:val="20"/>
                <w:color w:val="auto"/>
              </w:rPr>
            </w:pPr>
            <w:r>
              <w:rPr>
                <w:rFonts w:ascii="Arial" w:cs="Arial" w:eastAsia="Arial" w:hAnsi="Arial"/>
                <w:sz w:val="13"/>
                <w:szCs w:val="13"/>
                <w:color w:val="auto"/>
              </w:rPr>
              <w:t>All Other</w:t>
            </w:r>
          </w:p>
        </w:tc>
        <w:tc>
          <w:tcPr>
            <w:tcW w:w="960" w:type="dxa"/>
            <w:vAlign w:val="bottom"/>
            <w:shd w:val="clear" w:color="auto" w:fill="E5E7E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700" w:type="dxa"/>
            <w:vAlign w:val="bottom"/>
            <w:shd w:val="clear" w:color="auto" w:fill="E5E7EF"/>
          </w:tcPr>
          <w:p>
            <w:pPr>
              <w:spacing w:after="0"/>
              <w:rPr>
                <w:sz w:val="15"/>
                <w:szCs w:val="15"/>
                <w:color w:val="auto"/>
              </w:rPr>
            </w:pPr>
          </w:p>
        </w:tc>
        <w:tc>
          <w:tcPr>
            <w:tcW w:w="700" w:type="dxa"/>
            <w:vAlign w:val="bottom"/>
            <w:shd w:val="clear" w:color="auto" w:fill="E5E7EF"/>
          </w:tcPr>
          <w:p>
            <w:pPr>
              <w:spacing w:after="0"/>
              <w:rPr>
                <w:sz w:val="15"/>
                <w:szCs w:val="15"/>
                <w:color w:val="auto"/>
              </w:rPr>
            </w:pPr>
          </w:p>
        </w:tc>
        <w:tc>
          <w:tcPr>
            <w:tcW w:w="1260" w:type="dxa"/>
            <w:vAlign w:val="bottom"/>
            <w:gridSpan w:val="2"/>
            <w:shd w:val="clear" w:color="auto" w:fill="E5E7EF"/>
          </w:tcPr>
          <w:p>
            <w:pPr>
              <w:jc w:val="right"/>
              <w:ind w:right="180"/>
              <w:spacing w:after="0" w:line="181" w:lineRule="exact"/>
              <w:rPr>
                <w:sz w:val="20"/>
                <w:szCs w:val="20"/>
                <w:color w:val="auto"/>
              </w:rPr>
            </w:pPr>
            <w:r>
              <w:rPr>
                <w:rFonts w:ascii="Arial" w:cs="Arial" w:eastAsia="Arial" w:hAnsi="Arial"/>
                <w:sz w:val="13"/>
                <w:szCs w:val="13"/>
                <w:color w:val="auto"/>
              </w:rPr>
              <w:t>Salary</w:t>
            </w:r>
            <w:r>
              <w:rPr>
                <w:rFonts w:ascii="Arial" w:cs="Arial" w:eastAsia="Arial" w:hAnsi="Arial"/>
                <w:sz w:val="16"/>
                <w:szCs w:val="16"/>
                <w:color w:val="auto"/>
                <w:vertAlign w:val="superscript"/>
              </w:rPr>
              <w:t>(2)</w:t>
            </w:r>
          </w:p>
        </w:tc>
        <w:tc>
          <w:tcPr>
            <w:tcW w:w="900" w:type="dxa"/>
            <w:vAlign w:val="bottom"/>
            <w:shd w:val="clear" w:color="auto" w:fill="E5E7EF"/>
          </w:tcPr>
          <w:p>
            <w:pPr>
              <w:jc w:val="right"/>
              <w:ind w:right="90"/>
              <w:spacing w:after="0" w:line="181" w:lineRule="exact"/>
              <w:rPr>
                <w:sz w:val="20"/>
                <w:szCs w:val="20"/>
                <w:color w:val="auto"/>
              </w:rPr>
            </w:pPr>
            <w:r>
              <w:rPr>
                <w:rFonts w:ascii="Arial" w:cs="Arial" w:eastAsia="Arial" w:hAnsi="Arial"/>
                <w:sz w:val="13"/>
                <w:szCs w:val="13"/>
                <w:color w:val="auto"/>
              </w:rPr>
              <w:t>Bonus</w:t>
            </w:r>
            <w:r>
              <w:rPr>
                <w:rFonts w:ascii="Arial" w:cs="Arial" w:eastAsia="Arial" w:hAnsi="Arial"/>
                <w:sz w:val="16"/>
                <w:szCs w:val="16"/>
                <w:color w:val="auto"/>
                <w:vertAlign w:val="superscript"/>
              </w:rPr>
              <w:t>(3)</w:t>
            </w:r>
          </w:p>
        </w:tc>
        <w:tc>
          <w:tcPr>
            <w:tcW w:w="1080" w:type="dxa"/>
            <w:vAlign w:val="bottom"/>
            <w:shd w:val="clear" w:color="auto" w:fill="E5E7EF"/>
          </w:tcPr>
          <w:p>
            <w:pPr>
              <w:jc w:val="right"/>
              <w:ind w:right="70"/>
              <w:spacing w:after="0" w:line="181" w:lineRule="exact"/>
              <w:rPr>
                <w:sz w:val="20"/>
                <w:szCs w:val="20"/>
                <w:color w:val="auto"/>
              </w:rPr>
            </w:pPr>
            <w:r>
              <w:rPr>
                <w:rFonts w:ascii="Arial" w:cs="Arial" w:eastAsia="Arial" w:hAnsi="Arial"/>
                <w:sz w:val="13"/>
                <w:szCs w:val="13"/>
                <w:color w:val="auto"/>
              </w:rPr>
              <w:t>Awards</w:t>
            </w:r>
            <w:r>
              <w:rPr>
                <w:rFonts w:ascii="Arial" w:cs="Arial" w:eastAsia="Arial" w:hAnsi="Arial"/>
                <w:sz w:val="16"/>
                <w:szCs w:val="16"/>
                <w:color w:val="auto"/>
                <w:vertAlign w:val="superscript"/>
              </w:rPr>
              <w:t>(4)</w:t>
            </w:r>
          </w:p>
        </w:tc>
        <w:tc>
          <w:tcPr>
            <w:tcW w:w="1240" w:type="dxa"/>
            <w:vAlign w:val="bottom"/>
            <w:shd w:val="clear" w:color="auto" w:fill="E5E7EF"/>
          </w:tcPr>
          <w:p>
            <w:pPr>
              <w:jc w:val="right"/>
              <w:ind w:right="111"/>
              <w:spacing w:after="0" w:line="181" w:lineRule="exact"/>
              <w:rPr>
                <w:sz w:val="20"/>
                <w:szCs w:val="20"/>
                <w:color w:val="auto"/>
              </w:rPr>
            </w:pPr>
            <w:r>
              <w:rPr>
                <w:rFonts w:ascii="Arial" w:cs="Arial" w:eastAsia="Arial" w:hAnsi="Arial"/>
                <w:sz w:val="13"/>
                <w:szCs w:val="13"/>
                <w:color w:val="auto"/>
              </w:rPr>
              <w:t>Compensation</w:t>
            </w:r>
            <w:r>
              <w:rPr>
                <w:rFonts w:ascii="Arial" w:cs="Arial" w:eastAsia="Arial" w:hAnsi="Arial"/>
                <w:sz w:val="16"/>
                <w:szCs w:val="16"/>
                <w:color w:val="auto"/>
                <w:vertAlign w:val="superscript"/>
              </w:rPr>
              <w:t>(5)</w:t>
            </w:r>
          </w:p>
        </w:tc>
        <w:tc>
          <w:tcPr>
            <w:tcW w:w="1160" w:type="dxa"/>
            <w:vAlign w:val="bottom"/>
            <w:shd w:val="clear" w:color="auto" w:fill="E5E7EF"/>
          </w:tcPr>
          <w:p>
            <w:pPr>
              <w:jc w:val="right"/>
              <w:ind w:right="92"/>
              <w:spacing w:after="0" w:line="181" w:lineRule="exact"/>
              <w:rPr>
                <w:sz w:val="20"/>
                <w:szCs w:val="20"/>
                <w:color w:val="auto"/>
              </w:rPr>
            </w:pPr>
            <w:r>
              <w:rPr>
                <w:rFonts w:ascii="Arial" w:cs="Arial" w:eastAsia="Arial" w:hAnsi="Arial"/>
                <w:sz w:val="13"/>
                <w:szCs w:val="13"/>
                <w:color w:val="auto"/>
              </w:rPr>
              <w:t>Earnings</w:t>
            </w:r>
            <w:r>
              <w:rPr>
                <w:rFonts w:ascii="Arial" w:cs="Arial" w:eastAsia="Arial" w:hAnsi="Arial"/>
                <w:sz w:val="16"/>
                <w:szCs w:val="16"/>
                <w:color w:val="auto"/>
                <w:vertAlign w:val="superscript"/>
              </w:rPr>
              <w:t>(6)</w:t>
            </w:r>
          </w:p>
        </w:tc>
        <w:tc>
          <w:tcPr>
            <w:tcW w:w="1240" w:type="dxa"/>
            <w:vAlign w:val="bottom"/>
            <w:shd w:val="clear" w:color="auto" w:fill="E5E7EF"/>
          </w:tcPr>
          <w:p>
            <w:pPr>
              <w:jc w:val="right"/>
              <w:ind w:right="90"/>
              <w:spacing w:after="0" w:line="181" w:lineRule="exact"/>
              <w:rPr>
                <w:sz w:val="20"/>
                <w:szCs w:val="20"/>
                <w:color w:val="auto"/>
              </w:rPr>
            </w:pPr>
            <w:r>
              <w:rPr>
                <w:rFonts w:ascii="Arial" w:cs="Arial" w:eastAsia="Arial" w:hAnsi="Arial"/>
                <w:sz w:val="13"/>
                <w:szCs w:val="13"/>
                <w:color w:val="auto"/>
              </w:rPr>
              <w:t>Compensation</w:t>
            </w:r>
            <w:r>
              <w:rPr>
                <w:rFonts w:ascii="Arial" w:cs="Arial" w:eastAsia="Arial" w:hAnsi="Arial"/>
                <w:sz w:val="16"/>
                <w:szCs w:val="16"/>
                <w:color w:val="auto"/>
                <w:vertAlign w:val="superscript"/>
              </w:rPr>
              <w:t>(7)</w:t>
            </w:r>
          </w:p>
        </w:tc>
        <w:tc>
          <w:tcPr>
            <w:tcW w:w="9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202"/>
        </w:trPr>
        <w:tc>
          <w:tcPr>
            <w:tcW w:w="2700" w:type="dxa"/>
            <w:vAlign w:val="bottom"/>
            <w:tcBorders>
              <w:bottom w:val="single" w:sz="8" w:color="002E6D"/>
            </w:tcBorders>
            <w:shd w:val="clear" w:color="auto" w:fill="E5E7EF"/>
          </w:tcPr>
          <w:p>
            <w:pPr>
              <w:ind w:left="20"/>
              <w:spacing w:after="0"/>
              <w:rPr>
                <w:sz w:val="20"/>
                <w:szCs w:val="20"/>
                <w:color w:val="auto"/>
              </w:rPr>
            </w:pPr>
            <w:r>
              <w:rPr>
                <w:rFonts w:ascii="Arial" w:cs="Arial" w:eastAsia="Arial" w:hAnsi="Arial"/>
                <w:sz w:val="13"/>
                <w:szCs w:val="13"/>
                <w:color w:val="auto"/>
              </w:rPr>
              <w:t>Name and Principal Position</w:t>
            </w:r>
            <w:r>
              <w:rPr>
                <w:rFonts w:ascii="Arial" w:cs="Arial" w:eastAsia="Arial" w:hAnsi="Arial"/>
                <w:sz w:val="16"/>
                <w:szCs w:val="16"/>
                <w:color w:val="auto"/>
                <w:vertAlign w:val="superscript"/>
              </w:rPr>
              <w:t>(1)</w:t>
            </w:r>
          </w:p>
        </w:tc>
        <w:tc>
          <w:tcPr>
            <w:tcW w:w="700" w:type="dxa"/>
            <w:vAlign w:val="bottom"/>
            <w:tcBorders>
              <w:bottom w:val="single" w:sz="8" w:color="002E6D"/>
            </w:tcBorders>
            <w:shd w:val="clear" w:color="auto" w:fill="E5E7EF"/>
          </w:tcPr>
          <w:p>
            <w:pPr>
              <w:jc w:val="right"/>
              <w:spacing w:after="0"/>
              <w:rPr>
                <w:sz w:val="20"/>
                <w:szCs w:val="20"/>
                <w:color w:val="auto"/>
              </w:rPr>
            </w:pPr>
            <w:r>
              <w:rPr>
                <w:rFonts w:ascii="Arial" w:cs="Arial" w:eastAsia="Arial" w:hAnsi="Arial"/>
                <w:sz w:val="13"/>
                <w:szCs w:val="13"/>
                <w:color w:val="auto"/>
              </w:rPr>
              <w:t>Year</w:t>
            </w:r>
          </w:p>
        </w:tc>
        <w:tc>
          <w:tcPr>
            <w:tcW w:w="1260" w:type="dxa"/>
            <w:vAlign w:val="bottom"/>
            <w:tcBorders>
              <w:bottom w:val="single" w:sz="8" w:color="002E6D"/>
            </w:tcBorders>
            <w:gridSpan w:val="2"/>
            <w:shd w:val="clear" w:color="auto" w:fill="E5E7EF"/>
          </w:tcPr>
          <w:p>
            <w:pPr>
              <w:jc w:val="right"/>
              <w:ind w:right="18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002E6D"/>
            </w:tcBorders>
            <w:shd w:val="clear" w:color="auto" w:fill="E5E7EF"/>
          </w:tcPr>
          <w:p>
            <w:pPr>
              <w:jc w:val="right"/>
              <w:ind w:right="90"/>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002E6D"/>
            </w:tcBorders>
            <w:shd w:val="clear" w:color="auto" w:fill="E5E7EF"/>
          </w:tcPr>
          <w:p>
            <w:pPr>
              <w:jc w:val="right"/>
              <w:ind w:right="70"/>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002E6D"/>
            </w:tcBorders>
            <w:shd w:val="clear" w:color="auto" w:fill="E5E7EF"/>
          </w:tcPr>
          <w:p>
            <w:pPr>
              <w:jc w:val="right"/>
              <w:ind w:right="111"/>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002E6D"/>
            </w:tcBorders>
            <w:shd w:val="clear" w:color="auto" w:fill="E5E7EF"/>
          </w:tcPr>
          <w:p>
            <w:pPr>
              <w:jc w:val="right"/>
              <w:ind w:right="92"/>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002E6D"/>
            </w:tcBorders>
            <w:shd w:val="clear" w:color="auto" w:fill="E5E7EF"/>
          </w:tcPr>
          <w:p>
            <w:pPr>
              <w:jc w:val="right"/>
              <w:ind w:right="9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002E6D"/>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270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(a)</w:t>
            </w:r>
          </w:p>
        </w:tc>
        <w:tc>
          <w:tcPr>
            <w:tcW w:w="70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(b)</w:t>
            </w:r>
          </w:p>
        </w:tc>
        <w:tc>
          <w:tcPr>
            <w:tcW w:w="1260" w:type="dxa"/>
            <w:vAlign w:val="bottom"/>
            <w:tcBorders>
              <w:bottom w:val="single" w:sz="8" w:color="E5E7EF"/>
            </w:tcBorders>
            <w:gridSpan w:val="2"/>
            <w:shd w:val="clear" w:color="auto" w:fill="E5E7EF"/>
          </w:tcPr>
          <w:p>
            <w:pPr>
              <w:jc w:val="right"/>
              <w:ind w:right="180"/>
              <w:spacing w:after="0"/>
              <w:rPr>
                <w:sz w:val="20"/>
                <w:szCs w:val="20"/>
                <w:color w:val="auto"/>
              </w:rPr>
            </w:pPr>
            <w:r>
              <w:rPr>
                <w:rFonts w:ascii="Arial" w:cs="Arial" w:eastAsia="Arial" w:hAnsi="Arial"/>
                <w:sz w:val="13"/>
                <w:szCs w:val="13"/>
                <w:color w:val="auto"/>
              </w:rPr>
              <w:t>(c)</w:t>
            </w:r>
          </w:p>
        </w:tc>
        <w:tc>
          <w:tcPr>
            <w:tcW w:w="900" w:type="dxa"/>
            <w:vAlign w:val="bottom"/>
            <w:tcBorders>
              <w:bottom w:val="single" w:sz="8" w:color="E5E7EF"/>
            </w:tcBorders>
            <w:shd w:val="clear" w:color="auto" w:fill="E5E7EF"/>
          </w:tcPr>
          <w:p>
            <w:pPr>
              <w:jc w:val="right"/>
              <w:ind w:right="90"/>
              <w:spacing w:after="0"/>
              <w:rPr>
                <w:sz w:val="20"/>
                <w:szCs w:val="20"/>
                <w:color w:val="auto"/>
              </w:rPr>
            </w:pPr>
            <w:r>
              <w:rPr>
                <w:rFonts w:ascii="Arial" w:cs="Arial" w:eastAsia="Arial" w:hAnsi="Arial"/>
                <w:sz w:val="13"/>
                <w:szCs w:val="13"/>
                <w:color w:val="auto"/>
              </w:rPr>
              <w:t>(d)</w:t>
            </w:r>
          </w:p>
        </w:tc>
        <w:tc>
          <w:tcPr>
            <w:tcW w:w="1080" w:type="dxa"/>
            <w:vAlign w:val="bottom"/>
            <w:tcBorders>
              <w:bottom w:val="single" w:sz="8" w:color="E5E7EF"/>
            </w:tcBorders>
            <w:shd w:val="clear" w:color="auto" w:fill="E5E7EF"/>
          </w:tcPr>
          <w:p>
            <w:pPr>
              <w:jc w:val="right"/>
              <w:ind w:right="70"/>
              <w:spacing w:after="0"/>
              <w:rPr>
                <w:sz w:val="20"/>
                <w:szCs w:val="20"/>
                <w:color w:val="auto"/>
              </w:rPr>
            </w:pPr>
            <w:r>
              <w:rPr>
                <w:rFonts w:ascii="Arial" w:cs="Arial" w:eastAsia="Arial" w:hAnsi="Arial"/>
                <w:sz w:val="13"/>
                <w:szCs w:val="13"/>
                <w:color w:val="auto"/>
              </w:rPr>
              <w:t>(e)</w:t>
            </w:r>
          </w:p>
        </w:tc>
        <w:tc>
          <w:tcPr>
            <w:tcW w:w="1240" w:type="dxa"/>
            <w:vAlign w:val="bottom"/>
            <w:tcBorders>
              <w:bottom w:val="single" w:sz="8" w:color="E5E7EF"/>
            </w:tcBorders>
            <w:shd w:val="clear" w:color="auto" w:fill="E5E7EF"/>
          </w:tcPr>
          <w:p>
            <w:pPr>
              <w:jc w:val="right"/>
              <w:ind w:right="111"/>
              <w:spacing w:after="0"/>
              <w:rPr>
                <w:sz w:val="20"/>
                <w:szCs w:val="20"/>
                <w:color w:val="auto"/>
              </w:rPr>
            </w:pPr>
            <w:r>
              <w:rPr>
                <w:rFonts w:ascii="Arial" w:cs="Arial" w:eastAsia="Arial" w:hAnsi="Arial"/>
                <w:sz w:val="13"/>
                <w:szCs w:val="13"/>
                <w:color w:val="auto"/>
              </w:rPr>
              <w:t>(g)</w:t>
            </w:r>
          </w:p>
        </w:tc>
        <w:tc>
          <w:tcPr>
            <w:tcW w:w="1160" w:type="dxa"/>
            <w:vAlign w:val="bottom"/>
            <w:tcBorders>
              <w:bottom w:val="single" w:sz="8" w:color="E5E7EF"/>
            </w:tcBorders>
            <w:shd w:val="clear" w:color="auto" w:fill="E5E7EF"/>
          </w:tcPr>
          <w:p>
            <w:pPr>
              <w:jc w:val="right"/>
              <w:ind w:right="92"/>
              <w:spacing w:after="0"/>
              <w:rPr>
                <w:sz w:val="20"/>
                <w:szCs w:val="20"/>
                <w:color w:val="auto"/>
              </w:rPr>
            </w:pPr>
            <w:r>
              <w:rPr>
                <w:rFonts w:ascii="Arial" w:cs="Arial" w:eastAsia="Arial" w:hAnsi="Arial"/>
                <w:sz w:val="13"/>
                <w:szCs w:val="13"/>
                <w:color w:val="auto"/>
              </w:rPr>
              <w:t>(h)</w:t>
            </w:r>
          </w:p>
        </w:tc>
        <w:tc>
          <w:tcPr>
            <w:tcW w:w="1240" w:type="dxa"/>
            <w:vAlign w:val="bottom"/>
            <w:tcBorders>
              <w:bottom w:val="single" w:sz="8" w:color="E5E7EF"/>
            </w:tcBorders>
            <w:shd w:val="clear" w:color="auto" w:fill="E5E7EF"/>
          </w:tcPr>
          <w:p>
            <w:pPr>
              <w:jc w:val="right"/>
              <w:ind w:right="90"/>
              <w:spacing w:after="0"/>
              <w:rPr>
                <w:sz w:val="20"/>
                <w:szCs w:val="20"/>
                <w:color w:val="auto"/>
              </w:rPr>
            </w:pPr>
            <w:r>
              <w:rPr>
                <w:rFonts w:ascii="Arial" w:cs="Arial" w:eastAsia="Arial" w:hAnsi="Arial"/>
                <w:sz w:val="13"/>
                <w:szCs w:val="13"/>
                <w:color w:val="auto"/>
              </w:rPr>
              <w:t>(i)</w:t>
            </w:r>
          </w:p>
        </w:tc>
        <w:tc>
          <w:tcPr>
            <w:tcW w:w="96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(j)</w:t>
            </w:r>
          </w:p>
        </w:tc>
        <w:tc>
          <w:tcPr>
            <w:tcW w:w="0" w:type="dxa"/>
            <w:vAlign w:val="bottom"/>
          </w:tcPr>
          <w:p>
            <w:pPr>
              <w:spacing w:after="0"/>
              <w:rPr>
                <w:sz w:val="1"/>
                <w:szCs w:val="1"/>
                <w:color w:val="auto"/>
              </w:rPr>
            </w:pPr>
          </w:p>
        </w:tc>
      </w:tr>
      <w:tr>
        <w:trPr>
          <w:trHeight w:val="146"/>
        </w:trPr>
        <w:tc>
          <w:tcPr>
            <w:tcW w:w="2700" w:type="dxa"/>
            <w:vAlign w:val="bottom"/>
            <w:tcBorders>
              <w:top w:val="single" w:sz="8" w:color="002E6D"/>
            </w:tcBorders>
          </w:tcPr>
          <w:p>
            <w:pPr>
              <w:ind w:left="20"/>
              <w:spacing w:after="0" w:line="146" w:lineRule="exact"/>
              <w:rPr>
                <w:sz w:val="20"/>
                <w:szCs w:val="20"/>
                <w:color w:val="auto"/>
              </w:rPr>
            </w:pPr>
            <w:r>
              <w:rPr>
                <w:rFonts w:ascii="Arial" w:cs="Arial" w:eastAsia="Arial" w:hAnsi="Arial"/>
                <w:sz w:val="14"/>
                <w:szCs w:val="14"/>
                <w:b w:val="1"/>
                <w:bCs w:val="1"/>
                <w:color w:val="002E6D"/>
              </w:rPr>
              <w:t>James D. Taiclet</w:t>
            </w:r>
          </w:p>
        </w:tc>
        <w:tc>
          <w:tcPr>
            <w:tcW w:w="700" w:type="dxa"/>
            <w:vAlign w:val="bottom"/>
            <w:tcBorders>
              <w:top w:val="single" w:sz="8" w:color="002E6D"/>
            </w:tcBorders>
            <w:vMerge w:val="restart"/>
            <w:shd w:val="clear" w:color="auto" w:fill="E5E7EF"/>
          </w:tcPr>
          <w:p>
            <w:pPr>
              <w:jc w:val="right"/>
              <w:spacing w:after="0"/>
              <w:rPr>
                <w:sz w:val="20"/>
                <w:szCs w:val="20"/>
                <w:color w:val="auto"/>
              </w:rPr>
            </w:pPr>
            <w:r>
              <w:rPr>
                <w:rFonts w:ascii="Arial" w:cs="Arial" w:eastAsia="Arial" w:hAnsi="Arial"/>
                <w:sz w:val="14"/>
                <w:szCs w:val="14"/>
                <w:color w:val="auto"/>
              </w:rPr>
              <w:t>2021</w:t>
            </w:r>
          </w:p>
        </w:tc>
        <w:tc>
          <w:tcPr>
            <w:tcW w:w="1060" w:type="dxa"/>
            <w:vAlign w:val="bottom"/>
            <w:tcBorders>
              <w:top w:val="single" w:sz="8" w:color="002E6D"/>
            </w:tcBorders>
            <w:vMerge w:val="restart"/>
            <w:shd w:val="clear" w:color="auto" w:fill="E5E7EF"/>
          </w:tcPr>
          <w:p>
            <w:pPr>
              <w:jc w:val="right"/>
              <w:spacing w:after="0"/>
              <w:rPr>
                <w:sz w:val="20"/>
                <w:szCs w:val="20"/>
                <w:color w:val="auto"/>
              </w:rPr>
            </w:pPr>
            <w:r>
              <w:rPr>
                <w:rFonts w:ascii="Arial" w:cs="Arial" w:eastAsia="Arial" w:hAnsi="Arial"/>
                <w:sz w:val="14"/>
                <w:szCs w:val="14"/>
                <w:color w:val="auto"/>
              </w:rPr>
              <w:t>1,742,173</w:t>
            </w:r>
          </w:p>
        </w:tc>
        <w:tc>
          <w:tcPr>
            <w:tcW w:w="200" w:type="dxa"/>
            <w:vAlign w:val="bottom"/>
            <w:tcBorders>
              <w:top w:val="single" w:sz="8" w:color="002E6D"/>
            </w:tcBorders>
            <w:shd w:val="clear" w:color="auto" w:fill="E5E7EF"/>
          </w:tcPr>
          <w:p>
            <w:pPr>
              <w:spacing w:after="0"/>
              <w:rPr>
                <w:sz w:val="12"/>
                <w:szCs w:val="12"/>
                <w:color w:val="auto"/>
              </w:rPr>
            </w:pPr>
          </w:p>
        </w:tc>
        <w:tc>
          <w:tcPr>
            <w:tcW w:w="900" w:type="dxa"/>
            <w:vAlign w:val="bottom"/>
            <w:tcBorders>
              <w:top w:val="single" w:sz="8" w:color="002E6D"/>
            </w:tcBorders>
            <w:vMerge w:val="restart"/>
            <w:shd w:val="clear" w:color="auto" w:fill="E5E7EF"/>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002E6D"/>
            </w:tcBorders>
            <w:vMerge w:val="restart"/>
            <w:shd w:val="clear" w:color="auto" w:fill="E5E7EF"/>
          </w:tcPr>
          <w:p>
            <w:pPr>
              <w:jc w:val="right"/>
              <w:ind w:right="130"/>
              <w:spacing w:after="0"/>
              <w:rPr>
                <w:sz w:val="20"/>
                <w:szCs w:val="20"/>
                <w:color w:val="auto"/>
              </w:rPr>
            </w:pPr>
            <w:r>
              <w:rPr>
                <w:rFonts w:ascii="Arial" w:cs="Arial" w:eastAsia="Arial" w:hAnsi="Arial"/>
                <w:sz w:val="14"/>
                <w:szCs w:val="14"/>
                <w:color w:val="auto"/>
              </w:rPr>
              <w:t>10,783,715</w:t>
            </w:r>
          </w:p>
        </w:tc>
        <w:tc>
          <w:tcPr>
            <w:tcW w:w="1240" w:type="dxa"/>
            <w:vAlign w:val="bottom"/>
            <w:tcBorders>
              <w:top w:val="single" w:sz="8" w:color="002E6D"/>
            </w:tcBorders>
            <w:vMerge w:val="restart"/>
            <w:shd w:val="clear" w:color="auto" w:fill="E5E7EF"/>
          </w:tcPr>
          <w:p>
            <w:pPr>
              <w:jc w:val="right"/>
              <w:ind w:right="151"/>
              <w:spacing w:after="0"/>
              <w:rPr>
                <w:sz w:val="20"/>
                <w:szCs w:val="20"/>
                <w:color w:val="auto"/>
              </w:rPr>
            </w:pPr>
            <w:r>
              <w:rPr>
                <w:rFonts w:ascii="Arial" w:cs="Arial" w:eastAsia="Arial" w:hAnsi="Arial"/>
                <w:sz w:val="14"/>
                <w:szCs w:val="14"/>
                <w:color w:val="auto"/>
              </w:rPr>
              <w:t>4,049,200</w:t>
            </w:r>
          </w:p>
        </w:tc>
        <w:tc>
          <w:tcPr>
            <w:tcW w:w="1160" w:type="dxa"/>
            <w:vAlign w:val="bottom"/>
            <w:tcBorders>
              <w:top w:val="single" w:sz="8" w:color="002E6D"/>
            </w:tcBorders>
            <w:vMerge w:val="restart"/>
            <w:shd w:val="clear" w:color="auto" w:fill="E5E7EF"/>
          </w:tcPr>
          <w:p>
            <w:pPr>
              <w:jc w:val="right"/>
              <w:ind w:right="152"/>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002E6D"/>
            </w:tcBorders>
            <w:vMerge w:val="restart"/>
            <w:shd w:val="clear" w:color="auto" w:fill="E5E7EF"/>
          </w:tcPr>
          <w:p>
            <w:pPr>
              <w:jc w:val="right"/>
              <w:ind w:right="130"/>
              <w:spacing w:after="0"/>
              <w:rPr>
                <w:sz w:val="20"/>
                <w:szCs w:val="20"/>
                <w:color w:val="auto"/>
              </w:rPr>
            </w:pPr>
            <w:r>
              <w:rPr>
                <w:rFonts w:ascii="Arial" w:cs="Arial" w:eastAsia="Arial" w:hAnsi="Arial"/>
                <w:sz w:val="14"/>
                <w:szCs w:val="14"/>
                <w:color w:val="auto"/>
              </w:rPr>
              <w:t>1,536,123</w:t>
            </w:r>
          </w:p>
        </w:tc>
        <w:tc>
          <w:tcPr>
            <w:tcW w:w="960" w:type="dxa"/>
            <w:vAlign w:val="bottom"/>
            <w:tcBorders>
              <w:top w:val="single" w:sz="8" w:color="002E6D"/>
            </w:tcBorders>
            <w:vMerge w:val="restart"/>
            <w:shd w:val="clear" w:color="auto" w:fill="E5E7EF"/>
          </w:tcPr>
          <w:p>
            <w:pPr>
              <w:jc w:val="right"/>
              <w:spacing w:after="0"/>
              <w:rPr>
                <w:sz w:val="20"/>
                <w:szCs w:val="20"/>
                <w:color w:val="auto"/>
              </w:rPr>
            </w:pPr>
            <w:r>
              <w:rPr>
                <w:rFonts w:ascii="Arial" w:cs="Arial" w:eastAsia="Arial" w:hAnsi="Arial"/>
                <w:sz w:val="14"/>
                <w:szCs w:val="14"/>
                <w:color w:val="auto"/>
              </w:rPr>
              <w:t>18,111,211</w:t>
            </w:r>
          </w:p>
        </w:tc>
        <w:tc>
          <w:tcPr>
            <w:tcW w:w="0" w:type="dxa"/>
            <w:vAlign w:val="bottom"/>
          </w:tcPr>
          <w:p>
            <w:pPr>
              <w:spacing w:after="0"/>
              <w:rPr>
                <w:sz w:val="1"/>
                <w:szCs w:val="1"/>
                <w:color w:val="auto"/>
              </w:rPr>
            </w:pPr>
          </w:p>
        </w:tc>
      </w:tr>
      <w:tr>
        <w:trPr>
          <w:trHeight w:val="89"/>
        </w:trPr>
        <w:tc>
          <w:tcPr>
            <w:tcW w:w="2700" w:type="dxa"/>
            <w:vAlign w:val="bottom"/>
            <w:vMerge w:val="restart"/>
          </w:tcPr>
          <w:p>
            <w:pPr>
              <w:ind w:left="20"/>
              <w:spacing w:after="0" w:line="135" w:lineRule="exact"/>
              <w:rPr>
                <w:sz w:val="20"/>
                <w:szCs w:val="20"/>
                <w:color w:val="auto"/>
              </w:rPr>
            </w:pPr>
            <w:r>
              <w:rPr>
                <w:rFonts w:ascii="Arial" w:cs="Arial" w:eastAsia="Arial" w:hAnsi="Arial"/>
                <w:sz w:val="14"/>
                <w:szCs w:val="14"/>
                <w:color w:val="auto"/>
              </w:rPr>
              <w:t>Chairman, President and Chief Executive</w:t>
            </w:r>
          </w:p>
        </w:tc>
        <w:tc>
          <w:tcPr>
            <w:tcW w:w="700" w:type="dxa"/>
            <w:vAlign w:val="bottom"/>
            <w:vMerge w:val="continue"/>
            <w:shd w:val="clear" w:color="auto" w:fill="E5E7EF"/>
          </w:tcPr>
          <w:p>
            <w:pPr>
              <w:spacing w:after="0"/>
              <w:rPr>
                <w:sz w:val="7"/>
                <w:szCs w:val="7"/>
                <w:color w:val="auto"/>
              </w:rPr>
            </w:pPr>
          </w:p>
        </w:tc>
        <w:tc>
          <w:tcPr>
            <w:tcW w:w="1060" w:type="dxa"/>
            <w:vAlign w:val="bottom"/>
            <w:vMerge w:val="continue"/>
            <w:shd w:val="clear" w:color="auto" w:fill="E5E7EF"/>
          </w:tcPr>
          <w:p>
            <w:pPr>
              <w:spacing w:after="0"/>
              <w:rPr>
                <w:sz w:val="7"/>
                <w:szCs w:val="7"/>
                <w:color w:val="auto"/>
              </w:rPr>
            </w:pPr>
          </w:p>
        </w:tc>
        <w:tc>
          <w:tcPr>
            <w:tcW w:w="200" w:type="dxa"/>
            <w:vAlign w:val="bottom"/>
            <w:shd w:val="clear" w:color="auto" w:fill="E5E7EF"/>
          </w:tcPr>
          <w:p>
            <w:pPr>
              <w:spacing w:after="0"/>
              <w:rPr>
                <w:sz w:val="7"/>
                <w:szCs w:val="7"/>
                <w:color w:val="auto"/>
              </w:rPr>
            </w:pPr>
          </w:p>
        </w:tc>
        <w:tc>
          <w:tcPr>
            <w:tcW w:w="900" w:type="dxa"/>
            <w:vAlign w:val="bottom"/>
            <w:vMerge w:val="continue"/>
            <w:shd w:val="clear" w:color="auto" w:fill="E5E7EF"/>
          </w:tcPr>
          <w:p>
            <w:pPr>
              <w:spacing w:after="0"/>
              <w:rPr>
                <w:sz w:val="7"/>
                <w:szCs w:val="7"/>
                <w:color w:val="auto"/>
              </w:rPr>
            </w:pPr>
          </w:p>
        </w:tc>
        <w:tc>
          <w:tcPr>
            <w:tcW w:w="1080" w:type="dxa"/>
            <w:vAlign w:val="bottom"/>
            <w:vMerge w:val="continue"/>
            <w:shd w:val="clear" w:color="auto" w:fill="E5E7EF"/>
          </w:tcPr>
          <w:p>
            <w:pPr>
              <w:spacing w:after="0"/>
              <w:rPr>
                <w:sz w:val="7"/>
                <w:szCs w:val="7"/>
                <w:color w:val="auto"/>
              </w:rPr>
            </w:pPr>
          </w:p>
        </w:tc>
        <w:tc>
          <w:tcPr>
            <w:tcW w:w="1240" w:type="dxa"/>
            <w:vAlign w:val="bottom"/>
            <w:vMerge w:val="continue"/>
            <w:shd w:val="clear" w:color="auto" w:fill="E5E7EF"/>
          </w:tcPr>
          <w:p>
            <w:pPr>
              <w:spacing w:after="0"/>
              <w:rPr>
                <w:sz w:val="7"/>
                <w:szCs w:val="7"/>
                <w:color w:val="auto"/>
              </w:rPr>
            </w:pPr>
          </w:p>
        </w:tc>
        <w:tc>
          <w:tcPr>
            <w:tcW w:w="1160" w:type="dxa"/>
            <w:vAlign w:val="bottom"/>
            <w:vMerge w:val="continue"/>
            <w:shd w:val="clear" w:color="auto" w:fill="E5E7EF"/>
          </w:tcPr>
          <w:p>
            <w:pPr>
              <w:spacing w:after="0"/>
              <w:rPr>
                <w:sz w:val="7"/>
                <w:szCs w:val="7"/>
                <w:color w:val="auto"/>
              </w:rPr>
            </w:pPr>
          </w:p>
        </w:tc>
        <w:tc>
          <w:tcPr>
            <w:tcW w:w="1240" w:type="dxa"/>
            <w:vAlign w:val="bottom"/>
            <w:vMerge w:val="continue"/>
            <w:shd w:val="clear" w:color="auto" w:fill="E5E7EF"/>
          </w:tcPr>
          <w:p>
            <w:pPr>
              <w:spacing w:after="0"/>
              <w:rPr>
                <w:sz w:val="7"/>
                <w:szCs w:val="7"/>
                <w:color w:val="auto"/>
              </w:rPr>
            </w:pPr>
          </w:p>
        </w:tc>
        <w:tc>
          <w:tcPr>
            <w:tcW w:w="960" w:type="dxa"/>
            <w:vAlign w:val="bottom"/>
            <w:vMerge w:val="continue"/>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700" w:type="dxa"/>
            <w:vAlign w:val="bottom"/>
            <w:vMerge w:val="continue"/>
          </w:tcPr>
          <w:p>
            <w:pPr>
              <w:spacing w:after="0"/>
              <w:rPr>
                <w:sz w:val="3"/>
                <w:szCs w:val="3"/>
                <w:color w:val="auto"/>
              </w:rPr>
            </w:pPr>
          </w:p>
        </w:tc>
        <w:tc>
          <w:tcPr>
            <w:tcW w:w="700" w:type="dxa"/>
            <w:vAlign w:val="bottom"/>
            <w:shd w:val="clear" w:color="auto" w:fill="E5E7EF"/>
          </w:tcPr>
          <w:p>
            <w:pPr>
              <w:spacing w:after="0"/>
              <w:rPr>
                <w:sz w:val="3"/>
                <w:szCs w:val="3"/>
                <w:color w:val="auto"/>
              </w:rPr>
            </w:pPr>
          </w:p>
        </w:tc>
        <w:tc>
          <w:tcPr>
            <w:tcW w:w="1060" w:type="dxa"/>
            <w:vAlign w:val="bottom"/>
            <w:shd w:val="clear" w:color="auto" w:fill="E5E7EF"/>
          </w:tcPr>
          <w:p>
            <w:pPr>
              <w:spacing w:after="0"/>
              <w:rPr>
                <w:sz w:val="3"/>
                <w:szCs w:val="3"/>
                <w:color w:val="auto"/>
              </w:rPr>
            </w:pPr>
          </w:p>
        </w:tc>
        <w:tc>
          <w:tcPr>
            <w:tcW w:w="200" w:type="dxa"/>
            <w:vAlign w:val="bottom"/>
            <w:shd w:val="clear" w:color="auto" w:fill="E5E7EF"/>
          </w:tcPr>
          <w:p>
            <w:pPr>
              <w:spacing w:after="0"/>
              <w:rPr>
                <w:sz w:val="3"/>
                <w:szCs w:val="3"/>
                <w:color w:val="auto"/>
              </w:rPr>
            </w:pPr>
          </w:p>
        </w:tc>
        <w:tc>
          <w:tcPr>
            <w:tcW w:w="900" w:type="dxa"/>
            <w:vAlign w:val="bottom"/>
            <w:shd w:val="clear" w:color="auto" w:fill="E5E7EF"/>
          </w:tcPr>
          <w:p>
            <w:pPr>
              <w:spacing w:after="0"/>
              <w:rPr>
                <w:sz w:val="3"/>
                <w:szCs w:val="3"/>
                <w:color w:val="auto"/>
              </w:rPr>
            </w:pPr>
          </w:p>
        </w:tc>
        <w:tc>
          <w:tcPr>
            <w:tcW w:w="1080" w:type="dxa"/>
            <w:vAlign w:val="bottom"/>
            <w:shd w:val="clear" w:color="auto" w:fill="E5E7EF"/>
          </w:tcPr>
          <w:p>
            <w:pPr>
              <w:spacing w:after="0"/>
              <w:rPr>
                <w:sz w:val="3"/>
                <w:szCs w:val="3"/>
                <w:color w:val="auto"/>
              </w:rPr>
            </w:pPr>
          </w:p>
        </w:tc>
        <w:tc>
          <w:tcPr>
            <w:tcW w:w="1240" w:type="dxa"/>
            <w:vAlign w:val="bottom"/>
            <w:shd w:val="clear" w:color="auto" w:fill="E5E7EF"/>
          </w:tcPr>
          <w:p>
            <w:pPr>
              <w:spacing w:after="0"/>
              <w:rPr>
                <w:sz w:val="3"/>
                <w:szCs w:val="3"/>
                <w:color w:val="auto"/>
              </w:rPr>
            </w:pPr>
          </w:p>
        </w:tc>
        <w:tc>
          <w:tcPr>
            <w:tcW w:w="1160" w:type="dxa"/>
            <w:vAlign w:val="bottom"/>
            <w:shd w:val="clear" w:color="auto" w:fill="E5E7EF"/>
          </w:tcPr>
          <w:p>
            <w:pPr>
              <w:spacing w:after="0"/>
              <w:rPr>
                <w:sz w:val="3"/>
                <w:szCs w:val="3"/>
                <w:color w:val="auto"/>
              </w:rPr>
            </w:pPr>
          </w:p>
        </w:tc>
        <w:tc>
          <w:tcPr>
            <w:tcW w:w="1240" w:type="dxa"/>
            <w:vAlign w:val="bottom"/>
            <w:shd w:val="clear" w:color="auto" w:fill="E5E7EF"/>
          </w:tcPr>
          <w:p>
            <w:pPr>
              <w:spacing w:after="0"/>
              <w:rPr>
                <w:sz w:val="3"/>
                <w:szCs w:val="3"/>
                <w:color w:val="auto"/>
              </w:rPr>
            </w:pPr>
          </w:p>
        </w:tc>
        <w:tc>
          <w:tcPr>
            <w:tcW w:w="960" w:type="dxa"/>
            <w:vAlign w:val="bottom"/>
            <w:shd w:val="clear" w:color="auto" w:fill="E5E7EF"/>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70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Officer</w:t>
            </w:r>
          </w:p>
        </w:tc>
        <w:tc>
          <w:tcPr>
            <w:tcW w:w="700" w:type="dxa"/>
            <w:vAlign w:val="bottom"/>
            <w:tcBorders>
              <w:bottom w:val="single" w:sz="8" w:color="939598"/>
            </w:tcBorders>
            <w:shd w:val="clear" w:color="auto" w:fill="E5E7EF"/>
          </w:tcPr>
          <w:p>
            <w:pPr>
              <w:jc w:val="right"/>
              <w:spacing w:after="0"/>
              <w:rPr>
                <w:sz w:val="20"/>
                <w:szCs w:val="20"/>
                <w:color w:val="auto"/>
              </w:rPr>
            </w:pPr>
            <w:r>
              <w:rPr>
                <w:rFonts w:ascii="Arial" w:cs="Arial" w:eastAsia="Arial" w:hAnsi="Arial"/>
                <w:sz w:val="14"/>
                <w:szCs w:val="14"/>
                <w:color w:val="auto"/>
              </w:rPr>
              <w:t>2020</w:t>
            </w:r>
          </w:p>
        </w:tc>
        <w:tc>
          <w:tcPr>
            <w:tcW w:w="1060" w:type="dxa"/>
            <w:vAlign w:val="bottom"/>
            <w:tcBorders>
              <w:bottom w:val="single" w:sz="8" w:color="939598"/>
            </w:tcBorders>
            <w:shd w:val="clear" w:color="auto" w:fill="E5E7EF"/>
          </w:tcPr>
          <w:p>
            <w:pPr>
              <w:jc w:val="right"/>
              <w:spacing w:after="0"/>
              <w:rPr>
                <w:sz w:val="20"/>
                <w:szCs w:val="20"/>
                <w:color w:val="auto"/>
              </w:rPr>
            </w:pPr>
            <w:r>
              <w:rPr>
                <w:rFonts w:ascii="Arial" w:cs="Arial" w:eastAsia="Arial" w:hAnsi="Arial"/>
                <w:sz w:val="14"/>
                <w:szCs w:val="14"/>
                <w:color w:val="auto"/>
              </w:rPr>
              <w:t>915,385</w:t>
            </w:r>
          </w:p>
        </w:tc>
        <w:tc>
          <w:tcPr>
            <w:tcW w:w="200" w:type="dxa"/>
            <w:vAlign w:val="bottom"/>
            <w:tcBorders>
              <w:bottom w:val="single" w:sz="8" w:color="939598"/>
            </w:tcBorders>
            <w:shd w:val="clear" w:color="auto" w:fill="E5E7EF"/>
          </w:tcPr>
          <w:p>
            <w:pPr>
              <w:spacing w:after="0"/>
              <w:rPr>
                <w:sz w:val="18"/>
                <w:szCs w:val="18"/>
                <w:color w:val="auto"/>
              </w:rPr>
            </w:pPr>
          </w:p>
        </w:tc>
        <w:tc>
          <w:tcPr>
            <w:tcW w:w="900" w:type="dxa"/>
            <w:vAlign w:val="bottom"/>
            <w:tcBorders>
              <w:bottom w:val="single" w:sz="8" w:color="939598"/>
            </w:tcBorders>
            <w:shd w:val="clear" w:color="auto" w:fill="E5E7EF"/>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39598"/>
            </w:tcBorders>
            <w:shd w:val="clear" w:color="auto" w:fill="E5E7EF"/>
          </w:tcPr>
          <w:p>
            <w:pPr>
              <w:jc w:val="right"/>
              <w:ind w:right="130"/>
              <w:spacing w:after="0"/>
              <w:rPr>
                <w:sz w:val="20"/>
                <w:szCs w:val="20"/>
                <w:color w:val="auto"/>
              </w:rPr>
            </w:pPr>
            <w:r>
              <w:rPr>
                <w:rFonts w:ascii="Arial" w:cs="Arial" w:eastAsia="Arial" w:hAnsi="Arial"/>
                <w:sz w:val="14"/>
                <w:szCs w:val="14"/>
                <w:color w:val="auto"/>
              </w:rPr>
              <w:t>18,611,850</w:t>
            </w:r>
          </w:p>
        </w:tc>
        <w:tc>
          <w:tcPr>
            <w:tcW w:w="1240" w:type="dxa"/>
            <w:vAlign w:val="bottom"/>
            <w:tcBorders>
              <w:bottom w:val="single" w:sz="8" w:color="939598"/>
            </w:tcBorders>
            <w:shd w:val="clear" w:color="auto" w:fill="E5E7EF"/>
          </w:tcPr>
          <w:p>
            <w:pPr>
              <w:jc w:val="right"/>
              <w:ind w:right="151"/>
              <w:spacing w:after="0"/>
              <w:rPr>
                <w:sz w:val="20"/>
                <w:szCs w:val="20"/>
                <w:color w:val="auto"/>
              </w:rPr>
            </w:pPr>
            <w:r>
              <w:rPr>
                <w:rFonts w:ascii="Arial" w:cs="Arial" w:eastAsia="Arial" w:hAnsi="Arial"/>
                <w:sz w:val="14"/>
                <w:szCs w:val="14"/>
                <w:color w:val="auto"/>
              </w:rPr>
              <w:t>2,896,200</w:t>
            </w:r>
          </w:p>
        </w:tc>
        <w:tc>
          <w:tcPr>
            <w:tcW w:w="1160" w:type="dxa"/>
            <w:vAlign w:val="bottom"/>
            <w:tcBorders>
              <w:bottom w:val="single" w:sz="8" w:color="939598"/>
            </w:tcBorders>
            <w:shd w:val="clear" w:color="auto" w:fill="E5E7EF"/>
          </w:tcPr>
          <w:p>
            <w:pPr>
              <w:jc w:val="right"/>
              <w:ind w:right="152"/>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939598"/>
            </w:tcBorders>
            <w:shd w:val="clear" w:color="auto" w:fill="E5E7EF"/>
          </w:tcPr>
          <w:p>
            <w:pPr>
              <w:jc w:val="right"/>
              <w:ind w:right="130"/>
              <w:spacing w:after="0"/>
              <w:rPr>
                <w:sz w:val="20"/>
                <w:szCs w:val="20"/>
                <w:color w:val="auto"/>
              </w:rPr>
            </w:pPr>
            <w:r>
              <w:rPr>
                <w:rFonts w:ascii="Arial" w:cs="Arial" w:eastAsia="Arial" w:hAnsi="Arial"/>
                <w:sz w:val="14"/>
                <w:szCs w:val="14"/>
                <w:color w:val="auto"/>
              </w:rPr>
              <w:t>936,934</w:t>
            </w:r>
          </w:p>
        </w:tc>
        <w:tc>
          <w:tcPr>
            <w:tcW w:w="960" w:type="dxa"/>
            <w:vAlign w:val="bottom"/>
            <w:tcBorders>
              <w:bottom w:val="single" w:sz="8" w:color="939598"/>
            </w:tcBorders>
            <w:shd w:val="clear" w:color="auto" w:fill="E5E7EF"/>
          </w:tcPr>
          <w:p>
            <w:pPr>
              <w:jc w:val="right"/>
              <w:spacing w:after="0"/>
              <w:rPr>
                <w:sz w:val="20"/>
                <w:szCs w:val="20"/>
                <w:color w:val="auto"/>
              </w:rPr>
            </w:pPr>
            <w:r>
              <w:rPr>
                <w:rFonts w:ascii="Arial" w:cs="Arial" w:eastAsia="Arial" w:hAnsi="Arial"/>
                <w:sz w:val="14"/>
                <w:szCs w:val="14"/>
                <w:color w:val="auto"/>
              </w:rPr>
              <w:t>23,360,369</w:t>
            </w:r>
          </w:p>
        </w:tc>
        <w:tc>
          <w:tcPr>
            <w:tcW w:w="0" w:type="dxa"/>
            <w:vAlign w:val="bottom"/>
          </w:tcPr>
          <w:p>
            <w:pPr>
              <w:spacing w:after="0"/>
              <w:rPr>
                <w:sz w:val="1"/>
                <w:szCs w:val="1"/>
                <w:color w:val="auto"/>
              </w:rPr>
            </w:pPr>
          </w:p>
        </w:tc>
      </w:tr>
      <w:tr>
        <w:trPr>
          <w:trHeight w:val="146"/>
        </w:trPr>
        <w:tc>
          <w:tcPr>
            <w:tcW w:w="2700" w:type="dxa"/>
            <w:vAlign w:val="bottom"/>
          </w:tcPr>
          <w:p>
            <w:pPr>
              <w:ind w:left="20"/>
              <w:spacing w:after="0" w:line="146" w:lineRule="exact"/>
              <w:rPr>
                <w:sz w:val="20"/>
                <w:szCs w:val="20"/>
                <w:color w:val="auto"/>
              </w:rPr>
            </w:pPr>
            <w:r>
              <w:rPr>
                <w:rFonts w:ascii="Arial" w:cs="Arial" w:eastAsia="Arial" w:hAnsi="Arial"/>
                <w:sz w:val="14"/>
                <w:szCs w:val="14"/>
                <w:b w:val="1"/>
                <w:bCs w:val="1"/>
                <w:color w:val="002E6D"/>
              </w:rPr>
              <w:t>John W. Mollard</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2021</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500,854</w:t>
            </w:r>
          </w:p>
        </w:tc>
        <w:tc>
          <w:tcPr>
            <w:tcW w:w="200" w:type="dxa"/>
            <w:vAlign w:val="bottom"/>
          </w:tcPr>
          <w:p>
            <w:pPr>
              <w:spacing w:after="0"/>
              <w:rPr>
                <w:sz w:val="12"/>
                <w:szCs w:val="12"/>
                <w:color w:val="auto"/>
              </w:rPr>
            </w:pPr>
          </w:p>
        </w:tc>
        <w:tc>
          <w:tcPr>
            <w:tcW w:w="900" w:type="dxa"/>
            <w:vAlign w:val="bottom"/>
            <w:vMerge w:val="restart"/>
          </w:tcPr>
          <w:p>
            <w:pPr>
              <w:jc w:val="right"/>
              <w:ind w:right="150"/>
              <w:spacing w:after="0"/>
              <w:rPr>
                <w:sz w:val="20"/>
                <w:szCs w:val="20"/>
                <w:color w:val="auto"/>
              </w:rPr>
            </w:pPr>
            <w:r>
              <w:rPr>
                <w:rFonts w:ascii="Arial" w:cs="Arial" w:eastAsia="Arial" w:hAnsi="Arial"/>
                <w:sz w:val="14"/>
                <w:szCs w:val="14"/>
                <w:color w:val="auto"/>
              </w:rPr>
              <w:t>400,000</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475,112</w:t>
            </w:r>
          </w:p>
        </w:tc>
        <w:tc>
          <w:tcPr>
            <w:tcW w:w="1240" w:type="dxa"/>
            <w:vAlign w:val="bottom"/>
            <w:vMerge w:val="restart"/>
          </w:tcPr>
          <w:p>
            <w:pPr>
              <w:jc w:val="right"/>
              <w:ind w:right="151"/>
              <w:spacing w:after="0"/>
              <w:rPr>
                <w:sz w:val="20"/>
                <w:szCs w:val="20"/>
                <w:color w:val="auto"/>
              </w:rPr>
            </w:pPr>
            <w:r>
              <w:rPr>
                <w:rFonts w:ascii="Arial" w:cs="Arial" w:eastAsia="Arial" w:hAnsi="Arial"/>
                <w:sz w:val="14"/>
                <w:szCs w:val="14"/>
                <w:color w:val="auto"/>
              </w:rPr>
              <w:t>936,800</w:t>
            </w:r>
          </w:p>
        </w:tc>
        <w:tc>
          <w:tcPr>
            <w:tcW w:w="116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130"/>
              <w:spacing w:after="0"/>
              <w:rPr>
                <w:sz w:val="20"/>
                <w:szCs w:val="20"/>
                <w:color w:val="auto"/>
              </w:rPr>
            </w:pPr>
            <w:r>
              <w:rPr>
                <w:rFonts w:ascii="Arial" w:cs="Arial" w:eastAsia="Arial" w:hAnsi="Arial"/>
                <w:sz w:val="14"/>
                <w:szCs w:val="14"/>
                <w:color w:val="auto"/>
              </w:rPr>
              <w:t>116,117</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2,428,883</w:t>
            </w:r>
          </w:p>
        </w:tc>
        <w:tc>
          <w:tcPr>
            <w:tcW w:w="0" w:type="dxa"/>
            <w:vAlign w:val="bottom"/>
          </w:tcPr>
          <w:p>
            <w:pPr>
              <w:spacing w:after="0"/>
              <w:rPr>
                <w:sz w:val="1"/>
                <w:szCs w:val="1"/>
                <w:color w:val="auto"/>
              </w:rPr>
            </w:pPr>
          </w:p>
        </w:tc>
      </w:tr>
      <w:tr>
        <w:trPr>
          <w:trHeight w:val="91"/>
        </w:trPr>
        <w:tc>
          <w:tcPr>
            <w:tcW w:w="2700" w:type="dxa"/>
            <w:vAlign w:val="bottom"/>
            <w:vMerge w:val="restart"/>
          </w:tcPr>
          <w:p>
            <w:pPr>
              <w:ind w:left="20"/>
              <w:spacing w:after="0" w:line="135" w:lineRule="exact"/>
              <w:rPr>
                <w:sz w:val="20"/>
                <w:szCs w:val="20"/>
                <w:color w:val="auto"/>
              </w:rPr>
            </w:pPr>
            <w:r>
              <w:rPr>
                <w:rFonts w:ascii="Arial" w:cs="Arial" w:eastAsia="Arial" w:hAnsi="Arial"/>
                <w:sz w:val="14"/>
                <w:szCs w:val="14"/>
                <w:color w:val="auto"/>
              </w:rPr>
              <w:t>Vice President and Treasurer; Former</w:t>
            </w:r>
          </w:p>
        </w:tc>
        <w:tc>
          <w:tcPr>
            <w:tcW w:w="70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27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700" w:type="dxa"/>
            <w:vAlign w:val="bottom"/>
          </w:tcPr>
          <w:p>
            <w:pPr>
              <w:ind w:left="20"/>
              <w:spacing w:after="0"/>
              <w:rPr>
                <w:sz w:val="20"/>
                <w:szCs w:val="20"/>
                <w:color w:val="auto"/>
              </w:rPr>
            </w:pPr>
            <w:r>
              <w:rPr>
                <w:rFonts w:ascii="Arial" w:cs="Arial" w:eastAsia="Arial" w:hAnsi="Arial"/>
                <w:sz w:val="14"/>
                <w:szCs w:val="14"/>
                <w:color w:val="auto"/>
              </w:rPr>
              <w:t>Acting Chief Financial Officer</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700" w:type="dxa"/>
            <w:vAlign w:val="bottom"/>
            <w:tcBorders>
              <w:bottom w:val="single" w:sz="8" w:color="939598"/>
            </w:tcBorders>
          </w:tcPr>
          <w:p>
            <w:pPr>
              <w:spacing w:after="0"/>
              <w:rPr>
                <w:sz w:val="3"/>
                <w:szCs w:val="3"/>
                <w:color w:val="auto"/>
              </w:rPr>
            </w:pPr>
          </w:p>
        </w:tc>
        <w:tc>
          <w:tcPr>
            <w:tcW w:w="700" w:type="dxa"/>
            <w:vAlign w:val="bottom"/>
            <w:tcBorders>
              <w:bottom w:val="single" w:sz="8" w:color="939598"/>
            </w:tcBorders>
          </w:tcPr>
          <w:p>
            <w:pPr>
              <w:spacing w:after="0"/>
              <w:rPr>
                <w:sz w:val="3"/>
                <w:szCs w:val="3"/>
                <w:color w:val="auto"/>
              </w:rPr>
            </w:pPr>
          </w:p>
        </w:tc>
        <w:tc>
          <w:tcPr>
            <w:tcW w:w="1060" w:type="dxa"/>
            <w:vAlign w:val="bottom"/>
            <w:tcBorders>
              <w:bottom w:val="single" w:sz="8" w:color="939598"/>
            </w:tcBorders>
          </w:tcPr>
          <w:p>
            <w:pPr>
              <w:spacing w:after="0"/>
              <w:rPr>
                <w:sz w:val="3"/>
                <w:szCs w:val="3"/>
                <w:color w:val="auto"/>
              </w:rPr>
            </w:pPr>
          </w:p>
        </w:tc>
        <w:tc>
          <w:tcPr>
            <w:tcW w:w="200" w:type="dxa"/>
            <w:vAlign w:val="bottom"/>
            <w:tcBorders>
              <w:bottom w:val="single" w:sz="8" w:color="939598"/>
            </w:tcBorders>
          </w:tcPr>
          <w:p>
            <w:pPr>
              <w:spacing w:after="0"/>
              <w:rPr>
                <w:sz w:val="3"/>
                <w:szCs w:val="3"/>
                <w:color w:val="auto"/>
              </w:rPr>
            </w:pPr>
          </w:p>
        </w:tc>
        <w:tc>
          <w:tcPr>
            <w:tcW w:w="900" w:type="dxa"/>
            <w:vAlign w:val="bottom"/>
            <w:tcBorders>
              <w:bottom w:val="single" w:sz="8" w:color="939598"/>
            </w:tcBorders>
          </w:tcPr>
          <w:p>
            <w:pPr>
              <w:spacing w:after="0"/>
              <w:rPr>
                <w:sz w:val="3"/>
                <w:szCs w:val="3"/>
                <w:color w:val="auto"/>
              </w:rPr>
            </w:pPr>
          </w:p>
        </w:tc>
        <w:tc>
          <w:tcPr>
            <w:tcW w:w="1080" w:type="dxa"/>
            <w:vAlign w:val="bottom"/>
            <w:tcBorders>
              <w:bottom w:val="single" w:sz="8" w:color="939598"/>
            </w:tcBorders>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1160" w:type="dxa"/>
            <w:vAlign w:val="bottom"/>
            <w:tcBorders>
              <w:bottom w:val="single" w:sz="8" w:color="939598"/>
            </w:tcBorders>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96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2700" w:type="dxa"/>
            <w:vAlign w:val="bottom"/>
          </w:tcPr>
          <w:p>
            <w:pPr>
              <w:ind w:left="20"/>
              <w:spacing w:after="0" w:line="146" w:lineRule="exact"/>
              <w:rPr>
                <w:sz w:val="20"/>
                <w:szCs w:val="20"/>
                <w:color w:val="auto"/>
              </w:rPr>
            </w:pPr>
            <w:r>
              <w:rPr>
                <w:rFonts w:ascii="Arial" w:cs="Arial" w:eastAsia="Arial" w:hAnsi="Arial"/>
                <w:sz w:val="14"/>
                <w:szCs w:val="14"/>
                <w:b w:val="1"/>
                <w:bCs w:val="1"/>
                <w:color w:val="002E6D"/>
              </w:rPr>
              <w:t>Kenneth R. Possenriede</w:t>
            </w:r>
          </w:p>
        </w:tc>
        <w:tc>
          <w:tcPr>
            <w:tcW w:w="700" w:type="dxa"/>
            <w:vAlign w:val="bottom"/>
            <w:vMerge w:val="restart"/>
            <w:shd w:val="clear" w:color="auto" w:fill="E4E6EF"/>
          </w:tcPr>
          <w:p>
            <w:pPr>
              <w:jc w:val="right"/>
              <w:spacing w:after="0"/>
              <w:rPr>
                <w:sz w:val="20"/>
                <w:szCs w:val="20"/>
                <w:color w:val="auto"/>
              </w:rPr>
            </w:pPr>
            <w:r>
              <w:rPr>
                <w:rFonts w:ascii="Arial" w:cs="Arial" w:eastAsia="Arial" w:hAnsi="Arial"/>
                <w:sz w:val="14"/>
                <w:szCs w:val="14"/>
                <w:color w:val="auto"/>
              </w:rPr>
              <w:t>2021</w:t>
            </w:r>
          </w:p>
        </w:tc>
        <w:tc>
          <w:tcPr>
            <w:tcW w:w="1060" w:type="dxa"/>
            <w:vAlign w:val="bottom"/>
            <w:vMerge w:val="restart"/>
            <w:shd w:val="clear" w:color="auto" w:fill="E4E6EF"/>
          </w:tcPr>
          <w:p>
            <w:pPr>
              <w:jc w:val="right"/>
              <w:spacing w:after="0"/>
              <w:rPr>
                <w:sz w:val="20"/>
                <w:szCs w:val="20"/>
                <w:color w:val="auto"/>
              </w:rPr>
            </w:pPr>
            <w:r>
              <w:rPr>
                <w:rFonts w:ascii="Arial" w:cs="Arial" w:eastAsia="Arial" w:hAnsi="Arial"/>
                <w:sz w:val="14"/>
                <w:szCs w:val="14"/>
                <w:color w:val="auto"/>
              </w:rPr>
              <w:t>805,666</w:t>
            </w:r>
          </w:p>
        </w:tc>
        <w:tc>
          <w:tcPr>
            <w:tcW w:w="200" w:type="dxa"/>
            <w:vAlign w:val="bottom"/>
            <w:shd w:val="clear" w:color="auto" w:fill="E4E6EF"/>
          </w:tcPr>
          <w:p>
            <w:pPr>
              <w:spacing w:after="0"/>
              <w:rPr>
                <w:sz w:val="12"/>
                <w:szCs w:val="12"/>
                <w:color w:val="auto"/>
              </w:rPr>
            </w:pPr>
          </w:p>
        </w:tc>
        <w:tc>
          <w:tcPr>
            <w:tcW w:w="900" w:type="dxa"/>
            <w:vAlign w:val="bottom"/>
            <w:vMerge w:val="restart"/>
            <w:shd w:val="clear" w:color="auto" w:fill="E4E6EF"/>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E4E6EF"/>
          </w:tcPr>
          <w:p>
            <w:pPr>
              <w:jc w:val="right"/>
              <w:ind w:right="130"/>
              <w:spacing w:after="0"/>
              <w:rPr>
                <w:sz w:val="20"/>
                <w:szCs w:val="20"/>
                <w:color w:val="auto"/>
              </w:rPr>
            </w:pPr>
            <w:r>
              <w:rPr>
                <w:rFonts w:ascii="Arial" w:cs="Arial" w:eastAsia="Arial" w:hAnsi="Arial"/>
                <w:sz w:val="14"/>
                <w:szCs w:val="14"/>
                <w:color w:val="auto"/>
              </w:rPr>
              <w:t>4,236,620</w:t>
            </w:r>
          </w:p>
        </w:tc>
        <w:tc>
          <w:tcPr>
            <w:tcW w:w="1240" w:type="dxa"/>
            <w:vAlign w:val="bottom"/>
            <w:vMerge w:val="restart"/>
            <w:shd w:val="clear" w:color="auto" w:fill="E4E6EF"/>
          </w:tcPr>
          <w:p>
            <w:pPr>
              <w:jc w:val="right"/>
              <w:ind w:right="151"/>
              <w:spacing w:after="0"/>
              <w:rPr>
                <w:sz w:val="20"/>
                <w:szCs w:val="20"/>
                <w:color w:val="auto"/>
              </w:rPr>
            </w:pPr>
            <w:r>
              <w:rPr>
                <w:rFonts w:ascii="Arial" w:cs="Arial" w:eastAsia="Arial" w:hAnsi="Arial"/>
                <w:sz w:val="14"/>
                <w:szCs w:val="14"/>
                <w:color w:val="auto"/>
              </w:rPr>
              <w:t>2,219,011</w:t>
            </w:r>
          </w:p>
        </w:tc>
        <w:tc>
          <w:tcPr>
            <w:tcW w:w="1160" w:type="dxa"/>
            <w:vAlign w:val="bottom"/>
            <w:vMerge w:val="restart"/>
            <w:shd w:val="clear" w:color="auto" w:fill="E4E6EF"/>
          </w:tcPr>
          <w:p>
            <w:pPr>
              <w:jc w:val="right"/>
              <w:ind w:right="152"/>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E4E6EF"/>
          </w:tcPr>
          <w:p>
            <w:pPr>
              <w:jc w:val="right"/>
              <w:ind w:right="130"/>
              <w:spacing w:after="0"/>
              <w:rPr>
                <w:sz w:val="20"/>
                <w:szCs w:val="20"/>
                <w:color w:val="auto"/>
              </w:rPr>
            </w:pPr>
            <w:r>
              <w:rPr>
                <w:rFonts w:ascii="Arial" w:cs="Arial" w:eastAsia="Arial" w:hAnsi="Arial"/>
                <w:sz w:val="14"/>
                <w:szCs w:val="14"/>
                <w:color w:val="auto"/>
              </w:rPr>
              <w:t>85,995</w:t>
            </w:r>
          </w:p>
        </w:tc>
        <w:tc>
          <w:tcPr>
            <w:tcW w:w="960" w:type="dxa"/>
            <w:vAlign w:val="bottom"/>
            <w:vMerge w:val="restart"/>
            <w:shd w:val="clear" w:color="auto" w:fill="E4E6EF"/>
          </w:tcPr>
          <w:p>
            <w:pPr>
              <w:jc w:val="right"/>
              <w:spacing w:after="0"/>
              <w:rPr>
                <w:sz w:val="20"/>
                <w:szCs w:val="20"/>
                <w:color w:val="auto"/>
              </w:rPr>
            </w:pPr>
            <w:r>
              <w:rPr>
                <w:rFonts w:ascii="Arial" w:cs="Arial" w:eastAsia="Arial" w:hAnsi="Arial"/>
                <w:sz w:val="14"/>
                <w:szCs w:val="14"/>
                <w:color w:val="auto"/>
              </w:rPr>
              <w:t>7,347,292</w:t>
            </w:r>
          </w:p>
        </w:tc>
        <w:tc>
          <w:tcPr>
            <w:tcW w:w="0" w:type="dxa"/>
            <w:vAlign w:val="bottom"/>
          </w:tcPr>
          <w:p>
            <w:pPr>
              <w:spacing w:after="0"/>
              <w:rPr>
                <w:sz w:val="1"/>
                <w:szCs w:val="1"/>
                <w:color w:val="auto"/>
              </w:rPr>
            </w:pPr>
          </w:p>
        </w:tc>
      </w:tr>
      <w:tr>
        <w:trPr>
          <w:trHeight w:val="89"/>
        </w:trPr>
        <w:tc>
          <w:tcPr>
            <w:tcW w:w="2700" w:type="dxa"/>
            <w:vAlign w:val="bottom"/>
            <w:vMerge w:val="restart"/>
          </w:tcPr>
          <w:p>
            <w:pPr>
              <w:ind w:left="20"/>
              <w:spacing w:after="0"/>
              <w:rPr>
                <w:sz w:val="20"/>
                <w:szCs w:val="20"/>
                <w:color w:val="auto"/>
              </w:rPr>
            </w:pPr>
            <w:r>
              <w:rPr>
                <w:rFonts w:ascii="Arial" w:cs="Arial" w:eastAsia="Arial" w:hAnsi="Arial"/>
                <w:sz w:val="14"/>
                <w:szCs w:val="14"/>
                <w:color w:val="auto"/>
              </w:rPr>
              <w:t>Former Chief Financial Officer</w:t>
            </w:r>
          </w:p>
        </w:tc>
        <w:tc>
          <w:tcPr>
            <w:tcW w:w="700" w:type="dxa"/>
            <w:vAlign w:val="bottom"/>
            <w:vMerge w:val="continue"/>
            <w:shd w:val="clear" w:color="auto" w:fill="E4E6EF"/>
          </w:tcPr>
          <w:p>
            <w:pPr>
              <w:spacing w:after="0"/>
              <w:rPr>
                <w:sz w:val="7"/>
                <w:szCs w:val="7"/>
                <w:color w:val="auto"/>
              </w:rPr>
            </w:pPr>
          </w:p>
        </w:tc>
        <w:tc>
          <w:tcPr>
            <w:tcW w:w="1060" w:type="dxa"/>
            <w:vAlign w:val="bottom"/>
            <w:vMerge w:val="continue"/>
            <w:shd w:val="clear" w:color="auto" w:fill="E4E6EF"/>
          </w:tcPr>
          <w:p>
            <w:pPr>
              <w:spacing w:after="0"/>
              <w:rPr>
                <w:sz w:val="7"/>
                <w:szCs w:val="7"/>
                <w:color w:val="auto"/>
              </w:rPr>
            </w:pPr>
          </w:p>
        </w:tc>
        <w:tc>
          <w:tcPr>
            <w:tcW w:w="200" w:type="dxa"/>
            <w:vAlign w:val="bottom"/>
            <w:shd w:val="clear" w:color="auto" w:fill="E4E6EF"/>
          </w:tcPr>
          <w:p>
            <w:pPr>
              <w:spacing w:after="0"/>
              <w:rPr>
                <w:sz w:val="7"/>
                <w:szCs w:val="7"/>
                <w:color w:val="auto"/>
              </w:rPr>
            </w:pPr>
          </w:p>
        </w:tc>
        <w:tc>
          <w:tcPr>
            <w:tcW w:w="900" w:type="dxa"/>
            <w:vAlign w:val="bottom"/>
            <w:vMerge w:val="continue"/>
            <w:shd w:val="clear" w:color="auto" w:fill="E4E6EF"/>
          </w:tcPr>
          <w:p>
            <w:pPr>
              <w:spacing w:after="0"/>
              <w:rPr>
                <w:sz w:val="7"/>
                <w:szCs w:val="7"/>
                <w:color w:val="auto"/>
              </w:rPr>
            </w:pPr>
          </w:p>
        </w:tc>
        <w:tc>
          <w:tcPr>
            <w:tcW w:w="1080" w:type="dxa"/>
            <w:vAlign w:val="bottom"/>
            <w:vMerge w:val="continue"/>
            <w:shd w:val="clear" w:color="auto" w:fill="E4E6EF"/>
          </w:tcPr>
          <w:p>
            <w:pPr>
              <w:spacing w:after="0"/>
              <w:rPr>
                <w:sz w:val="7"/>
                <w:szCs w:val="7"/>
                <w:color w:val="auto"/>
              </w:rPr>
            </w:pPr>
          </w:p>
        </w:tc>
        <w:tc>
          <w:tcPr>
            <w:tcW w:w="1240" w:type="dxa"/>
            <w:vAlign w:val="bottom"/>
            <w:vMerge w:val="continue"/>
            <w:shd w:val="clear" w:color="auto" w:fill="E4E6EF"/>
          </w:tcPr>
          <w:p>
            <w:pPr>
              <w:spacing w:after="0"/>
              <w:rPr>
                <w:sz w:val="7"/>
                <w:szCs w:val="7"/>
                <w:color w:val="auto"/>
              </w:rPr>
            </w:pPr>
          </w:p>
        </w:tc>
        <w:tc>
          <w:tcPr>
            <w:tcW w:w="1160" w:type="dxa"/>
            <w:vAlign w:val="bottom"/>
            <w:vMerge w:val="continue"/>
            <w:shd w:val="clear" w:color="auto" w:fill="E4E6EF"/>
          </w:tcPr>
          <w:p>
            <w:pPr>
              <w:spacing w:after="0"/>
              <w:rPr>
                <w:sz w:val="7"/>
                <w:szCs w:val="7"/>
                <w:color w:val="auto"/>
              </w:rPr>
            </w:pPr>
          </w:p>
        </w:tc>
        <w:tc>
          <w:tcPr>
            <w:tcW w:w="1240" w:type="dxa"/>
            <w:vAlign w:val="bottom"/>
            <w:vMerge w:val="continue"/>
            <w:shd w:val="clear" w:color="auto" w:fill="E4E6EF"/>
          </w:tcPr>
          <w:p>
            <w:pPr>
              <w:spacing w:after="0"/>
              <w:rPr>
                <w:sz w:val="7"/>
                <w:szCs w:val="7"/>
                <w:color w:val="auto"/>
              </w:rPr>
            </w:pPr>
          </w:p>
        </w:tc>
        <w:tc>
          <w:tcPr>
            <w:tcW w:w="960" w:type="dxa"/>
            <w:vAlign w:val="bottom"/>
            <w:vMerge w:val="continue"/>
            <w:shd w:val="clear" w:color="auto" w:fill="E4E6EF"/>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700" w:type="dxa"/>
            <w:vAlign w:val="bottom"/>
            <w:vMerge w:val="continue"/>
          </w:tcPr>
          <w:p>
            <w:pPr>
              <w:spacing w:after="0"/>
              <w:rPr>
                <w:sz w:val="7"/>
                <w:szCs w:val="7"/>
                <w:color w:val="auto"/>
              </w:rPr>
            </w:pPr>
          </w:p>
        </w:tc>
        <w:tc>
          <w:tcPr>
            <w:tcW w:w="700" w:type="dxa"/>
            <w:vAlign w:val="bottom"/>
            <w:vMerge w:val="restart"/>
            <w:shd w:val="clear" w:color="auto" w:fill="E4E6EF"/>
          </w:tcPr>
          <w:p>
            <w:pPr>
              <w:jc w:val="right"/>
              <w:spacing w:after="0"/>
              <w:rPr>
                <w:sz w:val="20"/>
                <w:szCs w:val="20"/>
                <w:color w:val="auto"/>
              </w:rPr>
            </w:pPr>
            <w:r>
              <w:rPr>
                <w:rFonts w:ascii="Arial" w:cs="Arial" w:eastAsia="Arial" w:hAnsi="Arial"/>
                <w:sz w:val="14"/>
                <w:szCs w:val="14"/>
                <w:color w:val="auto"/>
              </w:rPr>
              <w:t>2020</w:t>
            </w:r>
          </w:p>
        </w:tc>
        <w:tc>
          <w:tcPr>
            <w:tcW w:w="1060" w:type="dxa"/>
            <w:vAlign w:val="bottom"/>
            <w:vMerge w:val="restart"/>
            <w:shd w:val="clear" w:color="auto" w:fill="E4E6EF"/>
          </w:tcPr>
          <w:p>
            <w:pPr>
              <w:jc w:val="right"/>
              <w:spacing w:after="0"/>
              <w:rPr>
                <w:sz w:val="20"/>
                <w:szCs w:val="20"/>
                <w:color w:val="auto"/>
              </w:rPr>
            </w:pPr>
            <w:r>
              <w:rPr>
                <w:rFonts w:ascii="Arial" w:cs="Arial" w:eastAsia="Arial" w:hAnsi="Arial"/>
                <w:sz w:val="14"/>
                <w:szCs w:val="14"/>
                <w:color w:val="auto"/>
              </w:rPr>
              <w:t>1,000,769</w:t>
            </w:r>
          </w:p>
        </w:tc>
        <w:tc>
          <w:tcPr>
            <w:tcW w:w="200" w:type="dxa"/>
            <w:vAlign w:val="bottom"/>
            <w:shd w:val="clear" w:color="auto" w:fill="E4E6EF"/>
          </w:tcPr>
          <w:p>
            <w:pPr>
              <w:spacing w:after="0"/>
              <w:rPr>
                <w:sz w:val="7"/>
                <w:szCs w:val="7"/>
                <w:color w:val="auto"/>
              </w:rPr>
            </w:pPr>
          </w:p>
        </w:tc>
        <w:tc>
          <w:tcPr>
            <w:tcW w:w="900" w:type="dxa"/>
            <w:vAlign w:val="bottom"/>
            <w:vMerge w:val="restart"/>
            <w:shd w:val="clear" w:color="auto" w:fill="E4E6EF"/>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E4E6EF"/>
          </w:tcPr>
          <w:p>
            <w:pPr>
              <w:jc w:val="right"/>
              <w:ind w:right="130"/>
              <w:spacing w:after="0"/>
              <w:rPr>
                <w:sz w:val="20"/>
                <w:szCs w:val="20"/>
                <w:color w:val="auto"/>
              </w:rPr>
            </w:pPr>
            <w:r>
              <w:rPr>
                <w:rFonts w:ascii="Arial" w:cs="Arial" w:eastAsia="Arial" w:hAnsi="Arial"/>
                <w:sz w:val="14"/>
                <w:szCs w:val="14"/>
                <w:color w:val="auto"/>
              </w:rPr>
              <w:t>3,973,848</w:t>
            </w:r>
          </w:p>
        </w:tc>
        <w:tc>
          <w:tcPr>
            <w:tcW w:w="1240" w:type="dxa"/>
            <w:vAlign w:val="bottom"/>
            <w:vMerge w:val="restart"/>
            <w:shd w:val="clear" w:color="auto" w:fill="E4E6EF"/>
          </w:tcPr>
          <w:p>
            <w:pPr>
              <w:jc w:val="right"/>
              <w:ind w:right="151"/>
              <w:spacing w:after="0"/>
              <w:rPr>
                <w:sz w:val="20"/>
                <w:szCs w:val="20"/>
                <w:color w:val="auto"/>
              </w:rPr>
            </w:pPr>
            <w:r>
              <w:rPr>
                <w:rFonts w:ascii="Arial" w:cs="Arial" w:eastAsia="Arial" w:hAnsi="Arial"/>
                <w:sz w:val="14"/>
                <w:szCs w:val="14"/>
                <w:color w:val="auto"/>
              </w:rPr>
              <w:t>2,337,700</w:t>
            </w:r>
          </w:p>
        </w:tc>
        <w:tc>
          <w:tcPr>
            <w:tcW w:w="1160" w:type="dxa"/>
            <w:vAlign w:val="bottom"/>
            <w:vMerge w:val="restart"/>
            <w:shd w:val="clear" w:color="auto" w:fill="E4E6EF"/>
          </w:tcPr>
          <w:p>
            <w:pPr>
              <w:jc w:val="right"/>
              <w:ind w:right="152"/>
              <w:spacing w:after="0"/>
              <w:rPr>
                <w:sz w:val="20"/>
                <w:szCs w:val="20"/>
                <w:color w:val="auto"/>
              </w:rPr>
            </w:pPr>
            <w:r>
              <w:rPr>
                <w:rFonts w:ascii="Arial" w:cs="Arial" w:eastAsia="Arial" w:hAnsi="Arial"/>
                <w:sz w:val="14"/>
                <w:szCs w:val="14"/>
                <w:color w:val="auto"/>
              </w:rPr>
              <w:t>523,825</w:t>
            </w:r>
          </w:p>
        </w:tc>
        <w:tc>
          <w:tcPr>
            <w:tcW w:w="1240" w:type="dxa"/>
            <w:vAlign w:val="bottom"/>
            <w:vMerge w:val="restart"/>
            <w:shd w:val="clear" w:color="auto" w:fill="E4E6EF"/>
          </w:tcPr>
          <w:p>
            <w:pPr>
              <w:jc w:val="right"/>
              <w:ind w:right="130"/>
              <w:spacing w:after="0"/>
              <w:rPr>
                <w:sz w:val="20"/>
                <w:szCs w:val="20"/>
                <w:color w:val="auto"/>
              </w:rPr>
            </w:pPr>
            <w:r>
              <w:rPr>
                <w:rFonts w:ascii="Arial" w:cs="Arial" w:eastAsia="Arial" w:hAnsi="Arial"/>
                <w:sz w:val="14"/>
                <w:szCs w:val="14"/>
                <w:color w:val="auto"/>
              </w:rPr>
              <w:t>170,581</w:t>
            </w:r>
          </w:p>
        </w:tc>
        <w:tc>
          <w:tcPr>
            <w:tcW w:w="960" w:type="dxa"/>
            <w:vAlign w:val="bottom"/>
            <w:vMerge w:val="restart"/>
            <w:shd w:val="clear" w:color="auto" w:fill="E4E6EF"/>
          </w:tcPr>
          <w:p>
            <w:pPr>
              <w:jc w:val="right"/>
              <w:spacing w:after="0"/>
              <w:rPr>
                <w:sz w:val="20"/>
                <w:szCs w:val="20"/>
                <w:color w:val="auto"/>
              </w:rPr>
            </w:pPr>
            <w:r>
              <w:rPr>
                <w:rFonts w:ascii="Arial" w:cs="Arial" w:eastAsia="Arial" w:hAnsi="Arial"/>
                <w:sz w:val="14"/>
                <w:szCs w:val="14"/>
                <w:color w:val="auto"/>
              </w:rPr>
              <w:t>8,006,723</w:t>
            </w:r>
          </w:p>
        </w:tc>
        <w:tc>
          <w:tcPr>
            <w:tcW w:w="0" w:type="dxa"/>
            <w:vAlign w:val="bottom"/>
          </w:tcPr>
          <w:p>
            <w:pPr>
              <w:spacing w:after="0"/>
              <w:rPr>
                <w:sz w:val="1"/>
                <w:szCs w:val="1"/>
                <w:color w:val="auto"/>
              </w:rPr>
            </w:pPr>
          </w:p>
        </w:tc>
      </w:tr>
      <w:tr>
        <w:trPr>
          <w:trHeight w:val="173"/>
        </w:trPr>
        <w:tc>
          <w:tcPr>
            <w:tcW w:w="2700" w:type="dxa"/>
            <w:vAlign w:val="bottom"/>
          </w:tcPr>
          <w:p>
            <w:pPr>
              <w:spacing w:after="0"/>
              <w:rPr>
                <w:sz w:val="15"/>
                <w:szCs w:val="15"/>
                <w:color w:val="auto"/>
              </w:rPr>
            </w:pPr>
          </w:p>
        </w:tc>
        <w:tc>
          <w:tcPr>
            <w:tcW w:w="700" w:type="dxa"/>
            <w:vAlign w:val="bottom"/>
            <w:vMerge w:val="continue"/>
            <w:shd w:val="clear" w:color="auto" w:fill="E4E6EF"/>
          </w:tcPr>
          <w:p>
            <w:pPr>
              <w:spacing w:after="0"/>
              <w:rPr>
                <w:sz w:val="15"/>
                <w:szCs w:val="15"/>
                <w:color w:val="auto"/>
              </w:rPr>
            </w:pPr>
          </w:p>
        </w:tc>
        <w:tc>
          <w:tcPr>
            <w:tcW w:w="1060" w:type="dxa"/>
            <w:vAlign w:val="bottom"/>
            <w:vMerge w:val="continue"/>
            <w:shd w:val="clear" w:color="auto" w:fill="E4E6EF"/>
          </w:tcPr>
          <w:p>
            <w:pPr>
              <w:spacing w:after="0"/>
              <w:rPr>
                <w:sz w:val="15"/>
                <w:szCs w:val="15"/>
                <w:color w:val="auto"/>
              </w:rPr>
            </w:pPr>
          </w:p>
        </w:tc>
        <w:tc>
          <w:tcPr>
            <w:tcW w:w="200" w:type="dxa"/>
            <w:vAlign w:val="bottom"/>
            <w:shd w:val="clear" w:color="auto" w:fill="E4E6EF"/>
          </w:tcPr>
          <w:p>
            <w:pPr>
              <w:spacing w:after="0"/>
              <w:rPr>
                <w:sz w:val="15"/>
                <w:szCs w:val="15"/>
                <w:color w:val="auto"/>
              </w:rPr>
            </w:pPr>
          </w:p>
        </w:tc>
        <w:tc>
          <w:tcPr>
            <w:tcW w:w="900" w:type="dxa"/>
            <w:vAlign w:val="bottom"/>
            <w:vMerge w:val="continue"/>
            <w:shd w:val="clear" w:color="auto" w:fill="E4E6EF"/>
          </w:tcPr>
          <w:p>
            <w:pPr>
              <w:spacing w:after="0"/>
              <w:rPr>
                <w:sz w:val="15"/>
                <w:szCs w:val="15"/>
                <w:color w:val="auto"/>
              </w:rPr>
            </w:pPr>
          </w:p>
        </w:tc>
        <w:tc>
          <w:tcPr>
            <w:tcW w:w="1080" w:type="dxa"/>
            <w:vAlign w:val="bottom"/>
            <w:vMerge w:val="continue"/>
            <w:shd w:val="clear" w:color="auto" w:fill="E4E6EF"/>
          </w:tcPr>
          <w:p>
            <w:pPr>
              <w:spacing w:after="0"/>
              <w:rPr>
                <w:sz w:val="15"/>
                <w:szCs w:val="15"/>
                <w:color w:val="auto"/>
              </w:rPr>
            </w:pPr>
          </w:p>
        </w:tc>
        <w:tc>
          <w:tcPr>
            <w:tcW w:w="1240" w:type="dxa"/>
            <w:vAlign w:val="bottom"/>
            <w:vMerge w:val="continue"/>
            <w:shd w:val="clear" w:color="auto" w:fill="E4E6EF"/>
          </w:tcPr>
          <w:p>
            <w:pPr>
              <w:spacing w:after="0"/>
              <w:rPr>
                <w:sz w:val="15"/>
                <w:szCs w:val="15"/>
                <w:color w:val="auto"/>
              </w:rPr>
            </w:pPr>
          </w:p>
        </w:tc>
        <w:tc>
          <w:tcPr>
            <w:tcW w:w="1160" w:type="dxa"/>
            <w:vAlign w:val="bottom"/>
            <w:vMerge w:val="continue"/>
            <w:shd w:val="clear" w:color="auto" w:fill="E4E6EF"/>
          </w:tcPr>
          <w:p>
            <w:pPr>
              <w:spacing w:after="0"/>
              <w:rPr>
                <w:sz w:val="15"/>
                <w:szCs w:val="15"/>
                <w:color w:val="auto"/>
              </w:rPr>
            </w:pPr>
          </w:p>
        </w:tc>
        <w:tc>
          <w:tcPr>
            <w:tcW w:w="1240" w:type="dxa"/>
            <w:vAlign w:val="bottom"/>
            <w:vMerge w:val="continue"/>
            <w:shd w:val="clear" w:color="auto" w:fill="E4E6EF"/>
          </w:tcPr>
          <w:p>
            <w:pPr>
              <w:spacing w:after="0"/>
              <w:rPr>
                <w:sz w:val="15"/>
                <w:szCs w:val="15"/>
                <w:color w:val="auto"/>
              </w:rPr>
            </w:pPr>
          </w:p>
        </w:tc>
        <w:tc>
          <w:tcPr>
            <w:tcW w:w="960" w:type="dxa"/>
            <w:vAlign w:val="bottom"/>
            <w:vMerge w:val="continue"/>
            <w:shd w:val="clear" w:color="auto" w:fill="E4E6E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700" w:type="dxa"/>
            <w:vAlign w:val="bottom"/>
            <w:tcBorders>
              <w:bottom w:val="single" w:sz="8" w:color="939598"/>
            </w:tcBorders>
          </w:tcPr>
          <w:p>
            <w:pPr>
              <w:spacing w:after="0"/>
              <w:rPr>
                <w:sz w:val="22"/>
                <w:szCs w:val="22"/>
                <w:color w:val="auto"/>
              </w:rPr>
            </w:pPr>
          </w:p>
        </w:tc>
        <w:tc>
          <w:tcPr>
            <w:tcW w:w="70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2019</w:t>
            </w:r>
          </w:p>
        </w:tc>
        <w:tc>
          <w:tcPr>
            <w:tcW w:w="106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883,932</w:t>
            </w:r>
          </w:p>
        </w:tc>
        <w:tc>
          <w:tcPr>
            <w:tcW w:w="200" w:type="dxa"/>
            <w:vAlign w:val="bottom"/>
            <w:tcBorders>
              <w:bottom w:val="single" w:sz="8" w:color="939598"/>
            </w:tcBorders>
            <w:shd w:val="clear" w:color="auto" w:fill="E4E6EF"/>
          </w:tcPr>
          <w:p>
            <w:pPr>
              <w:spacing w:after="0"/>
              <w:rPr>
                <w:sz w:val="22"/>
                <w:szCs w:val="22"/>
                <w:color w:val="auto"/>
              </w:rPr>
            </w:pPr>
          </w:p>
        </w:tc>
        <w:tc>
          <w:tcPr>
            <w:tcW w:w="900" w:type="dxa"/>
            <w:vAlign w:val="bottom"/>
            <w:tcBorders>
              <w:bottom w:val="single" w:sz="8" w:color="939598"/>
            </w:tcBorders>
            <w:shd w:val="clear" w:color="auto" w:fill="E4E6EF"/>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39598"/>
            </w:tcBorders>
            <w:shd w:val="clear" w:color="auto" w:fill="E4E6EF"/>
          </w:tcPr>
          <w:p>
            <w:pPr>
              <w:jc w:val="right"/>
              <w:ind w:right="130"/>
              <w:spacing w:after="0"/>
              <w:rPr>
                <w:sz w:val="20"/>
                <w:szCs w:val="20"/>
                <w:color w:val="auto"/>
              </w:rPr>
            </w:pPr>
            <w:r>
              <w:rPr>
                <w:rFonts w:ascii="Arial" w:cs="Arial" w:eastAsia="Arial" w:hAnsi="Arial"/>
                <w:sz w:val="14"/>
                <w:szCs w:val="14"/>
                <w:color w:val="auto"/>
              </w:rPr>
              <w:t>3,579,885</w:t>
            </w:r>
          </w:p>
        </w:tc>
        <w:tc>
          <w:tcPr>
            <w:tcW w:w="1240" w:type="dxa"/>
            <w:vAlign w:val="bottom"/>
            <w:tcBorders>
              <w:bottom w:val="single" w:sz="8" w:color="939598"/>
            </w:tcBorders>
            <w:shd w:val="clear" w:color="auto" w:fill="E4E6EF"/>
          </w:tcPr>
          <w:p>
            <w:pPr>
              <w:jc w:val="right"/>
              <w:ind w:right="151"/>
              <w:spacing w:after="0"/>
              <w:rPr>
                <w:sz w:val="20"/>
                <w:szCs w:val="20"/>
                <w:color w:val="auto"/>
              </w:rPr>
            </w:pPr>
            <w:r>
              <w:rPr>
                <w:rFonts w:ascii="Arial" w:cs="Arial" w:eastAsia="Arial" w:hAnsi="Arial"/>
                <w:sz w:val="14"/>
                <w:szCs w:val="14"/>
                <w:color w:val="auto"/>
              </w:rPr>
              <w:t>2,380,880</w:t>
            </w:r>
          </w:p>
        </w:tc>
        <w:tc>
          <w:tcPr>
            <w:tcW w:w="1160" w:type="dxa"/>
            <w:vAlign w:val="bottom"/>
            <w:tcBorders>
              <w:bottom w:val="single" w:sz="8" w:color="939598"/>
            </w:tcBorders>
            <w:shd w:val="clear" w:color="auto" w:fill="E4E6EF"/>
          </w:tcPr>
          <w:p>
            <w:pPr>
              <w:jc w:val="right"/>
              <w:ind w:right="152"/>
              <w:spacing w:after="0"/>
              <w:rPr>
                <w:sz w:val="20"/>
                <w:szCs w:val="20"/>
                <w:color w:val="auto"/>
              </w:rPr>
            </w:pPr>
            <w:r>
              <w:rPr>
                <w:rFonts w:ascii="Arial" w:cs="Arial" w:eastAsia="Arial" w:hAnsi="Arial"/>
                <w:sz w:val="14"/>
                <w:szCs w:val="14"/>
                <w:color w:val="auto"/>
              </w:rPr>
              <w:t>1,678,553</w:t>
            </w:r>
          </w:p>
        </w:tc>
        <w:tc>
          <w:tcPr>
            <w:tcW w:w="1240" w:type="dxa"/>
            <w:vAlign w:val="bottom"/>
            <w:tcBorders>
              <w:bottom w:val="single" w:sz="8" w:color="939598"/>
            </w:tcBorders>
            <w:shd w:val="clear" w:color="auto" w:fill="E4E6EF"/>
          </w:tcPr>
          <w:p>
            <w:pPr>
              <w:jc w:val="right"/>
              <w:ind w:right="130"/>
              <w:spacing w:after="0"/>
              <w:rPr>
                <w:sz w:val="20"/>
                <w:szCs w:val="20"/>
                <w:color w:val="auto"/>
              </w:rPr>
            </w:pPr>
            <w:r>
              <w:rPr>
                <w:rFonts w:ascii="Arial" w:cs="Arial" w:eastAsia="Arial" w:hAnsi="Arial"/>
                <w:sz w:val="14"/>
                <w:szCs w:val="14"/>
                <w:color w:val="auto"/>
              </w:rPr>
              <w:t>738,980</w:t>
            </w:r>
          </w:p>
        </w:tc>
        <w:tc>
          <w:tcPr>
            <w:tcW w:w="96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9,262,230</w:t>
            </w:r>
          </w:p>
        </w:tc>
        <w:tc>
          <w:tcPr>
            <w:tcW w:w="0" w:type="dxa"/>
            <w:vAlign w:val="bottom"/>
          </w:tcPr>
          <w:p>
            <w:pPr>
              <w:spacing w:after="0"/>
              <w:rPr>
                <w:sz w:val="1"/>
                <w:szCs w:val="1"/>
                <w:color w:val="auto"/>
              </w:rPr>
            </w:pPr>
          </w:p>
        </w:tc>
      </w:tr>
      <w:tr>
        <w:trPr>
          <w:trHeight w:val="146"/>
        </w:trPr>
        <w:tc>
          <w:tcPr>
            <w:tcW w:w="2700" w:type="dxa"/>
            <w:vAlign w:val="bottom"/>
          </w:tcPr>
          <w:p>
            <w:pPr>
              <w:ind w:left="20"/>
              <w:spacing w:after="0" w:line="146" w:lineRule="exact"/>
              <w:rPr>
                <w:sz w:val="20"/>
                <w:szCs w:val="20"/>
                <w:color w:val="auto"/>
              </w:rPr>
            </w:pPr>
            <w:r>
              <w:rPr>
                <w:rFonts w:ascii="Arial" w:cs="Arial" w:eastAsia="Arial" w:hAnsi="Arial"/>
                <w:sz w:val="14"/>
                <w:szCs w:val="14"/>
                <w:b w:val="1"/>
                <w:bCs w:val="1"/>
                <w:color w:val="002E6D"/>
              </w:rPr>
              <w:t>Frank A. St. John</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2021</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1,018,957</w:t>
            </w:r>
          </w:p>
        </w:tc>
        <w:tc>
          <w:tcPr>
            <w:tcW w:w="200" w:type="dxa"/>
            <w:vAlign w:val="bottom"/>
          </w:tcPr>
          <w:p>
            <w:pPr>
              <w:spacing w:after="0"/>
              <w:rPr>
                <w:sz w:val="12"/>
                <w:szCs w:val="12"/>
                <w:color w:val="auto"/>
              </w:rPr>
            </w:pPr>
          </w:p>
        </w:tc>
        <w:tc>
          <w:tcPr>
            <w:tcW w:w="90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4,236,620</w:t>
            </w:r>
          </w:p>
        </w:tc>
        <w:tc>
          <w:tcPr>
            <w:tcW w:w="1240" w:type="dxa"/>
            <w:vAlign w:val="bottom"/>
            <w:vMerge w:val="restart"/>
          </w:tcPr>
          <w:p>
            <w:pPr>
              <w:jc w:val="right"/>
              <w:ind w:right="151"/>
              <w:spacing w:after="0"/>
              <w:rPr>
                <w:sz w:val="20"/>
                <w:szCs w:val="20"/>
                <w:color w:val="auto"/>
              </w:rPr>
            </w:pPr>
            <w:r>
              <w:rPr>
                <w:rFonts w:ascii="Arial" w:cs="Arial" w:eastAsia="Arial" w:hAnsi="Arial"/>
                <w:sz w:val="14"/>
                <w:szCs w:val="14"/>
                <w:color w:val="auto"/>
              </w:rPr>
              <w:t>2,880,515</w:t>
            </w:r>
          </w:p>
        </w:tc>
        <w:tc>
          <w:tcPr>
            <w:tcW w:w="116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130"/>
              <w:spacing w:after="0"/>
              <w:rPr>
                <w:sz w:val="20"/>
                <w:szCs w:val="20"/>
                <w:color w:val="auto"/>
              </w:rPr>
            </w:pPr>
            <w:r>
              <w:rPr>
                <w:rFonts w:ascii="Arial" w:cs="Arial" w:eastAsia="Arial" w:hAnsi="Arial"/>
                <w:sz w:val="14"/>
                <w:szCs w:val="14"/>
                <w:color w:val="auto"/>
              </w:rPr>
              <w:t>498,872</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8,634,964</w:t>
            </w:r>
          </w:p>
        </w:tc>
        <w:tc>
          <w:tcPr>
            <w:tcW w:w="0" w:type="dxa"/>
            <w:vAlign w:val="bottom"/>
          </w:tcPr>
          <w:p>
            <w:pPr>
              <w:spacing w:after="0"/>
              <w:rPr>
                <w:sz w:val="1"/>
                <w:szCs w:val="1"/>
                <w:color w:val="auto"/>
              </w:rPr>
            </w:pPr>
          </w:p>
        </w:tc>
      </w:tr>
      <w:tr>
        <w:trPr>
          <w:trHeight w:val="91"/>
        </w:trPr>
        <w:tc>
          <w:tcPr>
            <w:tcW w:w="2700" w:type="dxa"/>
            <w:vAlign w:val="bottom"/>
            <w:vMerge w:val="restart"/>
          </w:tcPr>
          <w:p>
            <w:pPr>
              <w:ind w:left="20"/>
              <w:spacing w:after="0"/>
              <w:rPr>
                <w:sz w:val="20"/>
                <w:szCs w:val="20"/>
                <w:color w:val="auto"/>
              </w:rPr>
            </w:pPr>
            <w:r>
              <w:rPr>
                <w:rFonts w:ascii="Arial" w:cs="Arial" w:eastAsia="Arial" w:hAnsi="Arial"/>
                <w:sz w:val="14"/>
                <w:szCs w:val="14"/>
                <w:color w:val="auto"/>
              </w:rPr>
              <w:t>Chief Operating Officer</w:t>
            </w:r>
          </w:p>
        </w:tc>
        <w:tc>
          <w:tcPr>
            <w:tcW w:w="70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70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7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2020</w:t>
            </w:r>
          </w:p>
        </w:tc>
        <w:tc>
          <w:tcPr>
            <w:tcW w:w="1060" w:type="dxa"/>
            <w:vAlign w:val="bottom"/>
          </w:tcPr>
          <w:p>
            <w:pPr>
              <w:jc w:val="right"/>
              <w:spacing w:after="0"/>
              <w:rPr>
                <w:sz w:val="20"/>
                <w:szCs w:val="20"/>
                <w:color w:val="auto"/>
              </w:rPr>
            </w:pPr>
            <w:r>
              <w:rPr>
                <w:rFonts w:ascii="Arial" w:cs="Arial" w:eastAsia="Arial" w:hAnsi="Arial"/>
                <w:sz w:val="14"/>
                <w:szCs w:val="14"/>
                <w:color w:val="auto"/>
              </w:rPr>
              <w:t>981,202</w:t>
            </w:r>
          </w:p>
        </w:tc>
        <w:tc>
          <w:tcPr>
            <w:tcW w:w="200" w:type="dxa"/>
            <w:vAlign w:val="bottom"/>
          </w:tcPr>
          <w:p>
            <w:pPr>
              <w:spacing w:after="0"/>
              <w:rPr>
                <w:sz w:val="15"/>
                <w:szCs w:val="15"/>
                <w:color w:val="auto"/>
              </w:rPr>
            </w:pPr>
          </w:p>
        </w:tc>
        <w:tc>
          <w:tcPr>
            <w:tcW w:w="9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30"/>
              <w:spacing w:after="0"/>
              <w:rPr>
                <w:sz w:val="20"/>
                <w:szCs w:val="20"/>
                <w:color w:val="auto"/>
              </w:rPr>
            </w:pPr>
            <w:r>
              <w:rPr>
                <w:rFonts w:ascii="Arial" w:cs="Arial" w:eastAsia="Arial" w:hAnsi="Arial"/>
                <w:sz w:val="14"/>
                <w:szCs w:val="14"/>
                <w:color w:val="auto"/>
              </w:rPr>
              <w:t>3,984,777</w:t>
            </w:r>
          </w:p>
        </w:tc>
        <w:tc>
          <w:tcPr>
            <w:tcW w:w="1240" w:type="dxa"/>
            <w:vAlign w:val="bottom"/>
          </w:tcPr>
          <w:p>
            <w:pPr>
              <w:jc w:val="right"/>
              <w:ind w:right="151"/>
              <w:spacing w:after="0"/>
              <w:rPr>
                <w:sz w:val="20"/>
                <w:szCs w:val="20"/>
                <w:color w:val="auto"/>
              </w:rPr>
            </w:pPr>
            <w:r>
              <w:rPr>
                <w:rFonts w:ascii="Arial" w:cs="Arial" w:eastAsia="Arial" w:hAnsi="Arial"/>
                <w:sz w:val="14"/>
                <w:szCs w:val="14"/>
                <w:color w:val="auto"/>
              </w:rPr>
              <w:t>3,177,700</w:t>
            </w:r>
          </w:p>
        </w:tc>
        <w:tc>
          <w:tcPr>
            <w:tcW w:w="1160" w:type="dxa"/>
            <w:vAlign w:val="bottom"/>
          </w:tcPr>
          <w:p>
            <w:pPr>
              <w:jc w:val="right"/>
              <w:ind w:right="152"/>
              <w:spacing w:after="0"/>
              <w:rPr>
                <w:sz w:val="20"/>
                <w:szCs w:val="20"/>
                <w:color w:val="auto"/>
              </w:rPr>
            </w:pPr>
            <w:r>
              <w:rPr>
                <w:rFonts w:ascii="Arial" w:cs="Arial" w:eastAsia="Arial" w:hAnsi="Arial"/>
                <w:sz w:val="14"/>
                <w:szCs w:val="14"/>
                <w:color w:val="auto"/>
              </w:rPr>
              <w:t>968,931</w:t>
            </w:r>
          </w:p>
        </w:tc>
        <w:tc>
          <w:tcPr>
            <w:tcW w:w="1240" w:type="dxa"/>
            <w:vAlign w:val="bottom"/>
          </w:tcPr>
          <w:p>
            <w:pPr>
              <w:jc w:val="right"/>
              <w:ind w:right="130"/>
              <w:spacing w:after="0"/>
              <w:rPr>
                <w:sz w:val="20"/>
                <w:szCs w:val="20"/>
                <w:color w:val="auto"/>
              </w:rPr>
            </w:pPr>
            <w:r>
              <w:rPr>
                <w:rFonts w:ascii="Arial" w:cs="Arial" w:eastAsia="Arial" w:hAnsi="Arial"/>
                <w:sz w:val="14"/>
                <w:szCs w:val="14"/>
                <w:color w:val="auto"/>
              </w:rPr>
              <w:t>406,495</w:t>
            </w:r>
          </w:p>
        </w:tc>
        <w:tc>
          <w:tcPr>
            <w:tcW w:w="960" w:type="dxa"/>
            <w:vAlign w:val="bottom"/>
          </w:tcPr>
          <w:p>
            <w:pPr>
              <w:jc w:val="right"/>
              <w:spacing w:after="0"/>
              <w:rPr>
                <w:sz w:val="20"/>
                <w:szCs w:val="20"/>
                <w:color w:val="auto"/>
              </w:rPr>
            </w:pPr>
            <w:r>
              <w:rPr>
                <w:rFonts w:ascii="Arial" w:cs="Arial" w:eastAsia="Arial" w:hAnsi="Arial"/>
                <w:sz w:val="14"/>
                <w:szCs w:val="14"/>
                <w:color w:val="auto"/>
              </w:rPr>
              <w:t>9,519,105</w:t>
            </w:r>
          </w:p>
        </w:tc>
        <w:tc>
          <w:tcPr>
            <w:tcW w:w="0" w:type="dxa"/>
            <w:vAlign w:val="bottom"/>
          </w:tcPr>
          <w:p>
            <w:pPr>
              <w:spacing w:after="0"/>
              <w:rPr>
                <w:sz w:val="1"/>
                <w:szCs w:val="1"/>
                <w:color w:val="auto"/>
              </w:rPr>
            </w:pPr>
          </w:p>
        </w:tc>
      </w:tr>
      <w:tr>
        <w:trPr>
          <w:trHeight w:val="254"/>
        </w:trPr>
        <w:tc>
          <w:tcPr>
            <w:tcW w:w="2700" w:type="dxa"/>
            <w:vAlign w:val="bottom"/>
            <w:tcBorders>
              <w:bottom w:val="single" w:sz="8" w:color="939598"/>
            </w:tcBorders>
          </w:tcPr>
          <w:p>
            <w:pPr>
              <w:spacing w:after="0"/>
              <w:rPr>
                <w:sz w:val="22"/>
                <w:szCs w:val="22"/>
                <w:color w:val="auto"/>
              </w:rPr>
            </w:pPr>
          </w:p>
        </w:tc>
        <w:tc>
          <w:tcPr>
            <w:tcW w:w="7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2019</w:t>
            </w:r>
          </w:p>
        </w:tc>
        <w:tc>
          <w:tcPr>
            <w:tcW w:w="106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900,673</w:t>
            </w:r>
          </w:p>
        </w:tc>
        <w:tc>
          <w:tcPr>
            <w:tcW w:w="200" w:type="dxa"/>
            <w:vAlign w:val="bottom"/>
            <w:tcBorders>
              <w:bottom w:val="single" w:sz="8" w:color="939598"/>
            </w:tcBorders>
          </w:tcPr>
          <w:p>
            <w:pPr>
              <w:spacing w:after="0"/>
              <w:rPr>
                <w:sz w:val="22"/>
                <w:szCs w:val="22"/>
                <w:color w:val="auto"/>
              </w:rPr>
            </w:pPr>
          </w:p>
        </w:tc>
        <w:tc>
          <w:tcPr>
            <w:tcW w:w="900" w:type="dxa"/>
            <w:vAlign w:val="bottom"/>
            <w:tcBorders>
              <w:bottom w:val="single" w:sz="8" w:color="939598"/>
            </w:tcBorders>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39598"/>
            </w:tcBorders>
          </w:tcPr>
          <w:p>
            <w:pPr>
              <w:jc w:val="right"/>
              <w:ind w:right="130"/>
              <w:spacing w:after="0"/>
              <w:rPr>
                <w:sz w:val="20"/>
                <w:szCs w:val="20"/>
                <w:color w:val="auto"/>
              </w:rPr>
            </w:pPr>
            <w:r>
              <w:rPr>
                <w:rFonts w:ascii="Arial" w:cs="Arial" w:eastAsia="Arial" w:hAnsi="Arial"/>
                <w:sz w:val="14"/>
                <w:szCs w:val="14"/>
                <w:color w:val="auto"/>
              </w:rPr>
              <w:t>3,122,369</w:t>
            </w:r>
          </w:p>
        </w:tc>
        <w:tc>
          <w:tcPr>
            <w:tcW w:w="1240" w:type="dxa"/>
            <w:vAlign w:val="bottom"/>
            <w:tcBorders>
              <w:bottom w:val="single" w:sz="8" w:color="939598"/>
            </w:tcBorders>
          </w:tcPr>
          <w:p>
            <w:pPr>
              <w:jc w:val="right"/>
              <w:ind w:right="151"/>
              <w:spacing w:after="0"/>
              <w:rPr>
                <w:sz w:val="20"/>
                <w:szCs w:val="20"/>
                <w:color w:val="auto"/>
              </w:rPr>
            </w:pPr>
            <w:r>
              <w:rPr>
                <w:rFonts w:ascii="Arial" w:cs="Arial" w:eastAsia="Arial" w:hAnsi="Arial"/>
                <w:sz w:val="14"/>
                <w:szCs w:val="14"/>
                <w:color w:val="auto"/>
              </w:rPr>
              <w:t>2,503,697</w:t>
            </w:r>
          </w:p>
        </w:tc>
        <w:tc>
          <w:tcPr>
            <w:tcW w:w="1160" w:type="dxa"/>
            <w:vAlign w:val="bottom"/>
            <w:tcBorders>
              <w:bottom w:val="single" w:sz="8" w:color="939598"/>
            </w:tcBorders>
          </w:tcPr>
          <w:p>
            <w:pPr>
              <w:jc w:val="right"/>
              <w:ind w:right="152"/>
              <w:spacing w:after="0"/>
              <w:rPr>
                <w:sz w:val="20"/>
                <w:szCs w:val="20"/>
                <w:color w:val="auto"/>
              </w:rPr>
            </w:pPr>
            <w:r>
              <w:rPr>
                <w:rFonts w:ascii="Arial" w:cs="Arial" w:eastAsia="Arial" w:hAnsi="Arial"/>
                <w:sz w:val="14"/>
                <w:szCs w:val="14"/>
                <w:color w:val="auto"/>
              </w:rPr>
              <w:t>1,410,068</w:t>
            </w:r>
          </w:p>
        </w:tc>
        <w:tc>
          <w:tcPr>
            <w:tcW w:w="1240" w:type="dxa"/>
            <w:vAlign w:val="bottom"/>
            <w:tcBorders>
              <w:bottom w:val="single" w:sz="8" w:color="939598"/>
            </w:tcBorders>
          </w:tcPr>
          <w:p>
            <w:pPr>
              <w:jc w:val="right"/>
              <w:ind w:right="130"/>
              <w:spacing w:after="0"/>
              <w:rPr>
                <w:sz w:val="20"/>
                <w:szCs w:val="20"/>
                <w:color w:val="auto"/>
              </w:rPr>
            </w:pPr>
            <w:r>
              <w:rPr>
                <w:rFonts w:ascii="Arial" w:cs="Arial" w:eastAsia="Arial" w:hAnsi="Arial"/>
                <w:sz w:val="14"/>
                <w:szCs w:val="14"/>
                <w:color w:val="auto"/>
              </w:rPr>
              <w:t>583,012</w:t>
            </w:r>
          </w:p>
        </w:tc>
        <w:tc>
          <w:tcPr>
            <w:tcW w:w="96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8,519,819</w:t>
            </w:r>
          </w:p>
        </w:tc>
        <w:tc>
          <w:tcPr>
            <w:tcW w:w="0" w:type="dxa"/>
            <w:vAlign w:val="bottom"/>
          </w:tcPr>
          <w:p>
            <w:pPr>
              <w:spacing w:after="0"/>
              <w:rPr>
                <w:sz w:val="1"/>
                <w:szCs w:val="1"/>
                <w:color w:val="auto"/>
              </w:rPr>
            </w:pPr>
          </w:p>
        </w:tc>
      </w:tr>
      <w:tr>
        <w:trPr>
          <w:trHeight w:val="146"/>
        </w:trPr>
        <w:tc>
          <w:tcPr>
            <w:tcW w:w="2700" w:type="dxa"/>
            <w:vAlign w:val="bottom"/>
          </w:tcPr>
          <w:p>
            <w:pPr>
              <w:ind w:left="20"/>
              <w:spacing w:after="0" w:line="146" w:lineRule="exact"/>
              <w:rPr>
                <w:sz w:val="20"/>
                <w:szCs w:val="20"/>
                <w:color w:val="auto"/>
              </w:rPr>
            </w:pPr>
            <w:r>
              <w:rPr>
                <w:rFonts w:ascii="Arial" w:cs="Arial" w:eastAsia="Arial" w:hAnsi="Arial"/>
                <w:sz w:val="14"/>
                <w:szCs w:val="14"/>
                <w:b w:val="1"/>
                <w:bCs w:val="1"/>
                <w:color w:val="002E6D"/>
              </w:rPr>
              <w:t>Richard F. Ambrose</w:t>
            </w:r>
          </w:p>
        </w:tc>
        <w:tc>
          <w:tcPr>
            <w:tcW w:w="700" w:type="dxa"/>
            <w:vAlign w:val="bottom"/>
            <w:vMerge w:val="restart"/>
            <w:shd w:val="clear" w:color="auto" w:fill="E4E6EF"/>
          </w:tcPr>
          <w:p>
            <w:pPr>
              <w:jc w:val="right"/>
              <w:spacing w:after="0"/>
              <w:rPr>
                <w:sz w:val="20"/>
                <w:szCs w:val="20"/>
                <w:color w:val="auto"/>
              </w:rPr>
            </w:pPr>
            <w:r>
              <w:rPr>
                <w:rFonts w:ascii="Arial" w:cs="Arial" w:eastAsia="Arial" w:hAnsi="Arial"/>
                <w:sz w:val="14"/>
                <w:szCs w:val="14"/>
                <w:color w:val="auto"/>
              </w:rPr>
              <w:t>2021</w:t>
            </w:r>
          </w:p>
        </w:tc>
        <w:tc>
          <w:tcPr>
            <w:tcW w:w="1060" w:type="dxa"/>
            <w:vAlign w:val="bottom"/>
            <w:vMerge w:val="restart"/>
            <w:shd w:val="clear" w:color="auto" w:fill="E4E6EF"/>
          </w:tcPr>
          <w:p>
            <w:pPr>
              <w:jc w:val="right"/>
              <w:spacing w:after="0"/>
              <w:rPr>
                <w:sz w:val="20"/>
                <w:szCs w:val="20"/>
                <w:color w:val="auto"/>
              </w:rPr>
            </w:pPr>
            <w:r>
              <w:rPr>
                <w:rFonts w:ascii="Arial" w:cs="Arial" w:eastAsia="Arial" w:hAnsi="Arial"/>
                <w:sz w:val="14"/>
                <w:szCs w:val="14"/>
                <w:color w:val="auto"/>
              </w:rPr>
              <w:t>974,691</w:t>
            </w:r>
          </w:p>
        </w:tc>
        <w:tc>
          <w:tcPr>
            <w:tcW w:w="200" w:type="dxa"/>
            <w:vAlign w:val="bottom"/>
            <w:shd w:val="clear" w:color="auto" w:fill="E4E6EF"/>
          </w:tcPr>
          <w:p>
            <w:pPr>
              <w:spacing w:after="0"/>
              <w:rPr>
                <w:sz w:val="12"/>
                <w:szCs w:val="12"/>
                <w:color w:val="auto"/>
              </w:rPr>
            </w:pPr>
          </w:p>
        </w:tc>
        <w:tc>
          <w:tcPr>
            <w:tcW w:w="900" w:type="dxa"/>
            <w:vAlign w:val="bottom"/>
            <w:vMerge w:val="restart"/>
            <w:shd w:val="clear" w:color="auto" w:fill="E4E6EF"/>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E4E6EF"/>
          </w:tcPr>
          <w:p>
            <w:pPr>
              <w:jc w:val="right"/>
              <w:ind w:right="130"/>
              <w:spacing w:after="0"/>
              <w:rPr>
                <w:sz w:val="20"/>
                <w:szCs w:val="20"/>
                <w:color w:val="auto"/>
              </w:rPr>
            </w:pPr>
            <w:r>
              <w:rPr>
                <w:rFonts w:ascii="Arial" w:cs="Arial" w:eastAsia="Arial" w:hAnsi="Arial"/>
                <w:sz w:val="14"/>
                <w:szCs w:val="14"/>
                <w:color w:val="auto"/>
              </w:rPr>
              <w:t>3,081,211</w:t>
            </w:r>
          </w:p>
        </w:tc>
        <w:tc>
          <w:tcPr>
            <w:tcW w:w="1240" w:type="dxa"/>
            <w:vAlign w:val="bottom"/>
            <w:vMerge w:val="restart"/>
            <w:shd w:val="clear" w:color="auto" w:fill="E4E6EF"/>
          </w:tcPr>
          <w:p>
            <w:pPr>
              <w:jc w:val="right"/>
              <w:ind w:right="151"/>
              <w:spacing w:after="0"/>
              <w:rPr>
                <w:sz w:val="20"/>
                <w:szCs w:val="20"/>
                <w:color w:val="auto"/>
              </w:rPr>
            </w:pPr>
            <w:r>
              <w:rPr>
                <w:rFonts w:ascii="Arial" w:cs="Arial" w:eastAsia="Arial" w:hAnsi="Arial"/>
                <w:sz w:val="14"/>
                <w:szCs w:val="14"/>
                <w:color w:val="auto"/>
              </w:rPr>
              <w:t>2,644,915</w:t>
            </w:r>
          </w:p>
        </w:tc>
        <w:tc>
          <w:tcPr>
            <w:tcW w:w="1160" w:type="dxa"/>
            <w:vAlign w:val="bottom"/>
            <w:vMerge w:val="restart"/>
            <w:shd w:val="clear" w:color="auto" w:fill="E4E6EF"/>
          </w:tcPr>
          <w:p>
            <w:pPr>
              <w:jc w:val="right"/>
              <w:ind w:right="152"/>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E4E6EF"/>
          </w:tcPr>
          <w:p>
            <w:pPr>
              <w:jc w:val="right"/>
              <w:ind w:right="130"/>
              <w:spacing w:after="0"/>
              <w:rPr>
                <w:sz w:val="20"/>
                <w:szCs w:val="20"/>
                <w:color w:val="auto"/>
              </w:rPr>
            </w:pPr>
            <w:r>
              <w:rPr>
                <w:rFonts w:ascii="Arial" w:cs="Arial" w:eastAsia="Arial" w:hAnsi="Arial"/>
                <w:sz w:val="14"/>
                <w:szCs w:val="14"/>
                <w:color w:val="auto"/>
              </w:rPr>
              <w:t>145,881</w:t>
            </w:r>
          </w:p>
        </w:tc>
        <w:tc>
          <w:tcPr>
            <w:tcW w:w="960" w:type="dxa"/>
            <w:vAlign w:val="bottom"/>
            <w:vMerge w:val="restart"/>
            <w:shd w:val="clear" w:color="auto" w:fill="E4E6EF"/>
          </w:tcPr>
          <w:p>
            <w:pPr>
              <w:jc w:val="right"/>
              <w:spacing w:after="0"/>
              <w:rPr>
                <w:sz w:val="20"/>
                <w:szCs w:val="20"/>
                <w:color w:val="auto"/>
              </w:rPr>
            </w:pPr>
            <w:r>
              <w:rPr>
                <w:rFonts w:ascii="Arial" w:cs="Arial" w:eastAsia="Arial" w:hAnsi="Arial"/>
                <w:sz w:val="14"/>
                <w:szCs w:val="14"/>
                <w:color w:val="auto"/>
              </w:rPr>
              <w:t>6,846,698</w:t>
            </w:r>
          </w:p>
        </w:tc>
        <w:tc>
          <w:tcPr>
            <w:tcW w:w="0" w:type="dxa"/>
            <w:vAlign w:val="bottom"/>
          </w:tcPr>
          <w:p>
            <w:pPr>
              <w:spacing w:after="0"/>
              <w:rPr>
                <w:sz w:val="1"/>
                <w:szCs w:val="1"/>
                <w:color w:val="auto"/>
              </w:rPr>
            </w:pPr>
          </w:p>
        </w:tc>
      </w:tr>
      <w:tr>
        <w:trPr>
          <w:trHeight w:val="89"/>
        </w:trPr>
        <w:tc>
          <w:tcPr>
            <w:tcW w:w="2700" w:type="dxa"/>
            <w:vAlign w:val="bottom"/>
            <w:vMerge w:val="restart"/>
          </w:tcPr>
          <w:p>
            <w:pPr>
              <w:ind w:left="20"/>
              <w:spacing w:after="0"/>
              <w:rPr>
                <w:sz w:val="20"/>
                <w:szCs w:val="20"/>
                <w:color w:val="auto"/>
              </w:rPr>
            </w:pPr>
            <w:r>
              <w:rPr>
                <w:rFonts w:ascii="Arial" w:cs="Arial" w:eastAsia="Arial" w:hAnsi="Arial"/>
                <w:sz w:val="14"/>
                <w:szCs w:val="14"/>
                <w:color w:val="auto"/>
              </w:rPr>
              <w:t>Former Executive Vice President, Space</w:t>
            </w:r>
          </w:p>
        </w:tc>
        <w:tc>
          <w:tcPr>
            <w:tcW w:w="700" w:type="dxa"/>
            <w:vAlign w:val="bottom"/>
            <w:vMerge w:val="continue"/>
            <w:shd w:val="clear" w:color="auto" w:fill="E4E6EF"/>
          </w:tcPr>
          <w:p>
            <w:pPr>
              <w:spacing w:after="0"/>
              <w:rPr>
                <w:sz w:val="7"/>
                <w:szCs w:val="7"/>
                <w:color w:val="auto"/>
              </w:rPr>
            </w:pPr>
          </w:p>
        </w:tc>
        <w:tc>
          <w:tcPr>
            <w:tcW w:w="1060" w:type="dxa"/>
            <w:vAlign w:val="bottom"/>
            <w:vMerge w:val="continue"/>
            <w:shd w:val="clear" w:color="auto" w:fill="E4E6EF"/>
          </w:tcPr>
          <w:p>
            <w:pPr>
              <w:spacing w:after="0"/>
              <w:rPr>
                <w:sz w:val="7"/>
                <w:szCs w:val="7"/>
                <w:color w:val="auto"/>
              </w:rPr>
            </w:pPr>
          </w:p>
        </w:tc>
        <w:tc>
          <w:tcPr>
            <w:tcW w:w="200" w:type="dxa"/>
            <w:vAlign w:val="bottom"/>
            <w:shd w:val="clear" w:color="auto" w:fill="E4E6EF"/>
          </w:tcPr>
          <w:p>
            <w:pPr>
              <w:spacing w:after="0"/>
              <w:rPr>
                <w:sz w:val="7"/>
                <w:szCs w:val="7"/>
                <w:color w:val="auto"/>
              </w:rPr>
            </w:pPr>
          </w:p>
        </w:tc>
        <w:tc>
          <w:tcPr>
            <w:tcW w:w="900" w:type="dxa"/>
            <w:vAlign w:val="bottom"/>
            <w:vMerge w:val="continue"/>
            <w:shd w:val="clear" w:color="auto" w:fill="E4E6EF"/>
          </w:tcPr>
          <w:p>
            <w:pPr>
              <w:spacing w:after="0"/>
              <w:rPr>
                <w:sz w:val="7"/>
                <w:szCs w:val="7"/>
                <w:color w:val="auto"/>
              </w:rPr>
            </w:pPr>
          </w:p>
        </w:tc>
        <w:tc>
          <w:tcPr>
            <w:tcW w:w="1080" w:type="dxa"/>
            <w:vAlign w:val="bottom"/>
            <w:vMerge w:val="continue"/>
            <w:shd w:val="clear" w:color="auto" w:fill="E4E6EF"/>
          </w:tcPr>
          <w:p>
            <w:pPr>
              <w:spacing w:after="0"/>
              <w:rPr>
                <w:sz w:val="7"/>
                <w:szCs w:val="7"/>
                <w:color w:val="auto"/>
              </w:rPr>
            </w:pPr>
          </w:p>
        </w:tc>
        <w:tc>
          <w:tcPr>
            <w:tcW w:w="1240" w:type="dxa"/>
            <w:vAlign w:val="bottom"/>
            <w:vMerge w:val="continue"/>
            <w:shd w:val="clear" w:color="auto" w:fill="E4E6EF"/>
          </w:tcPr>
          <w:p>
            <w:pPr>
              <w:spacing w:after="0"/>
              <w:rPr>
                <w:sz w:val="7"/>
                <w:szCs w:val="7"/>
                <w:color w:val="auto"/>
              </w:rPr>
            </w:pPr>
          </w:p>
        </w:tc>
        <w:tc>
          <w:tcPr>
            <w:tcW w:w="1160" w:type="dxa"/>
            <w:vAlign w:val="bottom"/>
            <w:vMerge w:val="continue"/>
            <w:shd w:val="clear" w:color="auto" w:fill="E4E6EF"/>
          </w:tcPr>
          <w:p>
            <w:pPr>
              <w:spacing w:after="0"/>
              <w:rPr>
                <w:sz w:val="7"/>
                <w:szCs w:val="7"/>
                <w:color w:val="auto"/>
              </w:rPr>
            </w:pPr>
          </w:p>
        </w:tc>
        <w:tc>
          <w:tcPr>
            <w:tcW w:w="1240" w:type="dxa"/>
            <w:vAlign w:val="bottom"/>
            <w:vMerge w:val="continue"/>
            <w:shd w:val="clear" w:color="auto" w:fill="E4E6EF"/>
          </w:tcPr>
          <w:p>
            <w:pPr>
              <w:spacing w:after="0"/>
              <w:rPr>
                <w:sz w:val="7"/>
                <w:szCs w:val="7"/>
                <w:color w:val="auto"/>
              </w:rPr>
            </w:pPr>
          </w:p>
        </w:tc>
        <w:tc>
          <w:tcPr>
            <w:tcW w:w="960" w:type="dxa"/>
            <w:vAlign w:val="bottom"/>
            <w:vMerge w:val="continue"/>
            <w:shd w:val="clear" w:color="auto" w:fill="E4E6EF"/>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700" w:type="dxa"/>
            <w:vAlign w:val="bottom"/>
            <w:vMerge w:val="continue"/>
          </w:tcPr>
          <w:p>
            <w:pPr>
              <w:spacing w:after="0"/>
              <w:rPr>
                <w:sz w:val="7"/>
                <w:szCs w:val="7"/>
                <w:color w:val="auto"/>
              </w:rPr>
            </w:pPr>
          </w:p>
        </w:tc>
        <w:tc>
          <w:tcPr>
            <w:tcW w:w="700" w:type="dxa"/>
            <w:vAlign w:val="bottom"/>
            <w:vMerge w:val="restart"/>
            <w:shd w:val="clear" w:color="auto" w:fill="E4E6EF"/>
          </w:tcPr>
          <w:p>
            <w:pPr>
              <w:jc w:val="right"/>
              <w:spacing w:after="0"/>
              <w:rPr>
                <w:sz w:val="20"/>
                <w:szCs w:val="20"/>
                <w:color w:val="auto"/>
              </w:rPr>
            </w:pPr>
            <w:r>
              <w:rPr>
                <w:rFonts w:ascii="Arial" w:cs="Arial" w:eastAsia="Arial" w:hAnsi="Arial"/>
                <w:sz w:val="14"/>
                <w:szCs w:val="14"/>
                <w:color w:val="auto"/>
              </w:rPr>
              <w:t>2020</w:t>
            </w:r>
          </w:p>
        </w:tc>
        <w:tc>
          <w:tcPr>
            <w:tcW w:w="1060" w:type="dxa"/>
            <w:vAlign w:val="bottom"/>
            <w:vMerge w:val="restart"/>
            <w:shd w:val="clear" w:color="auto" w:fill="E4E6EF"/>
          </w:tcPr>
          <w:p>
            <w:pPr>
              <w:jc w:val="right"/>
              <w:spacing w:after="0"/>
              <w:rPr>
                <w:sz w:val="20"/>
                <w:szCs w:val="20"/>
                <w:color w:val="auto"/>
              </w:rPr>
            </w:pPr>
            <w:r>
              <w:rPr>
                <w:rFonts w:ascii="Arial" w:cs="Arial" w:eastAsia="Arial" w:hAnsi="Arial"/>
                <w:sz w:val="14"/>
                <w:szCs w:val="14"/>
                <w:color w:val="auto"/>
              </w:rPr>
              <w:t>947,212</w:t>
            </w:r>
          </w:p>
        </w:tc>
        <w:tc>
          <w:tcPr>
            <w:tcW w:w="200" w:type="dxa"/>
            <w:vAlign w:val="bottom"/>
            <w:shd w:val="clear" w:color="auto" w:fill="E4E6EF"/>
          </w:tcPr>
          <w:p>
            <w:pPr>
              <w:spacing w:after="0"/>
              <w:rPr>
                <w:sz w:val="7"/>
                <w:szCs w:val="7"/>
                <w:color w:val="auto"/>
              </w:rPr>
            </w:pPr>
          </w:p>
        </w:tc>
        <w:tc>
          <w:tcPr>
            <w:tcW w:w="900" w:type="dxa"/>
            <w:vAlign w:val="bottom"/>
            <w:vMerge w:val="restart"/>
            <w:shd w:val="clear" w:color="auto" w:fill="E4E6EF"/>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E4E6EF"/>
          </w:tcPr>
          <w:p>
            <w:pPr>
              <w:jc w:val="right"/>
              <w:ind w:right="130"/>
              <w:spacing w:after="0"/>
              <w:rPr>
                <w:sz w:val="20"/>
                <w:szCs w:val="20"/>
                <w:color w:val="auto"/>
              </w:rPr>
            </w:pPr>
            <w:r>
              <w:rPr>
                <w:rFonts w:ascii="Arial" w:cs="Arial" w:eastAsia="Arial" w:hAnsi="Arial"/>
                <w:sz w:val="14"/>
                <w:szCs w:val="14"/>
                <w:color w:val="auto"/>
              </w:rPr>
              <w:t>3,418,465</w:t>
            </w:r>
          </w:p>
        </w:tc>
        <w:tc>
          <w:tcPr>
            <w:tcW w:w="1240" w:type="dxa"/>
            <w:vAlign w:val="bottom"/>
            <w:vMerge w:val="restart"/>
            <w:shd w:val="clear" w:color="auto" w:fill="E4E6EF"/>
          </w:tcPr>
          <w:p>
            <w:pPr>
              <w:jc w:val="right"/>
              <w:ind w:right="151"/>
              <w:spacing w:after="0"/>
              <w:rPr>
                <w:sz w:val="20"/>
                <w:szCs w:val="20"/>
                <w:color w:val="auto"/>
              </w:rPr>
            </w:pPr>
            <w:r>
              <w:rPr>
                <w:rFonts w:ascii="Arial" w:cs="Arial" w:eastAsia="Arial" w:hAnsi="Arial"/>
                <w:sz w:val="14"/>
                <w:szCs w:val="14"/>
                <w:color w:val="auto"/>
              </w:rPr>
              <w:t>3,177,700</w:t>
            </w:r>
          </w:p>
        </w:tc>
        <w:tc>
          <w:tcPr>
            <w:tcW w:w="1160" w:type="dxa"/>
            <w:vAlign w:val="bottom"/>
            <w:vMerge w:val="restart"/>
            <w:shd w:val="clear" w:color="auto" w:fill="E4E6EF"/>
          </w:tcPr>
          <w:p>
            <w:pPr>
              <w:jc w:val="right"/>
              <w:ind w:right="152"/>
              <w:spacing w:after="0"/>
              <w:rPr>
                <w:sz w:val="20"/>
                <w:szCs w:val="20"/>
                <w:color w:val="auto"/>
              </w:rPr>
            </w:pPr>
            <w:r>
              <w:rPr>
                <w:rFonts w:ascii="Arial" w:cs="Arial" w:eastAsia="Arial" w:hAnsi="Arial"/>
                <w:sz w:val="14"/>
                <w:szCs w:val="14"/>
                <w:color w:val="auto"/>
              </w:rPr>
              <w:t>528,557</w:t>
            </w:r>
          </w:p>
        </w:tc>
        <w:tc>
          <w:tcPr>
            <w:tcW w:w="1240" w:type="dxa"/>
            <w:vAlign w:val="bottom"/>
            <w:vMerge w:val="restart"/>
            <w:shd w:val="clear" w:color="auto" w:fill="E4E6EF"/>
          </w:tcPr>
          <w:p>
            <w:pPr>
              <w:jc w:val="right"/>
              <w:ind w:right="130"/>
              <w:spacing w:after="0"/>
              <w:rPr>
                <w:sz w:val="20"/>
                <w:szCs w:val="20"/>
                <w:color w:val="auto"/>
              </w:rPr>
            </w:pPr>
            <w:r>
              <w:rPr>
                <w:rFonts w:ascii="Arial" w:cs="Arial" w:eastAsia="Arial" w:hAnsi="Arial"/>
                <w:sz w:val="14"/>
                <w:szCs w:val="14"/>
                <w:color w:val="auto"/>
              </w:rPr>
              <w:t>181,380</w:t>
            </w:r>
          </w:p>
        </w:tc>
        <w:tc>
          <w:tcPr>
            <w:tcW w:w="960" w:type="dxa"/>
            <w:vAlign w:val="bottom"/>
            <w:vMerge w:val="restart"/>
            <w:shd w:val="clear" w:color="auto" w:fill="E4E6EF"/>
          </w:tcPr>
          <w:p>
            <w:pPr>
              <w:jc w:val="right"/>
              <w:spacing w:after="0"/>
              <w:rPr>
                <w:sz w:val="20"/>
                <w:szCs w:val="20"/>
                <w:color w:val="auto"/>
              </w:rPr>
            </w:pPr>
            <w:r>
              <w:rPr>
                <w:rFonts w:ascii="Arial" w:cs="Arial" w:eastAsia="Arial" w:hAnsi="Arial"/>
                <w:sz w:val="14"/>
                <w:szCs w:val="14"/>
                <w:color w:val="auto"/>
              </w:rPr>
              <w:t>8,253,314</w:t>
            </w:r>
          </w:p>
        </w:tc>
        <w:tc>
          <w:tcPr>
            <w:tcW w:w="0" w:type="dxa"/>
            <w:vAlign w:val="bottom"/>
          </w:tcPr>
          <w:p>
            <w:pPr>
              <w:spacing w:after="0"/>
              <w:rPr>
                <w:sz w:val="1"/>
                <w:szCs w:val="1"/>
                <w:color w:val="auto"/>
              </w:rPr>
            </w:pPr>
          </w:p>
        </w:tc>
      </w:tr>
      <w:tr>
        <w:trPr>
          <w:trHeight w:val="173"/>
        </w:trPr>
        <w:tc>
          <w:tcPr>
            <w:tcW w:w="2700" w:type="dxa"/>
            <w:vAlign w:val="bottom"/>
          </w:tcPr>
          <w:p>
            <w:pPr>
              <w:spacing w:after="0"/>
              <w:rPr>
                <w:sz w:val="15"/>
                <w:szCs w:val="15"/>
                <w:color w:val="auto"/>
              </w:rPr>
            </w:pPr>
          </w:p>
        </w:tc>
        <w:tc>
          <w:tcPr>
            <w:tcW w:w="700" w:type="dxa"/>
            <w:vAlign w:val="bottom"/>
            <w:vMerge w:val="continue"/>
            <w:shd w:val="clear" w:color="auto" w:fill="E4E6EF"/>
          </w:tcPr>
          <w:p>
            <w:pPr>
              <w:spacing w:after="0"/>
              <w:rPr>
                <w:sz w:val="15"/>
                <w:szCs w:val="15"/>
                <w:color w:val="auto"/>
              </w:rPr>
            </w:pPr>
          </w:p>
        </w:tc>
        <w:tc>
          <w:tcPr>
            <w:tcW w:w="1060" w:type="dxa"/>
            <w:vAlign w:val="bottom"/>
            <w:vMerge w:val="continue"/>
            <w:shd w:val="clear" w:color="auto" w:fill="E4E6EF"/>
          </w:tcPr>
          <w:p>
            <w:pPr>
              <w:spacing w:after="0"/>
              <w:rPr>
                <w:sz w:val="15"/>
                <w:szCs w:val="15"/>
                <w:color w:val="auto"/>
              </w:rPr>
            </w:pPr>
          </w:p>
        </w:tc>
        <w:tc>
          <w:tcPr>
            <w:tcW w:w="200" w:type="dxa"/>
            <w:vAlign w:val="bottom"/>
            <w:shd w:val="clear" w:color="auto" w:fill="E4E6EF"/>
          </w:tcPr>
          <w:p>
            <w:pPr>
              <w:spacing w:after="0"/>
              <w:rPr>
                <w:sz w:val="15"/>
                <w:szCs w:val="15"/>
                <w:color w:val="auto"/>
              </w:rPr>
            </w:pPr>
          </w:p>
        </w:tc>
        <w:tc>
          <w:tcPr>
            <w:tcW w:w="900" w:type="dxa"/>
            <w:vAlign w:val="bottom"/>
            <w:vMerge w:val="continue"/>
            <w:shd w:val="clear" w:color="auto" w:fill="E4E6EF"/>
          </w:tcPr>
          <w:p>
            <w:pPr>
              <w:spacing w:after="0"/>
              <w:rPr>
                <w:sz w:val="15"/>
                <w:szCs w:val="15"/>
                <w:color w:val="auto"/>
              </w:rPr>
            </w:pPr>
          </w:p>
        </w:tc>
        <w:tc>
          <w:tcPr>
            <w:tcW w:w="1080" w:type="dxa"/>
            <w:vAlign w:val="bottom"/>
            <w:vMerge w:val="continue"/>
            <w:shd w:val="clear" w:color="auto" w:fill="E4E6EF"/>
          </w:tcPr>
          <w:p>
            <w:pPr>
              <w:spacing w:after="0"/>
              <w:rPr>
                <w:sz w:val="15"/>
                <w:szCs w:val="15"/>
                <w:color w:val="auto"/>
              </w:rPr>
            </w:pPr>
          </w:p>
        </w:tc>
        <w:tc>
          <w:tcPr>
            <w:tcW w:w="1240" w:type="dxa"/>
            <w:vAlign w:val="bottom"/>
            <w:vMerge w:val="continue"/>
            <w:shd w:val="clear" w:color="auto" w:fill="E4E6EF"/>
          </w:tcPr>
          <w:p>
            <w:pPr>
              <w:spacing w:after="0"/>
              <w:rPr>
                <w:sz w:val="15"/>
                <w:szCs w:val="15"/>
                <w:color w:val="auto"/>
              </w:rPr>
            </w:pPr>
          </w:p>
        </w:tc>
        <w:tc>
          <w:tcPr>
            <w:tcW w:w="1160" w:type="dxa"/>
            <w:vAlign w:val="bottom"/>
            <w:vMerge w:val="continue"/>
            <w:shd w:val="clear" w:color="auto" w:fill="E4E6EF"/>
          </w:tcPr>
          <w:p>
            <w:pPr>
              <w:spacing w:after="0"/>
              <w:rPr>
                <w:sz w:val="15"/>
                <w:szCs w:val="15"/>
                <w:color w:val="auto"/>
              </w:rPr>
            </w:pPr>
          </w:p>
        </w:tc>
        <w:tc>
          <w:tcPr>
            <w:tcW w:w="1240" w:type="dxa"/>
            <w:vAlign w:val="bottom"/>
            <w:vMerge w:val="continue"/>
            <w:shd w:val="clear" w:color="auto" w:fill="E4E6EF"/>
          </w:tcPr>
          <w:p>
            <w:pPr>
              <w:spacing w:after="0"/>
              <w:rPr>
                <w:sz w:val="15"/>
                <w:szCs w:val="15"/>
                <w:color w:val="auto"/>
              </w:rPr>
            </w:pPr>
          </w:p>
        </w:tc>
        <w:tc>
          <w:tcPr>
            <w:tcW w:w="960" w:type="dxa"/>
            <w:vAlign w:val="bottom"/>
            <w:vMerge w:val="continue"/>
            <w:shd w:val="clear" w:color="auto" w:fill="E4E6EF"/>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700" w:type="dxa"/>
            <w:vAlign w:val="bottom"/>
            <w:tcBorders>
              <w:bottom w:val="single" w:sz="8" w:color="939598"/>
            </w:tcBorders>
          </w:tcPr>
          <w:p>
            <w:pPr>
              <w:spacing w:after="0"/>
              <w:rPr>
                <w:sz w:val="22"/>
                <w:szCs w:val="22"/>
                <w:color w:val="auto"/>
              </w:rPr>
            </w:pPr>
          </w:p>
        </w:tc>
        <w:tc>
          <w:tcPr>
            <w:tcW w:w="70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2019</w:t>
            </w:r>
          </w:p>
        </w:tc>
        <w:tc>
          <w:tcPr>
            <w:tcW w:w="106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900,673</w:t>
            </w:r>
          </w:p>
        </w:tc>
        <w:tc>
          <w:tcPr>
            <w:tcW w:w="200" w:type="dxa"/>
            <w:vAlign w:val="bottom"/>
            <w:tcBorders>
              <w:bottom w:val="single" w:sz="8" w:color="939598"/>
            </w:tcBorders>
            <w:shd w:val="clear" w:color="auto" w:fill="E4E6EF"/>
          </w:tcPr>
          <w:p>
            <w:pPr>
              <w:spacing w:after="0"/>
              <w:rPr>
                <w:sz w:val="22"/>
                <w:szCs w:val="22"/>
                <w:color w:val="auto"/>
              </w:rPr>
            </w:pPr>
          </w:p>
        </w:tc>
        <w:tc>
          <w:tcPr>
            <w:tcW w:w="900" w:type="dxa"/>
            <w:vAlign w:val="bottom"/>
            <w:tcBorders>
              <w:bottom w:val="single" w:sz="8" w:color="939598"/>
            </w:tcBorders>
            <w:shd w:val="clear" w:color="auto" w:fill="E4E6EF"/>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39598"/>
            </w:tcBorders>
            <w:shd w:val="clear" w:color="auto" w:fill="E4E6EF"/>
          </w:tcPr>
          <w:p>
            <w:pPr>
              <w:jc w:val="right"/>
              <w:ind w:right="130"/>
              <w:spacing w:after="0"/>
              <w:rPr>
                <w:sz w:val="20"/>
                <w:szCs w:val="20"/>
                <w:color w:val="auto"/>
              </w:rPr>
            </w:pPr>
            <w:r>
              <w:rPr>
                <w:rFonts w:ascii="Arial" w:cs="Arial" w:eastAsia="Arial" w:hAnsi="Arial"/>
                <w:sz w:val="14"/>
                <w:szCs w:val="14"/>
                <w:color w:val="auto"/>
              </w:rPr>
              <w:t>3,122,369</w:t>
            </w:r>
          </w:p>
        </w:tc>
        <w:tc>
          <w:tcPr>
            <w:tcW w:w="1240" w:type="dxa"/>
            <w:vAlign w:val="bottom"/>
            <w:tcBorders>
              <w:bottom w:val="single" w:sz="8" w:color="939598"/>
            </w:tcBorders>
            <w:shd w:val="clear" w:color="auto" w:fill="E4E6EF"/>
          </w:tcPr>
          <w:p>
            <w:pPr>
              <w:jc w:val="right"/>
              <w:ind w:right="151"/>
              <w:spacing w:after="0"/>
              <w:rPr>
                <w:sz w:val="20"/>
                <w:szCs w:val="20"/>
                <w:color w:val="auto"/>
              </w:rPr>
            </w:pPr>
            <w:r>
              <w:rPr>
                <w:rFonts w:ascii="Arial" w:cs="Arial" w:eastAsia="Arial" w:hAnsi="Arial"/>
                <w:sz w:val="14"/>
                <w:szCs w:val="14"/>
                <w:color w:val="auto"/>
              </w:rPr>
              <w:t>2,845,950</w:t>
            </w:r>
          </w:p>
        </w:tc>
        <w:tc>
          <w:tcPr>
            <w:tcW w:w="1160" w:type="dxa"/>
            <w:vAlign w:val="bottom"/>
            <w:tcBorders>
              <w:bottom w:val="single" w:sz="8" w:color="939598"/>
            </w:tcBorders>
            <w:shd w:val="clear" w:color="auto" w:fill="E4E6EF"/>
          </w:tcPr>
          <w:p>
            <w:pPr>
              <w:jc w:val="right"/>
              <w:ind w:right="152"/>
              <w:spacing w:after="0"/>
              <w:rPr>
                <w:sz w:val="20"/>
                <w:szCs w:val="20"/>
                <w:color w:val="auto"/>
              </w:rPr>
            </w:pPr>
            <w:r>
              <w:rPr>
                <w:rFonts w:ascii="Arial" w:cs="Arial" w:eastAsia="Arial" w:hAnsi="Arial"/>
                <w:sz w:val="14"/>
                <w:szCs w:val="14"/>
                <w:color w:val="auto"/>
              </w:rPr>
              <w:t>1,513,734</w:t>
            </w:r>
          </w:p>
        </w:tc>
        <w:tc>
          <w:tcPr>
            <w:tcW w:w="1240" w:type="dxa"/>
            <w:vAlign w:val="bottom"/>
            <w:tcBorders>
              <w:bottom w:val="single" w:sz="8" w:color="939598"/>
            </w:tcBorders>
            <w:shd w:val="clear" w:color="auto" w:fill="E4E6EF"/>
          </w:tcPr>
          <w:p>
            <w:pPr>
              <w:jc w:val="right"/>
              <w:ind w:right="130"/>
              <w:spacing w:after="0"/>
              <w:rPr>
                <w:sz w:val="20"/>
                <w:szCs w:val="20"/>
                <w:color w:val="auto"/>
              </w:rPr>
            </w:pPr>
            <w:r>
              <w:rPr>
                <w:rFonts w:ascii="Arial" w:cs="Arial" w:eastAsia="Arial" w:hAnsi="Arial"/>
                <w:sz w:val="14"/>
                <w:szCs w:val="14"/>
                <w:color w:val="auto"/>
              </w:rPr>
              <w:t>200,781</w:t>
            </w:r>
          </w:p>
        </w:tc>
        <w:tc>
          <w:tcPr>
            <w:tcW w:w="96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8,583,507</w:t>
            </w:r>
          </w:p>
        </w:tc>
        <w:tc>
          <w:tcPr>
            <w:tcW w:w="0" w:type="dxa"/>
            <w:vAlign w:val="bottom"/>
          </w:tcPr>
          <w:p>
            <w:pPr>
              <w:spacing w:after="0"/>
              <w:rPr>
                <w:sz w:val="1"/>
                <w:szCs w:val="1"/>
                <w:color w:val="auto"/>
              </w:rPr>
            </w:pPr>
          </w:p>
        </w:tc>
      </w:tr>
      <w:tr>
        <w:trPr>
          <w:trHeight w:val="146"/>
        </w:trPr>
        <w:tc>
          <w:tcPr>
            <w:tcW w:w="2700" w:type="dxa"/>
            <w:vAlign w:val="bottom"/>
          </w:tcPr>
          <w:p>
            <w:pPr>
              <w:ind w:left="20"/>
              <w:spacing w:after="0" w:line="146" w:lineRule="exact"/>
              <w:rPr>
                <w:sz w:val="20"/>
                <w:szCs w:val="20"/>
                <w:color w:val="auto"/>
              </w:rPr>
            </w:pPr>
            <w:r>
              <w:rPr>
                <w:rFonts w:ascii="Arial" w:cs="Arial" w:eastAsia="Arial" w:hAnsi="Arial"/>
                <w:sz w:val="14"/>
                <w:szCs w:val="14"/>
                <w:b w:val="1"/>
                <w:bCs w:val="1"/>
                <w:color w:val="002E6D"/>
              </w:rPr>
              <w:t>Stephanie C. Hill</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2021</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1,008,670</w:t>
            </w:r>
          </w:p>
        </w:tc>
        <w:tc>
          <w:tcPr>
            <w:tcW w:w="200" w:type="dxa"/>
            <w:vAlign w:val="bottom"/>
          </w:tcPr>
          <w:p>
            <w:pPr>
              <w:spacing w:after="0"/>
              <w:rPr>
                <w:sz w:val="12"/>
                <w:szCs w:val="12"/>
                <w:color w:val="auto"/>
              </w:rPr>
            </w:pPr>
          </w:p>
        </w:tc>
        <w:tc>
          <w:tcPr>
            <w:tcW w:w="900" w:type="dxa"/>
            <w:vAlign w:val="bottom"/>
            <w:vMerge w:val="restart"/>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auto"/>
              </w:rPr>
              <w:t>3,081,211</w:t>
            </w:r>
          </w:p>
        </w:tc>
        <w:tc>
          <w:tcPr>
            <w:tcW w:w="1240" w:type="dxa"/>
            <w:vAlign w:val="bottom"/>
            <w:vMerge w:val="restart"/>
          </w:tcPr>
          <w:p>
            <w:pPr>
              <w:jc w:val="right"/>
              <w:ind w:right="151"/>
              <w:spacing w:after="0"/>
              <w:rPr>
                <w:sz w:val="20"/>
                <w:szCs w:val="20"/>
                <w:color w:val="auto"/>
              </w:rPr>
            </w:pPr>
            <w:r>
              <w:rPr>
                <w:rFonts w:ascii="Arial" w:cs="Arial" w:eastAsia="Arial" w:hAnsi="Arial"/>
                <w:sz w:val="14"/>
                <w:szCs w:val="14"/>
                <w:color w:val="auto"/>
              </w:rPr>
              <w:t>2,032,080</w:t>
            </w:r>
          </w:p>
        </w:tc>
        <w:tc>
          <w:tcPr>
            <w:tcW w:w="1160" w:type="dxa"/>
            <w:vAlign w:val="bottom"/>
            <w:vMerge w:val="restart"/>
          </w:tcPr>
          <w:p>
            <w:pPr>
              <w:jc w:val="right"/>
              <w:ind w:right="152"/>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130"/>
              <w:spacing w:after="0"/>
              <w:rPr>
                <w:sz w:val="20"/>
                <w:szCs w:val="20"/>
                <w:color w:val="auto"/>
              </w:rPr>
            </w:pPr>
            <w:r>
              <w:rPr>
                <w:rFonts w:ascii="Arial" w:cs="Arial" w:eastAsia="Arial" w:hAnsi="Arial"/>
                <w:sz w:val="14"/>
                <w:szCs w:val="14"/>
                <w:color w:val="auto"/>
              </w:rPr>
              <w:t>82,279</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6,204,240</w:t>
            </w:r>
          </w:p>
        </w:tc>
        <w:tc>
          <w:tcPr>
            <w:tcW w:w="0" w:type="dxa"/>
            <w:vAlign w:val="bottom"/>
          </w:tcPr>
          <w:p>
            <w:pPr>
              <w:spacing w:after="0"/>
              <w:rPr>
                <w:sz w:val="1"/>
                <w:szCs w:val="1"/>
                <w:color w:val="auto"/>
              </w:rPr>
            </w:pPr>
          </w:p>
        </w:tc>
      </w:tr>
      <w:tr>
        <w:trPr>
          <w:trHeight w:val="91"/>
        </w:trPr>
        <w:tc>
          <w:tcPr>
            <w:tcW w:w="2700" w:type="dxa"/>
            <w:vAlign w:val="bottom"/>
            <w:vMerge w:val="restart"/>
          </w:tcPr>
          <w:p>
            <w:pPr>
              <w:ind w:left="20"/>
              <w:spacing w:after="0" w:line="135" w:lineRule="exact"/>
              <w:rPr>
                <w:sz w:val="20"/>
                <w:szCs w:val="20"/>
                <w:color w:val="auto"/>
              </w:rPr>
            </w:pPr>
            <w:r>
              <w:rPr>
                <w:rFonts w:ascii="Arial" w:cs="Arial" w:eastAsia="Arial" w:hAnsi="Arial"/>
                <w:sz w:val="14"/>
                <w:szCs w:val="14"/>
                <w:color w:val="auto"/>
              </w:rPr>
              <w:t>Executive Vice President, Rotary &amp;</w:t>
            </w:r>
          </w:p>
        </w:tc>
        <w:tc>
          <w:tcPr>
            <w:tcW w:w="70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2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
        </w:trPr>
        <w:tc>
          <w:tcPr>
            <w:tcW w:w="27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2700" w:type="dxa"/>
            <w:vAlign w:val="bottom"/>
          </w:tcPr>
          <w:p>
            <w:pPr>
              <w:ind w:left="20"/>
              <w:spacing w:after="0"/>
              <w:rPr>
                <w:sz w:val="20"/>
                <w:szCs w:val="20"/>
                <w:color w:val="auto"/>
              </w:rPr>
            </w:pPr>
            <w:r>
              <w:rPr>
                <w:rFonts w:ascii="Arial" w:cs="Arial" w:eastAsia="Arial" w:hAnsi="Arial"/>
                <w:sz w:val="14"/>
                <w:szCs w:val="14"/>
                <w:color w:val="auto"/>
              </w:rPr>
              <w:t>Mission Systems</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700" w:type="dxa"/>
            <w:vAlign w:val="bottom"/>
            <w:tcBorders>
              <w:bottom w:val="single" w:sz="8" w:color="939598"/>
            </w:tcBorders>
          </w:tcPr>
          <w:p>
            <w:pPr>
              <w:spacing w:after="0"/>
              <w:rPr>
                <w:sz w:val="3"/>
                <w:szCs w:val="3"/>
                <w:color w:val="auto"/>
              </w:rPr>
            </w:pPr>
          </w:p>
        </w:tc>
        <w:tc>
          <w:tcPr>
            <w:tcW w:w="700" w:type="dxa"/>
            <w:vAlign w:val="bottom"/>
            <w:tcBorders>
              <w:bottom w:val="single" w:sz="8" w:color="939598"/>
            </w:tcBorders>
          </w:tcPr>
          <w:p>
            <w:pPr>
              <w:spacing w:after="0"/>
              <w:rPr>
                <w:sz w:val="3"/>
                <w:szCs w:val="3"/>
                <w:color w:val="auto"/>
              </w:rPr>
            </w:pPr>
          </w:p>
        </w:tc>
        <w:tc>
          <w:tcPr>
            <w:tcW w:w="1060" w:type="dxa"/>
            <w:vAlign w:val="bottom"/>
            <w:tcBorders>
              <w:bottom w:val="single" w:sz="8" w:color="939598"/>
            </w:tcBorders>
          </w:tcPr>
          <w:p>
            <w:pPr>
              <w:spacing w:after="0"/>
              <w:rPr>
                <w:sz w:val="3"/>
                <w:szCs w:val="3"/>
                <w:color w:val="auto"/>
              </w:rPr>
            </w:pPr>
          </w:p>
        </w:tc>
        <w:tc>
          <w:tcPr>
            <w:tcW w:w="200" w:type="dxa"/>
            <w:vAlign w:val="bottom"/>
            <w:tcBorders>
              <w:bottom w:val="single" w:sz="8" w:color="939598"/>
            </w:tcBorders>
          </w:tcPr>
          <w:p>
            <w:pPr>
              <w:spacing w:after="0"/>
              <w:rPr>
                <w:sz w:val="3"/>
                <w:szCs w:val="3"/>
                <w:color w:val="auto"/>
              </w:rPr>
            </w:pPr>
          </w:p>
        </w:tc>
        <w:tc>
          <w:tcPr>
            <w:tcW w:w="900" w:type="dxa"/>
            <w:vAlign w:val="bottom"/>
            <w:tcBorders>
              <w:bottom w:val="single" w:sz="8" w:color="939598"/>
            </w:tcBorders>
          </w:tcPr>
          <w:p>
            <w:pPr>
              <w:spacing w:after="0"/>
              <w:rPr>
                <w:sz w:val="3"/>
                <w:szCs w:val="3"/>
                <w:color w:val="auto"/>
              </w:rPr>
            </w:pPr>
          </w:p>
        </w:tc>
        <w:tc>
          <w:tcPr>
            <w:tcW w:w="1080" w:type="dxa"/>
            <w:vAlign w:val="bottom"/>
            <w:tcBorders>
              <w:bottom w:val="single" w:sz="8" w:color="939598"/>
            </w:tcBorders>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1160" w:type="dxa"/>
            <w:vAlign w:val="bottom"/>
            <w:tcBorders>
              <w:bottom w:val="single" w:sz="8" w:color="939598"/>
            </w:tcBorders>
          </w:tcPr>
          <w:p>
            <w:pPr>
              <w:spacing w:after="0"/>
              <w:rPr>
                <w:sz w:val="3"/>
                <w:szCs w:val="3"/>
                <w:color w:val="auto"/>
              </w:rPr>
            </w:pPr>
          </w:p>
        </w:tc>
        <w:tc>
          <w:tcPr>
            <w:tcW w:w="1240" w:type="dxa"/>
            <w:vAlign w:val="bottom"/>
            <w:tcBorders>
              <w:bottom w:val="single" w:sz="8" w:color="939598"/>
            </w:tcBorders>
          </w:tcPr>
          <w:p>
            <w:pPr>
              <w:spacing w:after="0"/>
              <w:rPr>
                <w:sz w:val="3"/>
                <w:szCs w:val="3"/>
                <w:color w:val="auto"/>
              </w:rPr>
            </w:pPr>
          </w:p>
        </w:tc>
        <w:tc>
          <w:tcPr>
            <w:tcW w:w="960" w:type="dxa"/>
            <w:vAlign w:val="bottom"/>
            <w:tcBorders>
              <w:bottom w:val="single" w:sz="8" w:color="939598"/>
            </w:tcBorders>
          </w:tcPr>
          <w:p>
            <w:pPr>
              <w:spacing w:after="0"/>
              <w:rPr>
                <w:sz w:val="3"/>
                <w:szCs w:val="3"/>
                <w:color w:val="auto"/>
              </w:rPr>
            </w:pPr>
          </w:p>
        </w:tc>
        <w:tc>
          <w:tcPr>
            <w:tcW w:w="0" w:type="dxa"/>
            <w:vAlign w:val="bottom"/>
          </w:tcPr>
          <w:p>
            <w:pPr>
              <w:spacing w:after="0"/>
              <w:rPr>
                <w:sz w:val="1"/>
                <w:szCs w:val="1"/>
                <w:color w:val="auto"/>
              </w:rPr>
            </w:pPr>
          </w:p>
        </w:tc>
      </w:tr>
      <w:tr>
        <w:trPr>
          <w:trHeight w:val="146"/>
        </w:trPr>
        <w:tc>
          <w:tcPr>
            <w:tcW w:w="2700" w:type="dxa"/>
            <w:vAlign w:val="bottom"/>
          </w:tcPr>
          <w:p>
            <w:pPr>
              <w:ind w:left="20"/>
              <w:spacing w:after="0" w:line="146" w:lineRule="exact"/>
              <w:rPr>
                <w:sz w:val="20"/>
                <w:szCs w:val="20"/>
                <w:color w:val="auto"/>
              </w:rPr>
            </w:pPr>
            <w:r>
              <w:rPr>
                <w:rFonts w:ascii="Arial" w:cs="Arial" w:eastAsia="Arial" w:hAnsi="Arial"/>
                <w:sz w:val="14"/>
                <w:szCs w:val="14"/>
                <w:b w:val="1"/>
                <w:bCs w:val="1"/>
                <w:color w:val="002E6D"/>
              </w:rPr>
              <w:t>Marillyn A. Hewson</w:t>
            </w:r>
          </w:p>
        </w:tc>
        <w:tc>
          <w:tcPr>
            <w:tcW w:w="700" w:type="dxa"/>
            <w:vAlign w:val="bottom"/>
            <w:vMerge w:val="restart"/>
            <w:shd w:val="clear" w:color="auto" w:fill="E4E6EF"/>
          </w:tcPr>
          <w:p>
            <w:pPr>
              <w:jc w:val="right"/>
              <w:spacing w:after="0"/>
              <w:rPr>
                <w:sz w:val="20"/>
                <w:szCs w:val="20"/>
                <w:color w:val="auto"/>
              </w:rPr>
            </w:pPr>
            <w:r>
              <w:rPr>
                <w:rFonts w:ascii="Arial" w:cs="Arial" w:eastAsia="Arial" w:hAnsi="Arial"/>
                <w:sz w:val="14"/>
                <w:szCs w:val="14"/>
                <w:color w:val="auto"/>
              </w:rPr>
              <w:t>2021</w:t>
            </w:r>
          </w:p>
        </w:tc>
        <w:tc>
          <w:tcPr>
            <w:tcW w:w="1060" w:type="dxa"/>
            <w:vAlign w:val="bottom"/>
            <w:vMerge w:val="restart"/>
            <w:shd w:val="clear" w:color="auto" w:fill="E4E6EF"/>
          </w:tcPr>
          <w:p>
            <w:pPr>
              <w:jc w:val="right"/>
              <w:spacing w:after="0"/>
              <w:rPr>
                <w:sz w:val="20"/>
                <w:szCs w:val="20"/>
                <w:color w:val="auto"/>
              </w:rPr>
            </w:pPr>
            <w:r>
              <w:rPr>
                <w:rFonts w:ascii="Arial" w:cs="Arial" w:eastAsia="Arial" w:hAnsi="Arial"/>
                <w:sz w:val="14"/>
                <w:szCs w:val="14"/>
                <w:color w:val="auto"/>
              </w:rPr>
              <w:t>1,072,566</w:t>
            </w:r>
          </w:p>
        </w:tc>
        <w:tc>
          <w:tcPr>
            <w:tcW w:w="200" w:type="dxa"/>
            <w:vAlign w:val="bottom"/>
            <w:shd w:val="clear" w:color="auto" w:fill="E4E6EF"/>
          </w:tcPr>
          <w:p>
            <w:pPr>
              <w:spacing w:after="0"/>
              <w:rPr>
                <w:sz w:val="12"/>
                <w:szCs w:val="12"/>
                <w:color w:val="auto"/>
              </w:rPr>
            </w:pPr>
          </w:p>
        </w:tc>
        <w:tc>
          <w:tcPr>
            <w:tcW w:w="900" w:type="dxa"/>
            <w:vAlign w:val="bottom"/>
            <w:vMerge w:val="restart"/>
            <w:shd w:val="clear" w:color="auto" w:fill="E4E6EF"/>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E4E6EF"/>
          </w:tcPr>
          <w:p>
            <w:pPr>
              <w:jc w:val="right"/>
              <w:ind w:right="130"/>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E4E6EF"/>
          </w:tcPr>
          <w:p>
            <w:pPr>
              <w:jc w:val="right"/>
              <w:ind w:right="151"/>
              <w:spacing w:after="0"/>
              <w:rPr>
                <w:sz w:val="20"/>
                <w:szCs w:val="20"/>
                <w:color w:val="auto"/>
              </w:rPr>
            </w:pPr>
            <w:r>
              <w:rPr>
                <w:rFonts w:ascii="Arial" w:cs="Arial" w:eastAsia="Arial" w:hAnsi="Arial"/>
                <w:sz w:val="14"/>
                <w:szCs w:val="14"/>
                <w:color w:val="auto"/>
              </w:rPr>
              <w:t>4,801,940</w:t>
            </w:r>
          </w:p>
        </w:tc>
        <w:tc>
          <w:tcPr>
            <w:tcW w:w="1160" w:type="dxa"/>
            <w:vAlign w:val="bottom"/>
            <w:vMerge w:val="restart"/>
            <w:shd w:val="clear" w:color="auto" w:fill="E4E6EF"/>
          </w:tcPr>
          <w:p>
            <w:pPr>
              <w:jc w:val="right"/>
              <w:ind w:right="152"/>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E4E6EF"/>
          </w:tcPr>
          <w:p>
            <w:pPr>
              <w:jc w:val="right"/>
              <w:ind w:right="130"/>
              <w:spacing w:after="0"/>
              <w:rPr>
                <w:sz w:val="20"/>
                <w:szCs w:val="20"/>
                <w:color w:val="auto"/>
              </w:rPr>
            </w:pPr>
            <w:r>
              <w:rPr>
                <w:rFonts w:ascii="Arial" w:cs="Arial" w:eastAsia="Arial" w:hAnsi="Arial"/>
                <w:sz w:val="14"/>
                <w:szCs w:val="14"/>
                <w:color w:val="auto"/>
              </w:rPr>
              <w:t>571,685</w:t>
            </w:r>
          </w:p>
        </w:tc>
        <w:tc>
          <w:tcPr>
            <w:tcW w:w="960" w:type="dxa"/>
            <w:vAlign w:val="bottom"/>
            <w:vMerge w:val="restart"/>
            <w:shd w:val="clear" w:color="auto" w:fill="E4E6EF"/>
          </w:tcPr>
          <w:p>
            <w:pPr>
              <w:jc w:val="right"/>
              <w:spacing w:after="0"/>
              <w:rPr>
                <w:sz w:val="20"/>
                <w:szCs w:val="20"/>
                <w:color w:val="auto"/>
              </w:rPr>
            </w:pPr>
            <w:r>
              <w:rPr>
                <w:rFonts w:ascii="Arial" w:cs="Arial" w:eastAsia="Arial" w:hAnsi="Arial"/>
                <w:sz w:val="14"/>
                <w:szCs w:val="14"/>
                <w:color w:val="auto"/>
              </w:rPr>
              <w:t>6,446,191</w:t>
            </w:r>
          </w:p>
        </w:tc>
        <w:tc>
          <w:tcPr>
            <w:tcW w:w="0" w:type="dxa"/>
            <w:vAlign w:val="bottom"/>
          </w:tcPr>
          <w:p>
            <w:pPr>
              <w:spacing w:after="0"/>
              <w:rPr>
                <w:sz w:val="1"/>
                <w:szCs w:val="1"/>
                <w:color w:val="auto"/>
              </w:rPr>
            </w:pPr>
          </w:p>
        </w:tc>
      </w:tr>
      <w:tr>
        <w:trPr>
          <w:trHeight w:val="89"/>
        </w:trPr>
        <w:tc>
          <w:tcPr>
            <w:tcW w:w="2700" w:type="dxa"/>
            <w:vAlign w:val="bottom"/>
            <w:vMerge w:val="restart"/>
          </w:tcPr>
          <w:p>
            <w:pPr>
              <w:ind w:left="20"/>
              <w:spacing w:after="0" w:line="135" w:lineRule="exact"/>
              <w:rPr>
                <w:sz w:val="20"/>
                <w:szCs w:val="20"/>
                <w:color w:val="auto"/>
              </w:rPr>
            </w:pPr>
            <w:r>
              <w:rPr>
                <w:rFonts w:ascii="Arial" w:cs="Arial" w:eastAsia="Arial" w:hAnsi="Arial"/>
                <w:sz w:val="14"/>
                <w:szCs w:val="14"/>
                <w:color w:val="auto"/>
              </w:rPr>
              <w:t>Former Executive Chairman; Former</w:t>
            </w:r>
          </w:p>
        </w:tc>
        <w:tc>
          <w:tcPr>
            <w:tcW w:w="700" w:type="dxa"/>
            <w:vAlign w:val="bottom"/>
            <w:vMerge w:val="continue"/>
            <w:shd w:val="clear" w:color="auto" w:fill="E4E6EF"/>
          </w:tcPr>
          <w:p>
            <w:pPr>
              <w:spacing w:after="0"/>
              <w:rPr>
                <w:sz w:val="7"/>
                <w:szCs w:val="7"/>
                <w:color w:val="auto"/>
              </w:rPr>
            </w:pPr>
          </w:p>
        </w:tc>
        <w:tc>
          <w:tcPr>
            <w:tcW w:w="1060" w:type="dxa"/>
            <w:vAlign w:val="bottom"/>
            <w:vMerge w:val="continue"/>
            <w:shd w:val="clear" w:color="auto" w:fill="E4E6EF"/>
          </w:tcPr>
          <w:p>
            <w:pPr>
              <w:spacing w:after="0"/>
              <w:rPr>
                <w:sz w:val="7"/>
                <w:szCs w:val="7"/>
                <w:color w:val="auto"/>
              </w:rPr>
            </w:pPr>
          </w:p>
        </w:tc>
        <w:tc>
          <w:tcPr>
            <w:tcW w:w="200" w:type="dxa"/>
            <w:vAlign w:val="bottom"/>
            <w:shd w:val="clear" w:color="auto" w:fill="E4E6EF"/>
          </w:tcPr>
          <w:p>
            <w:pPr>
              <w:spacing w:after="0"/>
              <w:rPr>
                <w:sz w:val="7"/>
                <w:szCs w:val="7"/>
                <w:color w:val="auto"/>
              </w:rPr>
            </w:pPr>
          </w:p>
        </w:tc>
        <w:tc>
          <w:tcPr>
            <w:tcW w:w="900" w:type="dxa"/>
            <w:vAlign w:val="bottom"/>
            <w:vMerge w:val="continue"/>
            <w:shd w:val="clear" w:color="auto" w:fill="E4E6EF"/>
          </w:tcPr>
          <w:p>
            <w:pPr>
              <w:spacing w:after="0"/>
              <w:rPr>
                <w:sz w:val="7"/>
                <w:szCs w:val="7"/>
                <w:color w:val="auto"/>
              </w:rPr>
            </w:pPr>
          </w:p>
        </w:tc>
        <w:tc>
          <w:tcPr>
            <w:tcW w:w="1080" w:type="dxa"/>
            <w:vAlign w:val="bottom"/>
            <w:vMerge w:val="continue"/>
            <w:shd w:val="clear" w:color="auto" w:fill="E4E6EF"/>
          </w:tcPr>
          <w:p>
            <w:pPr>
              <w:spacing w:after="0"/>
              <w:rPr>
                <w:sz w:val="7"/>
                <w:szCs w:val="7"/>
                <w:color w:val="auto"/>
              </w:rPr>
            </w:pPr>
          </w:p>
        </w:tc>
        <w:tc>
          <w:tcPr>
            <w:tcW w:w="1240" w:type="dxa"/>
            <w:vAlign w:val="bottom"/>
            <w:vMerge w:val="continue"/>
            <w:shd w:val="clear" w:color="auto" w:fill="E4E6EF"/>
          </w:tcPr>
          <w:p>
            <w:pPr>
              <w:spacing w:after="0"/>
              <w:rPr>
                <w:sz w:val="7"/>
                <w:szCs w:val="7"/>
                <w:color w:val="auto"/>
              </w:rPr>
            </w:pPr>
          </w:p>
        </w:tc>
        <w:tc>
          <w:tcPr>
            <w:tcW w:w="1160" w:type="dxa"/>
            <w:vAlign w:val="bottom"/>
            <w:vMerge w:val="continue"/>
            <w:shd w:val="clear" w:color="auto" w:fill="E4E6EF"/>
          </w:tcPr>
          <w:p>
            <w:pPr>
              <w:spacing w:after="0"/>
              <w:rPr>
                <w:sz w:val="7"/>
                <w:szCs w:val="7"/>
                <w:color w:val="auto"/>
              </w:rPr>
            </w:pPr>
          </w:p>
        </w:tc>
        <w:tc>
          <w:tcPr>
            <w:tcW w:w="1240" w:type="dxa"/>
            <w:vAlign w:val="bottom"/>
            <w:vMerge w:val="continue"/>
            <w:shd w:val="clear" w:color="auto" w:fill="E4E6EF"/>
          </w:tcPr>
          <w:p>
            <w:pPr>
              <w:spacing w:after="0"/>
              <w:rPr>
                <w:sz w:val="7"/>
                <w:szCs w:val="7"/>
                <w:color w:val="auto"/>
              </w:rPr>
            </w:pPr>
          </w:p>
        </w:tc>
        <w:tc>
          <w:tcPr>
            <w:tcW w:w="960" w:type="dxa"/>
            <w:vAlign w:val="bottom"/>
            <w:vMerge w:val="continue"/>
            <w:shd w:val="clear" w:color="auto" w:fill="E4E6EF"/>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700" w:type="dxa"/>
            <w:vAlign w:val="bottom"/>
            <w:vMerge w:val="continue"/>
          </w:tcPr>
          <w:p>
            <w:pPr>
              <w:spacing w:after="0"/>
              <w:rPr>
                <w:sz w:val="3"/>
                <w:szCs w:val="3"/>
                <w:color w:val="auto"/>
              </w:rPr>
            </w:pPr>
          </w:p>
        </w:tc>
        <w:tc>
          <w:tcPr>
            <w:tcW w:w="700" w:type="dxa"/>
            <w:vAlign w:val="bottom"/>
            <w:shd w:val="clear" w:color="auto" w:fill="E4E6EF"/>
          </w:tcPr>
          <w:p>
            <w:pPr>
              <w:spacing w:after="0"/>
              <w:rPr>
                <w:sz w:val="3"/>
                <w:szCs w:val="3"/>
                <w:color w:val="auto"/>
              </w:rPr>
            </w:pPr>
          </w:p>
        </w:tc>
        <w:tc>
          <w:tcPr>
            <w:tcW w:w="1060" w:type="dxa"/>
            <w:vAlign w:val="bottom"/>
            <w:shd w:val="clear" w:color="auto" w:fill="E4E6EF"/>
          </w:tcPr>
          <w:p>
            <w:pPr>
              <w:spacing w:after="0"/>
              <w:rPr>
                <w:sz w:val="3"/>
                <w:szCs w:val="3"/>
                <w:color w:val="auto"/>
              </w:rPr>
            </w:pPr>
          </w:p>
        </w:tc>
        <w:tc>
          <w:tcPr>
            <w:tcW w:w="200" w:type="dxa"/>
            <w:vAlign w:val="bottom"/>
            <w:shd w:val="clear" w:color="auto" w:fill="E4E6EF"/>
          </w:tcPr>
          <w:p>
            <w:pPr>
              <w:spacing w:after="0"/>
              <w:rPr>
                <w:sz w:val="3"/>
                <w:szCs w:val="3"/>
                <w:color w:val="auto"/>
              </w:rPr>
            </w:pPr>
          </w:p>
        </w:tc>
        <w:tc>
          <w:tcPr>
            <w:tcW w:w="900" w:type="dxa"/>
            <w:vAlign w:val="bottom"/>
            <w:shd w:val="clear" w:color="auto" w:fill="E4E6EF"/>
          </w:tcPr>
          <w:p>
            <w:pPr>
              <w:spacing w:after="0"/>
              <w:rPr>
                <w:sz w:val="3"/>
                <w:szCs w:val="3"/>
                <w:color w:val="auto"/>
              </w:rPr>
            </w:pPr>
          </w:p>
        </w:tc>
        <w:tc>
          <w:tcPr>
            <w:tcW w:w="1080" w:type="dxa"/>
            <w:vAlign w:val="bottom"/>
            <w:shd w:val="clear" w:color="auto" w:fill="E4E6EF"/>
          </w:tcPr>
          <w:p>
            <w:pPr>
              <w:spacing w:after="0"/>
              <w:rPr>
                <w:sz w:val="3"/>
                <w:szCs w:val="3"/>
                <w:color w:val="auto"/>
              </w:rPr>
            </w:pPr>
          </w:p>
        </w:tc>
        <w:tc>
          <w:tcPr>
            <w:tcW w:w="1240" w:type="dxa"/>
            <w:vAlign w:val="bottom"/>
            <w:shd w:val="clear" w:color="auto" w:fill="E4E6EF"/>
          </w:tcPr>
          <w:p>
            <w:pPr>
              <w:spacing w:after="0"/>
              <w:rPr>
                <w:sz w:val="3"/>
                <w:szCs w:val="3"/>
                <w:color w:val="auto"/>
              </w:rPr>
            </w:pPr>
          </w:p>
        </w:tc>
        <w:tc>
          <w:tcPr>
            <w:tcW w:w="1160" w:type="dxa"/>
            <w:vAlign w:val="bottom"/>
            <w:shd w:val="clear" w:color="auto" w:fill="E4E6EF"/>
          </w:tcPr>
          <w:p>
            <w:pPr>
              <w:spacing w:after="0"/>
              <w:rPr>
                <w:sz w:val="3"/>
                <w:szCs w:val="3"/>
                <w:color w:val="auto"/>
              </w:rPr>
            </w:pPr>
          </w:p>
        </w:tc>
        <w:tc>
          <w:tcPr>
            <w:tcW w:w="1240" w:type="dxa"/>
            <w:vAlign w:val="bottom"/>
            <w:shd w:val="clear" w:color="auto" w:fill="E4E6EF"/>
          </w:tcPr>
          <w:p>
            <w:pPr>
              <w:spacing w:after="0"/>
              <w:rPr>
                <w:sz w:val="3"/>
                <w:szCs w:val="3"/>
                <w:color w:val="auto"/>
              </w:rPr>
            </w:pPr>
          </w:p>
        </w:tc>
        <w:tc>
          <w:tcPr>
            <w:tcW w:w="960" w:type="dxa"/>
            <w:vAlign w:val="bottom"/>
            <w:shd w:val="clear" w:color="auto" w:fill="E4E6EF"/>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700" w:type="dxa"/>
            <w:vAlign w:val="bottom"/>
          </w:tcPr>
          <w:p>
            <w:pPr>
              <w:ind w:left="20"/>
              <w:spacing w:after="0"/>
              <w:rPr>
                <w:sz w:val="20"/>
                <w:szCs w:val="20"/>
                <w:color w:val="auto"/>
              </w:rPr>
            </w:pPr>
            <w:r>
              <w:rPr>
                <w:rFonts w:ascii="Arial" w:cs="Arial" w:eastAsia="Arial" w:hAnsi="Arial"/>
                <w:sz w:val="14"/>
                <w:szCs w:val="14"/>
                <w:color w:val="auto"/>
              </w:rPr>
              <w:t>President and CEO</w:t>
            </w:r>
          </w:p>
        </w:tc>
        <w:tc>
          <w:tcPr>
            <w:tcW w:w="700" w:type="dxa"/>
            <w:vAlign w:val="bottom"/>
            <w:shd w:val="clear" w:color="auto" w:fill="E4E6EF"/>
          </w:tcPr>
          <w:p>
            <w:pPr>
              <w:jc w:val="right"/>
              <w:spacing w:after="0"/>
              <w:rPr>
                <w:sz w:val="20"/>
                <w:szCs w:val="20"/>
                <w:color w:val="auto"/>
              </w:rPr>
            </w:pPr>
            <w:r>
              <w:rPr>
                <w:rFonts w:ascii="Arial" w:cs="Arial" w:eastAsia="Arial" w:hAnsi="Arial"/>
                <w:sz w:val="14"/>
                <w:szCs w:val="14"/>
                <w:color w:val="auto"/>
              </w:rPr>
              <w:t>2020</w:t>
            </w:r>
          </w:p>
        </w:tc>
        <w:tc>
          <w:tcPr>
            <w:tcW w:w="1060" w:type="dxa"/>
            <w:vAlign w:val="bottom"/>
            <w:shd w:val="clear" w:color="auto" w:fill="E4E6EF"/>
          </w:tcPr>
          <w:p>
            <w:pPr>
              <w:jc w:val="right"/>
              <w:spacing w:after="0"/>
              <w:rPr>
                <w:sz w:val="20"/>
                <w:szCs w:val="20"/>
                <w:color w:val="auto"/>
              </w:rPr>
            </w:pPr>
            <w:r>
              <w:rPr>
                <w:rFonts w:ascii="Arial" w:cs="Arial" w:eastAsia="Arial" w:hAnsi="Arial"/>
                <w:sz w:val="14"/>
                <w:szCs w:val="14"/>
                <w:color w:val="auto"/>
              </w:rPr>
              <w:t>1,877,519</w:t>
            </w:r>
          </w:p>
        </w:tc>
        <w:tc>
          <w:tcPr>
            <w:tcW w:w="200" w:type="dxa"/>
            <w:vAlign w:val="bottom"/>
            <w:shd w:val="clear" w:color="auto" w:fill="E4E6EF"/>
          </w:tcPr>
          <w:p>
            <w:pPr>
              <w:spacing w:after="0"/>
              <w:rPr>
                <w:sz w:val="18"/>
                <w:szCs w:val="18"/>
                <w:color w:val="auto"/>
              </w:rPr>
            </w:pPr>
          </w:p>
        </w:tc>
        <w:tc>
          <w:tcPr>
            <w:tcW w:w="900" w:type="dxa"/>
            <w:vAlign w:val="bottom"/>
            <w:shd w:val="clear" w:color="auto" w:fill="E4E6EF"/>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shd w:val="clear" w:color="auto" w:fill="E4E6EF"/>
          </w:tcPr>
          <w:p>
            <w:pPr>
              <w:jc w:val="right"/>
              <w:ind w:right="130"/>
              <w:spacing w:after="0"/>
              <w:rPr>
                <w:sz w:val="20"/>
                <w:szCs w:val="20"/>
                <w:color w:val="auto"/>
              </w:rPr>
            </w:pPr>
            <w:r>
              <w:rPr>
                <w:rFonts w:ascii="Arial" w:cs="Arial" w:eastAsia="Arial" w:hAnsi="Arial"/>
                <w:sz w:val="14"/>
                <w:szCs w:val="14"/>
                <w:color w:val="auto"/>
              </w:rPr>
              <w:t>12,818,340</w:t>
            </w:r>
          </w:p>
        </w:tc>
        <w:tc>
          <w:tcPr>
            <w:tcW w:w="1240" w:type="dxa"/>
            <w:vAlign w:val="bottom"/>
            <w:shd w:val="clear" w:color="auto" w:fill="E4E6EF"/>
          </w:tcPr>
          <w:p>
            <w:pPr>
              <w:jc w:val="right"/>
              <w:ind w:right="151"/>
              <w:spacing w:after="0"/>
              <w:rPr>
                <w:sz w:val="20"/>
                <w:szCs w:val="20"/>
                <w:color w:val="auto"/>
              </w:rPr>
            </w:pPr>
            <w:r>
              <w:rPr>
                <w:rFonts w:ascii="Arial" w:cs="Arial" w:eastAsia="Arial" w:hAnsi="Arial"/>
                <w:sz w:val="14"/>
                <w:szCs w:val="14"/>
                <w:color w:val="auto"/>
              </w:rPr>
              <w:t>10,639,900</w:t>
            </w:r>
          </w:p>
        </w:tc>
        <w:tc>
          <w:tcPr>
            <w:tcW w:w="1160" w:type="dxa"/>
            <w:vAlign w:val="bottom"/>
            <w:shd w:val="clear" w:color="auto" w:fill="E4E6EF"/>
          </w:tcPr>
          <w:p>
            <w:pPr>
              <w:jc w:val="right"/>
              <w:ind w:right="152"/>
              <w:spacing w:after="0"/>
              <w:rPr>
                <w:sz w:val="20"/>
                <w:szCs w:val="20"/>
                <w:color w:val="auto"/>
              </w:rPr>
            </w:pPr>
            <w:r>
              <w:rPr>
                <w:rFonts w:ascii="Arial" w:cs="Arial" w:eastAsia="Arial" w:hAnsi="Arial"/>
                <w:sz w:val="14"/>
                <w:szCs w:val="14"/>
                <w:color w:val="auto"/>
              </w:rPr>
              <w:t>2,445,000</w:t>
            </w:r>
          </w:p>
        </w:tc>
        <w:tc>
          <w:tcPr>
            <w:tcW w:w="1240" w:type="dxa"/>
            <w:vAlign w:val="bottom"/>
            <w:shd w:val="clear" w:color="auto" w:fill="E4E6EF"/>
          </w:tcPr>
          <w:p>
            <w:pPr>
              <w:jc w:val="right"/>
              <w:ind w:right="130"/>
              <w:spacing w:after="0"/>
              <w:rPr>
                <w:sz w:val="20"/>
                <w:szCs w:val="20"/>
                <w:color w:val="auto"/>
              </w:rPr>
            </w:pPr>
            <w:r>
              <w:rPr>
                <w:rFonts w:ascii="Arial" w:cs="Arial" w:eastAsia="Arial" w:hAnsi="Arial"/>
                <w:sz w:val="14"/>
                <w:szCs w:val="14"/>
                <w:color w:val="auto"/>
              </w:rPr>
              <w:t>719,066</w:t>
            </w:r>
          </w:p>
        </w:tc>
        <w:tc>
          <w:tcPr>
            <w:tcW w:w="960" w:type="dxa"/>
            <w:vAlign w:val="bottom"/>
            <w:shd w:val="clear" w:color="auto" w:fill="E4E6EF"/>
          </w:tcPr>
          <w:p>
            <w:pPr>
              <w:jc w:val="right"/>
              <w:spacing w:after="0"/>
              <w:rPr>
                <w:sz w:val="20"/>
                <w:szCs w:val="20"/>
                <w:color w:val="auto"/>
              </w:rPr>
            </w:pPr>
            <w:r>
              <w:rPr>
                <w:rFonts w:ascii="Arial" w:cs="Arial" w:eastAsia="Arial" w:hAnsi="Arial"/>
                <w:sz w:val="14"/>
                <w:szCs w:val="14"/>
                <w:color w:val="auto"/>
              </w:rPr>
              <w:t>28,499,825</w:t>
            </w:r>
          </w:p>
        </w:tc>
        <w:tc>
          <w:tcPr>
            <w:tcW w:w="0" w:type="dxa"/>
            <w:vAlign w:val="bottom"/>
          </w:tcPr>
          <w:p>
            <w:pPr>
              <w:spacing w:after="0"/>
              <w:rPr>
                <w:sz w:val="1"/>
                <w:szCs w:val="1"/>
                <w:color w:val="auto"/>
              </w:rPr>
            </w:pPr>
          </w:p>
        </w:tc>
      </w:tr>
      <w:tr>
        <w:trPr>
          <w:trHeight w:val="255"/>
        </w:trPr>
        <w:tc>
          <w:tcPr>
            <w:tcW w:w="2700" w:type="dxa"/>
            <w:vAlign w:val="bottom"/>
            <w:tcBorders>
              <w:bottom w:val="single" w:sz="8" w:color="939598"/>
            </w:tcBorders>
          </w:tcPr>
          <w:p>
            <w:pPr>
              <w:spacing w:after="0"/>
              <w:rPr>
                <w:sz w:val="22"/>
                <w:szCs w:val="22"/>
                <w:color w:val="auto"/>
              </w:rPr>
            </w:pPr>
          </w:p>
        </w:tc>
        <w:tc>
          <w:tcPr>
            <w:tcW w:w="70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2019</w:t>
            </w:r>
          </w:p>
        </w:tc>
        <w:tc>
          <w:tcPr>
            <w:tcW w:w="106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1,857,301</w:t>
            </w:r>
          </w:p>
        </w:tc>
        <w:tc>
          <w:tcPr>
            <w:tcW w:w="200" w:type="dxa"/>
            <w:vAlign w:val="bottom"/>
            <w:tcBorders>
              <w:bottom w:val="single" w:sz="8" w:color="939598"/>
            </w:tcBorders>
            <w:shd w:val="clear" w:color="auto" w:fill="E4E6EF"/>
          </w:tcPr>
          <w:p>
            <w:pPr>
              <w:spacing w:after="0"/>
              <w:rPr>
                <w:sz w:val="22"/>
                <w:szCs w:val="22"/>
                <w:color w:val="auto"/>
              </w:rPr>
            </w:pPr>
          </w:p>
        </w:tc>
        <w:tc>
          <w:tcPr>
            <w:tcW w:w="900" w:type="dxa"/>
            <w:vAlign w:val="bottom"/>
            <w:tcBorders>
              <w:bottom w:val="single" w:sz="8" w:color="939598"/>
            </w:tcBorders>
            <w:shd w:val="clear" w:color="auto" w:fill="E4E6EF"/>
          </w:tcPr>
          <w:p>
            <w:pPr>
              <w:jc w:val="right"/>
              <w:ind w:right="15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39598"/>
            </w:tcBorders>
            <w:shd w:val="clear" w:color="auto" w:fill="E4E6EF"/>
          </w:tcPr>
          <w:p>
            <w:pPr>
              <w:jc w:val="right"/>
              <w:ind w:right="130"/>
              <w:spacing w:after="0"/>
              <w:rPr>
                <w:sz w:val="20"/>
                <w:szCs w:val="20"/>
                <w:color w:val="auto"/>
              </w:rPr>
            </w:pPr>
            <w:r>
              <w:rPr>
                <w:rFonts w:ascii="Arial" w:cs="Arial" w:eastAsia="Arial" w:hAnsi="Arial"/>
                <w:sz w:val="14"/>
                <w:szCs w:val="14"/>
                <w:color w:val="auto"/>
              </w:rPr>
              <w:t>11,375,516</w:t>
            </w:r>
          </w:p>
        </w:tc>
        <w:tc>
          <w:tcPr>
            <w:tcW w:w="1240" w:type="dxa"/>
            <w:vAlign w:val="bottom"/>
            <w:tcBorders>
              <w:bottom w:val="single" w:sz="8" w:color="939598"/>
            </w:tcBorders>
            <w:shd w:val="clear" w:color="auto" w:fill="E4E6EF"/>
          </w:tcPr>
          <w:p>
            <w:pPr>
              <w:jc w:val="right"/>
              <w:ind w:right="151"/>
              <w:spacing w:after="0"/>
              <w:rPr>
                <w:sz w:val="20"/>
                <w:szCs w:val="20"/>
                <w:color w:val="auto"/>
              </w:rPr>
            </w:pPr>
            <w:r>
              <w:rPr>
                <w:rFonts w:ascii="Arial" w:cs="Arial" w:eastAsia="Arial" w:hAnsi="Arial"/>
                <w:sz w:val="14"/>
                <w:szCs w:val="14"/>
                <w:color w:val="auto"/>
              </w:rPr>
              <w:t>10,377,344</w:t>
            </w:r>
          </w:p>
        </w:tc>
        <w:tc>
          <w:tcPr>
            <w:tcW w:w="1160" w:type="dxa"/>
            <w:vAlign w:val="bottom"/>
            <w:tcBorders>
              <w:bottom w:val="single" w:sz="8" w:color="939598"/>
            </w:tcBorders>
            <w:shd w:val="clear" w:color="auto" w:fill="E4E6EF"/>
          </w:tcPr>
          <w:p>
            <w:pPr>
              <w:jc w:val="right"/>
              <w:ind w:right="152"/>
              <w:spacing w:after="0"/>
              <w:rPr>
                <w:sz w:val="20"/>
                <w:szCs w:val="20"/>
                <w:color w:val="auto"/>
              </w:rPr>
            </w:pPr>
            <w:r>
              <w:rPr>
                <w:rFonts w:ascii="Arial" w:cs="Arial" w:eastAsia="Arial" w:hAnsi="Arial"/>
                <w:sz w:val="14"/>
                <w:szCs w:val="14"/>
                <w:color w:val="auto"/>
              </w:rPr>
              <w:t>6,478,070</w:t>
            </w:r>
          </w:p>
        </w:tc>
        <w:tc>
          <w:tcPr>
            <w:tcW w:w="1240" w:type="dxa"/>
            <w:vAlign w:val="bottom"/>
            <w:tcBorders>
              <w:bottom w:val="single" w:sz="8" w:color="939598"/>
            </w:tcBorders>
            <w:shd w:val="clear" w:color="auto" w:fill="E4E6EF"/>
          </w:tcPr>
          <w:p>
            <w:pPr>
              <w:jc w:val="right"/>
              <w:ind w:right="130"/>
              <w:spacing w:after="0"/>
              <w:rPr>
                <w:sz w:val="20"/>
                <w:szCs w:val="20"/>
                <w:color w:val="auto"/>
              </w:rPr>
            </w:pPr>
            <w:r>
              <w:rPr>
                <w:rFonts w:ascii="Arial" w:cs="Arial" w:eastAsia="Arial" w:hAnsi="Arial"/>
                <w:sz w:val="14"/>
                <w:szCs w:val="14"/>
                <w:color w:val="auto"/>
              </w:rPr>
              <w:t>825,751</w:t>
            </w:r>
          </w:p>
        </w:tc>
        <w:tc>
          <w:tcPr>
            <w:tcW w:w="96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30,913,982</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left="280" w:hanging="273"/>
        <w:spacing w:after="0"/>
        <w:tabs>
          <w:tab w:leader="none" w:pos="280" w:val="left"/>
        </w:tabs>
        <w:numPr>
          <w:ilvl w:val="0"/>
          <w:numId w:val="94"/>
        </w:numPr>
        <w:rPr>
          <w:rFonts w:ascii="Arial" w:cs="Arial" w:eastAsia="Arial" w:hAnsi="Arial"/>
          <w:sz w:val="19"/>
          <w:szCs w:val="19"/>
          <w:color w:val="auto"/>
          <w:vertAlign w:val="superscript"/>
        </w:rPr>
      </w:pPr>
      <w:r>
        <w:rPr>
          <w:rFonts w:ascii="Arial" w:cs="Arial" w:eastAsia="Arial" w:hAnsi="Arial"/>
          <w:sz w:val="14"/>
          <w:szCs w:val="14"/>
          <w:color w:val="auto"/>
        </w:rPr>
        <w:t>Information is provided for Mr. Mollard and Ms. Hill for 2021 only and for Mr. Taiclet for 2021 and 2020 only because they were not NEOs in prior years.</w:t>
      </w:r>
    </w:p>
    <w:p>
      <w:pPr>
        <w:spacing w:after="0" w:line="56" w:lineRule="exact"/>
        <w:rPr>
          <w:rFonts w:ascii="Arial" w:cs="Arial" w:eastAsia="Arial" w:hAnsi="Arial"/>
          <w:sz w:val="19"/>
          <w:szCs w:val="19"/>
          <w:color w:val="auto"/>
          <w:vertAlign w:val="superscript"/>
        </w:rPr>
      </w:pPr>
    </w:p>
    <w:p>
      <w:pPr>
        <w:jc w:val="both"/>
        <w:ind w:left="240" w:right="40" w:hanging="233"/>
        <w:spacing w:after="0" w:line="231" w:lineRule="auto"/>
        <w:tabs>
          <w:tab w:leader="none" w:pos="271" w:val="left"/>
        </w:tabs>
        <w:numPr>
          <w:ilvl w:val="0"/>
          <w:numId w:val="94"/>
        </w:numPr>
        <w:rPr>
          <w:rFonts w:ascii="Arial" w:cs="Arial" w:eastAsia="Arial" w:hAnsi="Arial"/>
          <w:sz w:val="19"/>
          <w:szCs w:val="19"/>
          <w:color w:val="auto"/>
          <w:vertAlign w:val="superscript"/>
        </w:rPr>
      </w:pPr>
      <w:r>
        <w:rPr>
          <w:rFonts w:ascii="Arial" w:cs="Arial" w:eastAsia="Arial" w:hAnsi="Arial"/>
          <w:sz w:val="14"/>
          <w:szCs w:val="14"/>
          <w:color w:val="auto"/>
        </w:rPr>
        <w:t>Salary is paid weekly in arrears. The amount reported may vary from the approved annual rate of pay because the salary reported in the table is based on the actual number of weekly pay periods in a year. Amounts for 2021 include payments of cash in lieu of vacation for Mr. Mollard $10,181; Mr. Possenriede $215,955; Mr. St. John $30,207; Mr. Ambrose $14,883; Ms. Hill $48,862 and Ms. Hewson $7,278.</w:t>
      </w:r>
    </w:p>
    <w:p>
      <w:pPr>
        <w:spacing w:after="0" w:line="57" w:lineRule="exact"/>
        <w:rPr>
          <w:rFonts w:ascii="Arial" w:cs="Arial" w:eastAsia="Arial" w:hAnsi="Arial"/>
          <w:sz w:val="19"/>
          <w:szCs w:val="19"/>
          <w:color w:val="auto"/>
          <w:vertAlign w:val="superscript"/>
        </w:rPr>
      </w:pPr>
    </w:p>
    <w:p>
      <w:pPr>
        <w:ind w:left="240" w:right="380" w:hanging="233"/>
        <w:spacing w:after="0" w:line="219" w:lineRule="auto"/>
        <w:tabs>
          <w:tab w:leader="none" w:pos="271" w:val="left"/>
        </w:tabs>
        <w:numPr>
          <w:ilvl w:val="0"/>
          <w:numId w:val="94"/>
        </w:numPr>
        <w:rPr>
          <w:rFonts w:ascii="Arial" w:cs="Arial" w:eastAsia="Arial" w:hAnsi="Arial"/>
          <w:sz w:val="19"/>
          <w:szCs w:val="19"/>
          <w:color w:val="auto"/>
          <w:vertAlign w:val="superscript"/>
        </w:rPr>
      </w:pPr>
      <w:r>
        <w:rPr>
          <w:rFonts w:ascii="Arial" w:cs="Arial" w:eastAsia="Arial" w:hAnsi="Arial"/>
          <w:sz w:val="14"/>
          <w:szCs w:val="14"/>
          <w:color w:val="auto"/>
        </w:rPr>
        <w:t>Mr. Mollard was awarded a special one-time cash bonus of $400,000 in February 2022 to compensate him for his performance and service during 2021 as Acting Chief Financial Officer.</w:t>
      </w:r>
    </w:p>
    <w:p>
      <w:pPr>
        <w:spacing w:after="0" w:line="38" w:lineRule="exact"/>
        <w:rPr>
          <w:rFonts w:ascii="Arial" w:cs="Arial" w:eastAsia="Arial" w:hAnsi="Arial"/>
          <w:sz w:val="19"/>
          <w:szCs w:val="19"/>
          <w:color w:val="auto"/>
          <w:vertAlign w:val="superscript"/>
        </w:rPr>
      </w:pPr>
    </w:p>
    <w:p>
      <w:pPr>
        <w:ind w:left="240" w:right="200" w:hanging="233"/>
        <w:spacing w:after="0" w:line="239" w:lineRule="auto"/>
        <w:tabs>
          <w:tab w:leader="none" w:pos="263" w:val="left"/>
        </w:tabs>
        <w:numPr>
          <w:ilvl w:val="0"/>
          <w:numId w:val="94"/>
        </w:numPr>
        <w:rPr>
          <w:rFonts w:ascii="Arial" w:cs="Arial" w:eastAsia="Arial" w:hAnsi="Arial"/>
          <w:sz w:val="19"/>
          <w:szCs w:val="19"/>
          <w:color w:val="auto"/>
          <w:vertAlign w:val="superscript"/>
        </w:rPr>
      </w:pPr>
      <w:r>
        <w:rPr>
          <w:rFonts w:ascii="Arial" w:cs="Arial" w:eastAsia="Arial" w:hAnsi="Arial"/>
          <w:sz w:val="14"/>
          <w:szCs w:val="14"/>
          <w:color w:val="auto"/>
        </w:rPr>
        <w:t xml:space="preserve">Amounts reported in the </w:t>
      </w:r>
      <w:r>
        <w:rPr>
          <w:rFonts w:ascii="Arial" w:cs="Arial" w:eastAsia="Arial" w:hAnsi="Arial"/>
          <w:sz w:val="14"/>
          <w:szCs w:val="14"/>
          <w:b w:val="1"/>
          <w:bCs w:val="1"/>
          <w:color w:val="auto"/>
        </w:rPr>
        <w:t>Stock Awards</w:t>
      </w:r>
      <w:r>
        <w:rPr>
          <w:rFonts w:ascii="Arial" w:cs="Arial" w:eastAsia="Arial" w:hAnsi="Arial"/>
          <w:sz w:val="14"/>
          <w:szCs w:val="14"/>
          <w:color w:val="auto"/>
        </w:rPr>
        <w:t xml:space="preserve"> column represent the aggregate grant date fair value computed in accordance with Financial Accounting Standards Board (FASB) Accounting Standards Codification (ASC) Topic 718 (ASC 718) for RSUs and PSUs granted in 2021, 2020 and 2019, disregarding potential forfeitures based on service requirements. Mr. Possenriede’s stock awards granted in 2021 were forfeited upon his retirement in August 2021. Mr. Taiclet’s 2020 stock awards include an award of</w:t>
      </w:r>
    </w:p>
    <w:p>
      <w:pPr>
        <w:spacing w:after="0" w:line="3" w:lineRule="exact"/>
        <w:rPr>
          <w:rFonts w:ascii="Arial" w:cs="Arial" w:eastAsia="Arial" w:hAnsi="Arial"/>
          <w:sz w:val="19"/>
          <w:szCs w:val="19"/>
          <w:color w:val="auto"/>
          <w:vertAlign w:val="superscript"/>
        </w:rPr>
      </w:pPr>
    </w:p>
    <w:p>
      <w:pPr>
        <w:ind w:left="240"/>
        <w:spacing w:after="0" w:line="268" w:lineRule="auto"/>
        <w:rPr>
          <w:rFonts w:ascii="Arial" w:cs="Arial" w:eastAsia="Arial" w:hAnsi="Arial"/>
          <w:sz w:val="19"/>
          <w:szCs w:val="19"/>
          <w:color w:val="auto"/>
          <w:vertAlign w:val="superscript"/>
        </w:rPr>
      </w:pPr>
      <w:r>
        <w:rPr>
          <w:rFonts w:ascii="Arial" w:cs="Arial" w:eastAsia="Arial" w:hAnsi="Arial"/>
          <w:sz w:val="14"/>
          <w:szCs w:val="14"/>
          <w:color w:val="auto"/>
        </w:rPr>
        <w:t>372.7919 stock units made on January 30, 2020 under the Amended and Restated Directors Equity Plan (DEP) for his 2020 service as a non-employee director on our Board. This award had an aggregate grant date fair value computed in accordance with ASC 718 of $162,500 based on the closing price of our stock ($435.90) on the date of grant and was forfeited upon Mr. Taiclet assuming the role of President and Chief Executive Officer on June 15, 2020.</w:t>
      </w:r>
    </w:p>
    <w:p>
      <w:pPr>
        <w:spacing w:after="0" w:line="200" w:lineRule="exact"/>
        <w:rPr>
          <w:sz w:val="20"/>
          <w:szCs w:val="20"/>
          <w:color w:val="auto"/>
        </w:rPr>
      </w:pPr>
    </w:p>
    <w:p>
      <w:pPr>
        <w:spacing w:after="0" w:line="398"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54</w:t>
      </w:r>
    </w:p>
    <w:p>
      <w:pPr>
        <w:sectPr>
          <w:pgSz w:w="11900" w:h="16838" w:orient="portrait"/>
          <w:cols w:equalWidth="0" w:num="1">
            <w:col w:w="11240"/>
          </w:cols>
          <w:pgMar w:left="320" w:top="254" w:right="339" w:bottom="1440" w:gutter="0" w:footer="0" w:header="0"/>
        </w:sectPr>
      </w:pPr>
    </w:p>
    <w:bookmarkStart w:id="60" w:name="page61"/>
    <w:bookmarkEnd w:id="60"/>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320" w:type="dxa"/>
            <w:vAlign w:val="bottom"/>
            <w:shd w:val="clear" w:color="auto" w:fill="E5E7EF"/>
          </w:tcPr>
          <w:p>
            <w:pPr>
              <w:spacing w:after="0"/>
              <w:rPr>
                <w:sz w:val="14"/>
                <w:szCs w:val="14"/>
                <w:color w:val="auto"/>
              </w:rPr>
            </w:pPr>
          </w:p>
        </w:tc>
        <w:tc>
          <w:tcPr>
            <w:tcW w:w="1720" w:type="dxa"/>
            <w:vAlign w:val="bottom"/>
            <w:shd w:val="clear" w:color="auto" w:fill="E5E7EF"/>
          </w:tcPr>
          <w:p>
            <w:pPr>
              <w:jc w:val="right"/>
              <w:ind w:right="212"/>
              <w:spacing w:after="0"/>
              <w:rPr>
                <w:sz w:val="20"/>
                <w:szCs w:val="20"/>
                <w:color w:val="auto"/>
              </w:rPr>
            </w:pPr>
            <w:r>
              <w:rPr>
                <w:rFonts w:ascii="Arial" w:cs="Arial" w:eastAsia="Arial" w:hAnsi="Arial"/>
                <w:sz w:val="13"/>
                <w:szCs w:val="13"/>
                <w:color w:val="auto"/>
              </w:rPr>
              <w:t>2021 Aggregate</w:t>
            </w:r>
          </w:p>
        </w:tc>
        <w:tc>
          <w:tcPr>
            <w:tcW w:w="1200" w:type="dxa"/>
            <w:vAlign w:val="bottom"/>
            <w:shd w:val="clear" w:color="auto" w:fill="E5E7EF"/>
          </w:tcPr>
          <w:p>
            <w:pPr>
              <w:jc w:val="right"/>
              <w:spacing w:after="0"/>
              <w:rPr>
                <w:sz w:val="20"/>
                <w:szCs w:val="20"/>
                <w:color w:val="auto"/>
              </w:rPr>
            </w:pPr>
            <w:r>
              <w:rPr>
                <w:rFonts w:ascii="Arial" w:cs="Arial" w:eastAsia="Arial" w:hAnsi="Arial"/>
                <w:sz w:val="13"/>
                <w:szCs w:val="13"/>
                <w:color w:val="auto"/>
              </w:rPr>
              <w:t>2021 Aggregate</w:t>
            </w:r>
          </w:p>
        </w:tc>
      </w:tr>
      <w:tr>
        <w:trPr>
          <w:trHeight w:val="148"/>
        </w:trPr>
        <w:tc>
          <w:tcPr>
            <w:tcW w:w="8320" w:type="dxa"/>
            <w:vAlign w:val="bottom"/>
            <w:shd w:val="clear" w:color="auto" w:fill="E5E7EF"/>
          </w:tcPr>
          <w:p>
            <w:pPr>
              <w:spacing w:after="0"/>
              <w:rPr>
                <w:sz w:val="12"/>
                <w:szCs w:val="12"/>
                <w:color w:val="auto"/>
              </w:rPr>
            </w:pPr>
          </w:p>
        </w:tc>
        <w:tc>
          <w:tcPr>
            <w:tcW w:w="1720" w:type="dxa"/>
            <w:vAlign w:val="bottom"/>
            <w:shd w:val="clear" w:color="auto" w:fill="E5E7EF"/>
          </w:tcPr>
          <w:p>
            <w:pPr>
              <w:jc w:val="right"/>
              <w:ind w:right="212"/>
              <w:spacing w:after="0" w:line="148" w:lineRule="exact"/>
              <w:rPr>
                <w:sz w:val="20"/>
                <w:szCs w:val="20"/>
                <w:color w:val="auto"/>
              </w:rPr>
            </w:pPr>
            <w:r>
              <w:rPr>
                <w:rFonts w:ascii="Arial" w:cs="Arial" w:eastAsia="Arial" w:hAnsi="Arial"/>
                <w:sz w:val="13"/>
                <w:szCs w:val="13"/>
                <w:color w:val="auto"/>
              </w:rPr>
              <w:t>Grant Date</w:t>
            </w:r>
          </w:p>
        </w:tc>
        <w:tc>
          <w:tcPr>
            <w:tcW w:w="1200" w:type="dxa"/>
            <w:vAlign w:val="bottom"/>
            <w:shd w:val="clear" w:color="auto" w:fill="E5E7EF"/>
          </w:tcPr>
          <w:p>
            <w:pPr>
              <w:jc w:val="right"/>
              <w:spacing w:after="0" w:line="148" w:lineRule="exact"/>
              <w:rPr>
                <w:sz w:val="20"/>
                <w:szCs w:val="20"/>
                <w:color w:val="auto"/>
              </w:rPr>
            </w:pPr>
            <w:r>
              <w:rPr>
                <w:rFonts w:ascii="Arial" w:cs="Arial" w:eastAsia="Arial" w:hAnsi="Arial"/>
                <w:sz w:val="13"/>
                <w:szCs w:val="13"/>
                <w:color w:val="auto"/>
              </w:rPr>
              <w:t>Grant Date</w:t>
            </w:r>
          </w:p>
        </w:tc>
      </w:tr>
      <w:tr>
        <w:trPr>
          <w:trHeight w:val="149"/>
        </w:trPr>
        <w:tc>
          <w:tcPr>
            <w:tcW w:w="8320" w:type="dxa"/>
            <w:vAlign w:val="bottom"/>
            <w:shd w:val="clear" w:color="auto" w:fill="E5E7EF"/>
          </w:tcPr>
          <w:p>
            <w:pPr>
              <w:spacing w:after="0"/>
              <w:rPr>
                <w:sz w:val="12"/>
                <w:szCs w:val="12"/>
                <w:color w:val="auto"/>
              </w:rPr>
            </w:pPr>
          </w:p>
        </w:tc>
        <w:tc>
          <w:tcPr>
            <w:tcW w:w="1720" w:type="dxa"/>
            <w:vAlign w:val="bottom"/>
            <w:shd w:val="clear" w:color="auto" w:fill="E5E7EF"/>
          </w:tcPr>
          <w:p>
            <w:pPr>
              <w:jc w:val="right"/>
              <w:ind w:right="212"/>
              <w:spacing w:after="0"/>
              <w:rPr>
                <w:sz w:val="20"/>
                <w:szCs w:val="20"/>
                <w:color w:val="auto"/>
              </w:rPr>
            </w:pPr>
            <w:r>
              <w:rPr>
                <w:rFonts w:ascii="Arial" w:cs="Arial" w:eastAsia="Arial" w:hAnsi="Arial"/>
                <w:sz w:val="13"/>
                <w:szCs w:val="13"/>
                <w:color w:val="auto"/>
              </w:rPr>
              <w:t>Fair Value RSUs</w:t>
            </w:r>
          </w:p>
        </w:tc>
        <w:tc>
          <w:tcPr>
            <w:tcW w:w="1200" w:type="dxa"/>
            <w:vAlign w:val="bottom"/>
            <w:shd w:val="clear" w:color="auto" w:fill="E5E7EF"/>
          </w:tcPr>
          <w:p>
            <w:pPr>
              <w:jc w:val="right"/>
              <w:spacing w:after="0"/>
              <w:rPr>
                <w:sz w:val="20"/>
                <w:szCs w:val="20"/>
                <w:color w:val="auto"/>
              </w:rPr>
            </w:pPr>
            <w:r>
              <w:rPr>
                <w:rFonts w:ascii="Arial" w:cs="Arial" w:eastAsia="Arial" w:hAnsi="Arial"/>
                <w:sz w:val="13"/>
                <w:szCs w:val="13"/>
                <w:color w:val="auto"/>
              </w:rPr>
              <w:t>Fair Value PSUs</w:t>
            </w:r>
          </w:p>
        </w:tc>
      </w:tr>
      <w:tr>
        <w:trPr>
          <w:trHeight w:val="238"/>
        </w:trPr>
        <w:tc>
          <w:tcPr>
            <w:tcW w:w="8320" w:type="dxa"/>
            <w:vAlign w:val="bottom"/>
            <w:tcBorders>
              <w:bottom w:val="single" w:sz="8" w:color="E5E7EF"/>
            </w:tcBorders>
            <w:shd w:val="clear" w:color="auto" w:fill="E5E7EF"/>
          </w:tcPr>
          <w:p>
            <w:pPr>
              <w:spacing w:after="0"/>
              <w:rPr>
                <w:sz w:val="20"/>
                <w:szCs w:val="20"/>
                <w:color w:val="auto"/>
              </w:rPr>
            </w:pPr>
          </w:p>
        </w:tc>
        <w:tc>
          <w:tcPr>
            <w:tcW w:w="1720" w:type="dxa"/>
            <w:vAlign w:val="bottom"/>
            <w:tcBorders>
              <w:bottom w:val="single" w:sz="8" w:color="E5E7EF"/>
            </w:tcBorders>
            <w:shd w:val="clear" w:color="auto" w:fill="E5E7EF"/>
          </w:tcPr>
          <w:p>
            <w:pPr>
              <w:jc w:val="right"/>
              <w:ind w:right="212"/>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8320" w:type="dxa"/>
            <w:vAlign w:val="bottom"/>
            <w:tcBorders>
              <w:top w:val="single" w:sz="8" w:color="002E6D"/>
              <w:bottom w:val="single" w:sz="8" w:color="939598"/>
            </w:tcBorders>
          </w:tcPr>
          <w:p>
            <w:pPr>
              <w:ind w:left="20"/>
              <w:spacing w:after="0"/>
              <w:rPr>
                <w:sz w:val="20"/>
                <w:szCs w:val="20"/>
                <w:color w:val="auto"/>
              </w:rPr>
            </w:pPr>
            <w:r>
              <w:rPr>
                <w:rFonts w:ascii="Arial" w:cs="Arial" w:eastAsia="Arial" w:hAnsi="Arial"/>
                <w:sz w:val="14"/>
                <w:szCs w:val="14"/>
                <w:b w:val="1"/>
                <w:bCs w:val="1"/>
                <w:color w:val="002E6D"/>
              </w:rPr>
              <w:t>Mr. Taiclet</w:t>
            </w:r>
          </w:p>
        </w:tc>
        <w:tc>
          <w:tcPr>
            <w:tcW w:w="1720" w:type="dxa"/>
            <w:vAlign w:val="bottom"/>
            <w:tcBorders>
              <w:top w:val="single" w:sz="8" w:color="002E6D"/>
              <w:bottom w:val="single" w:sz="8" w:color="939598"/>
            </w:tcBorders>
          </w:tcPr>
          <w:p>
            <w:pPr>
              <w:jc w:val="right"/>
              <w:ind w:right="212"/>
              <w:spacing w:after="0"/>
              <w:rPr>
                <w:sz w:val="20"/>
                <w:szCs w:val="20"/>
                <w:color w:val="auto"/>
              </w:rPr>
            </w:pPr>
            <w:r>
              <w:rPr>
                <w:rFonts w:ascii="Arial" w:cs="Arial" w:eastAsia="Arial" w:hAnsi="Arial"/>
                <w:sz w:val="14"/>
                <w:szCs w:val="14"/>
                <w:color w:val="auto"/>
              </w:rPr>
              <w:t>4,197,745</w:t>
            </w:r>
          </w:p>
        </w:tc>
        <w:tc>
          <w:tcPr>
            <w:tcW w:w="1200" w:type="dxa"/>
            <w:vAlign w:val="bottom"/>
            <w:tcBorders>
              <w:top w:val="single" w:sz="8" w:color="002E6D"/>
              <w:bottom w:val="single" w:sz="8" w:color="939598"/>
            </w:tcBorders>
          </w:tcPr>
          <w:p>
            <w:pPr>
              <w:jc w:val="right"/>
              <w:spacing w:after="0"/>
              <w:rPr>
                <w:sz w:val="20"/>
                <w:szCs w:val="20"/>
                <w:color w:val="auto"/>
              </w:rPr>
            </w:pPr>
            <w:r>
              <w:rPr>
                <w:rFonts w:ascii="Arial" w:cs="Arial" w:eastAsia="Arial" w:hAnsi="Arial"/>
                <w:sz w:val="14"/>
                <w:szCs w:val="14"/>
                <w:color w:val="auto"/>
              </w:rPr>
              <w:t>6,585,970</w:t>
            </w:r>
          </w:p>
        </w:tc>
      </w:tr>
      <w:tr>
        <w:trPr>
          <w:trHeight w:val="182"/>
        </w:trPr>
        <w:tc>
          <w:tcPr>
            <w:tcW w:w="83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2E6D"/>
              </w:rPr>
              <w:t>Mr. Mollard</w:t>
            </w:r>
          </w:p>
        </w:tc>
        <w:tc>
          <w:tcPr>
            <w:tcW w:w="1720" w:type="dxa"/>
            <w:vAlign w:val="bottom"/>
            <w:tcBorders>
              <w:bottom w:val="single" w:sz="8" w:color="939598"/>
            </w:tcBorders>
          </w:tcPr>
          <w:p>
            <w:pPr>
              <w:jc w:val="right"/>
              <w:ind w:right="212"/>
              <w:spacing w:after="0"/>
              <w:rPr>
                <w:sz w:val="20"/>
                <w:szCs w:val="20"/>
                <w:color w:val="auto"/>
              </w:rPr>
            </w:pPr>
            <w:r>
              <w:rPr>
                <w:rFonts w:ascii="Arial" w:cs="Arial" w:eastAsia="Arial" w:hAnsi="Arial"/>
                <w:sz w:val="14"/>
                <w:szCs w:val="14"/>
                <w:color w:val="auto"/>
              </w:rPr>
              <w:t>399,590</w:t>
            </w:r>
          </w:p>
        </w:tc>
        <w:tc>
          <w:tcPr>
            <w:tcW w:w="12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75,522</w:t>
            </w:r>
          </w:p>
        </w:tc>
      </w:tr>
      <w:tr>
        <w:trPr>
          <w:trHeight w:val="182"/>
        </w:trPr>
        <w:tc>
          <w:tcPr>
            <w:tcW w:w="83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2E6D"/>
              </w:rPr>
              <w:t>Mr. Possenriede</w:t>
            </w:r>
          </w:p>
        </w:tc>
        <w:tc>
          <w:tcPr>
            <w:tcW w:w="1720" w:type="dxa"/>
            <w:vAlign w:val="bottom"/>
            <w:tcBorders>
              <w:bottom w:val="single" w:sz="8" w:color="939598"/>
            </w:tcBorders>
          </w:tcPr>
          <w:p>
            <w:pPr>
              <w:jc w:val="right"/>
              <w:ind w:right="212"/>
              <w:spacing w:after="0"/>
              <w:rPr>
                <w:sz w:val="20"/>
                <w:szCs w:val="20"/>
                <w:color w:val="auto"/>
              </w:rPr>
            </w:pPr>
            <w:r>
              <w:rPr>
                <w:rFonts w:ascii="Arial" w:cs="Arial" w:eastAsia="Arial" w:hAnsi="Arial"/>
                <w:sz w:val="14"/>
                <w:szCs w:val="14"/>
                <w:color w:val="auto"/>
              </w:rPr>
              <w:t>1,648,907</w:t>
            </w:r>
          </w:p>
        </w:tc>
        <w:tc>
          <w:tcPr>
            <w:tcW w:w="12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2,587,713</w:t>
            </w:r>
          </w:p>
        </w:tc>
      </w:tr>
      <w:tr>
        <w:trPr>
          <w:trHeight w:val="182"/>
        </w:trPr>
        <w:tc>
          <w:tcPr>
            <w:tcW w:w="83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2E6D"/>
              </w:rPr>
              <w:t>Mr. St. John</w:t>
            </w:r>
          </w:p>
        </w:tc>
        <w:tc>
          <w:tcPr>
            <w:tcW w:w="1720" w:type="dxa"/>
            <w:vAlign w:val="bottom"/>
            <w:tcBorders>
              <w:bottom w:val="single" w:sz="8" w:color="939598"/>
            </w:tcBorders>
          </w:tcPr>
          <w:p>
            <w:pPr>
              <w:jc w:val="right"/>
              <w:ind w:right="212"/>
              <w:spacing w:after="0"/>
              <w:rPr>
                <w:sz w:val="20"/>
                <w:szCs w:val="20"/>
                <w:color w:val="auto"/>
              </w:rPr>
            </w:pPr>
            <w:r>
              <w:rPr>
                <w:rFonts w:ascii="Arial" w:cs="Arial" w:eastAsia="Arial" w:hAnsi="Arial"/>
                <w:sz w:val="14"/>
                <w:szCs w:val="14"/>
                <w:color w:val="auto"/>
              </w:rPr>
              <w:t>1,648,907</w:t>
            </w:r>
          </w:p>
        </w:tc>
        <w:tc>
          <w:tcPr>
            <w:tcW w:w="12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2,587,713</w:t>
            </w:r>
          </w:p>
        </w:tc>
      </w:tr>
      <w:tr>
        <w:trPr>
          <w:trHeight w:val="182"/>
        </w:trPr>
        <w:tc>
          <w:tcPr>
            <w:tcW w:w="83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2E6D"/>
              </w:rPr>
              <w:t>Mr. Ambrose</w:t>
            </w:r>
          </w:p>
        </w:tc>
        <w:tc>
          <w:tcPr>
            <w:tcW w:w="1720" w:type="dxa"/>
            <w:vAlign w:val="bottom"/>
            <w:tcBorders>
              <w:bottom w:val="single" w:sz="8" w:color="939598"/>
            </w:tcBorders>
          </w:tcPr>
          <w:p>
            <w:pPr>
              <w:jc w:val="right"/>
              <w:ind w:right="212"/>
              <w:spacing w:after="0"/>
              <w:rPr>
                <w:sz w:val="20"/>
                <w:szCs w:val="20"/>
                <w:color w:val="auto"/>
              </w:rPr>
            </w:pPr>
            <w:r>
              <w:rPr>
                <w:rFonts w:ascii="Arial" w:cs="Arial" w:eastAsia="Arial" w:hAnsi="Arial"/>
                <w:sz w:val="14"/>
                <w:szCs w:val="14"/>
                <w:color w:val="auto"/>
              </w:rPr>
              <w:t>1,199,112</w:t>
            </w:r>
          </w:p>
        </w:tc>
        <w:tc>
          <w:tcPr>
            <w:tcW w:w="12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1,882,099</w:t>
            </w:r>
          </w:p>
        </w:tc>
      </w:tr>
      <w:tr>
        <w:trPr>
          <w:trHeight w:val="182"/>
        </w:trPr>
        <w:tc>
          <w:tcPr>
            <w:tcW w:w="83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2E6D"/>
              </w:rPr>
              <w:t>Ms. Hill</w:t>
            </w:r>
          </w:p>
        </w:tc>
        <w:tc>
          <w:tcPr>
            <w:tcW w:w="1720" w:type="dxa"/>
            <w:vAlign w:val="bottom"/>
            <w:tcBorders>
              <w:bottom w:val="single" w:sz="8" w:color="939598"/>
            </w:tcBorders>
          </w:tcPr>
          <w:p>
            <w:pPr>
              <w:jc w:val="right"/>
              <w:ind w:right="212"/>
              <w:spacing w:after="0"/>
              <w:rPr>
                <w:sz w:val="20"/>
                <w:szCs w:val="20"/>
                <w:color w:val="auto"/>
              </w:rPr>
            </w:pPr>
            <w:r>
              <w:rPr>
                <w:rFonts w:ascii="Arial" w:cs="Arial" w:eastAsia="Arial" w:hAnsi="Arial"/>
                <w:sz w:val="14"/>
                <w:szCs w:val="14"/>
                <w:color w:val="auto"/>
              </w:rPr>
              <w:t>1,199,112</w:t>
            </w:r>
          </w:p>
        </w:tc>
        <w:tc>
          <w:tcPr>
            <w:tcW w:w="12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1,882,099</w:t>
            </w:r>
          </w:p>
        </w:tc>
      </w:tr>
      <w:tr>
        <w:trPr>
          <w:trHeight w:val="182"/>
        </w:trPr>
        <w:tc>
          <w:tcPr>
            <w:tcW w:w="83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2E6D"/>
              </w:rPr>
              <w:t>Ms. Hewson</w:t>
            </w:r>
          </w:p>
        </w:tc>
        <w:tc>
          <w:tcPr>
            <w:tcW w:w="1720" w:type="dxa"/>
            <w:vAlign w:val="bottom"/>
            <w:tcBorders>
              <w:bottom w:val="single" w:sz="8" w:color="939598"/>
            </w:tcBorders>
          </w:tcPr>
          <w:p>
            <w:pPr>
              <w:jc w:val="right"/>
              <w:ind w:right="212"/>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r>
    </w:tbl>
    <w:p>
      <w:pPr>
        <w:spacing w:after="0" w:line="206" w:lineRule="exact"/>
        <w:rPr>
          <w:sz w:val="20"/>
          <w:szCs w:val="20"/>
          <w:color w:val="auto"/>
        </w:rPr>
      </w:pPr>
    </w:p>
    <w:p>
      <w:pPr>
        <w:ind w:left="240" w:right="60"/>
        <w:spacing w:after="0" w:line="276" w:lineRule="auto"/>
        <w:rPr>
          <w:sz w:val="20"/>
          <w:szCs w:val="20"/>
          <w:color w:val="auto"/>
        </w:rPr>
      </w:pPr>
      <w:r>
        <w:rPr>
          <w:rFonts w:ascii="Arial" w:cs="Arial" w:eastAsia="Arial" w:hAnsi="Arial"/>
          <w:sz w:val="14"/>
          <w:szCs w:val="14"/>
          <w:color w:val="auto"/>
        </w:rPr>
        <w:t>The ASC 718 grant date fair value of one 2021 RSU ($341.53) is the closing price of one share of our stock on the date of grant, discounted to take into account the deferred dividend equivalents that are accrued until vesting.</w:t>
      </w:r>
    </w:p>
    <w:p>
      <w:pPr>
        <w:spacing w:after="0" w:line="33" w:lineRule="exact"/>
        <w:rPr>
          <w:sz w:val="20"/>
          <w:szCs w:val="20"/>
          <w:color w:val="auto"/>
        </w:rPr>
      </w:pPr>
    </w:p>
    <w:p>
      <w:pPr>
        <w:ind w:left="240" w:right="40"/>
        <w:spacing w:after="0" w:line="268" w:lineRule="auto"/>
        <w:rPr>
          <w:sz w:val="20"/>
          <w:szCs w:val="20"/>
          <w:color w:val="auto"/>
        </w:rPr>
      </w:pPr>
      <w:r>
        <w:rPr>
          <w:rFonts w:ascii="Arial" w:cs="Arial" w:eastAsia="Arial" w:hAnsi="Arial"/>
          <w:sz w:val="14"/>
          <w:szCs w:val="14"/>
          <w:color w:val="auto"/>
        </w:rPr>
        <w:t>Values for the PSUs, which are subject to performance conditions, are based on the probable outcome on the grant date of three separate performance conditions (50% of the target shares are earned based upon Relative TSR, 25% of the target shares are earned based upon Performance Cash, and 25% of the target shares are earned based upon ROIC).</w:t>
      </w:r>
    </w:p>
    <w:p>
      <w:pPr>
        <w:spacing w:after="0" w:line="38" w:lineRule="exact"/>
        <w:rPr>
          <w:sz w:val="20"/>
          <w:szCs w:val="20"/>
          <w:color w:val="auto"/>
        </w:rPr>
      </w:pPr>
    </w:p>
    <w:p>
      <w:pPr>
        <w:ind w:left="240" w:right="140"/>
        <w:spacing w:after="0" w:line="263" w:lineRule="auto"/>
        <w:rPr>
          <w:sz w:val="20"/>
          <w:szCs w:val="20"/>
          <w:color w:val="auto"/>
        </w:rPr>
      </w:pPr>
      <w:r>
        <w:rPr>
          <w:rFonts w:ascii="Arial" w:cs="Arial" w:eastAsia="Arial" w:hAnsi="Arial"/>
          <w:sz w:val="14"/>
          <w:szCs w:val="14"/>
          <w:color w:val="auto"/>
        </w:rPr>
        <w:t>The grant date fair value of $301.38 for the Relative TSR portion of the PSU award for 2021 was determined using a Monte Carlo simulation model. The value was determined using the historical stock price volatilities of the companies in our comparator group over the most recent 2.84-year period from the date of grant assuming dividends for each company are reinvested on a continuous basis and a risk-free rate of interest of 0.31% and that deferred dividend equivalents accrued on shares earned will be paid in cash upon vesting. The grant date fair value of $341.53 for the Performance Cash and ROIC portions of the awards for 2021 is based on the closing price of our stock on the date of grant, discounted to take into account the deferred dividend equivalents that are accrued until vesting. In addition to the level of performance achieved, the value of the PSUs earned will be determined by the price of our stock on the date any shares are issued at the end of the performance period, which may be more or less than the grant date fair value.</w:t>
      </w:r>
    </w:p>
    <w:p>
      <w:pPr>
        <w:spacing w:after="0" w:line="42" w:lineRule="exact"/>
        <w:rPr>
          <w:sz w:val="20"/>
          <w:szCs w:val="20"/>
          <w:color w:val="auto"/>
        </w:rPr>
      </w:pPr>
    </w:p>
    <w:p>
      <w:pPr>
        <w:ind w:left="240" w:right="160"/>
        <w:spacing w:after="0" w:line="268" w:lineRule="auto"/>
        <w:rPr>
          <w:sz w:val="20"/>
          <w:szCs w:val="20"/>
          <w:color w:val="auto"/>
        </w:rPr>
      </w:pPr>
      <w:r>
        <w:rPr>
          <w:rFonts w:ascii="Arial" w:cs="Arial" w:eastAsia="Arial" w:hAnsi="Arial"/>
          <w:sz w:val="14"/>
          <w:szCs w:val="14"/>
          <w:color w:val="auto"/>
        </w:rPr>
        <w:t>The maximum grant date fair values of the 2021 PSU awards, using the Monte Carlo simulation model for the TSR metric and assuming a 200% maximum payout for the ROIC and Performance cash metrics, are as follows: Mr. Taiclet: $10,084,603; Mr. Mollard: $115,481; Mr. Possenriede: $3,962,371; Mr. St. John: $3,962,371; Mr. Ambrose: $2,881,757; and Ms. Hill: $2,881,757.</w:t>
      </w:r>
    </w:p>
    <w:p>
      <w:pPr>
        <w:spacing w:after="0" w:line="20" w:lineRule="exact"/>
        <w:rPr>
          <w:sz w:val="20"/>
          <w:szCs w:val="20"/>
          <w:color w:val="auto"/>
        </w:rPr>
      </w:pPr>
    </w:p>
    <w:p>
      <w:pPr>
        <w:ind w:left="240" w:right="60" w:hanging="233"/>
        <w:spacing w:after="0" w:line="239" w:lineRule="auto"/>
        <w:tabs>
          <w:tab w:leader="none" w:pos="263" w:val="left"/>
        </w:tabs>
        <w:numPr>
          <w:ilvl w:val="0"/>
          <w:numId w:val="95"/>
        </w:numPr>
        <w:rPr>
          <w:rFonts w:ascii="Arial" w:cs="Arial" w:eastAsia="Arial" w:hAnsi="Arial"/>
          <w:sz w:val="19"/>
          <w:szCs w:val="19"/>
          <w:color w:val="auto"/>
          <w:vertAlign w:val="superscript"/>
        </w:rPr>
      </w:pPr>
      <w:r>
        <w:rPr>
          <w:rFonts w:ascii="Arial" w:cs="Arial" w:eastAsia="Arial" w:hAnsi="Arial"/>
          <w:sz w:val="14"/>
          <w:szCs w:val="14"/>
          <w:color w:val="auto"/>
        </w:rPr>
        <w:t xml:space="preserve">Amounts reported in the </w:t>
      </w:r>
      <w:r>
        <w:rPr>
          <w:rFonts w:ascii="Arial" w:cs="Arial" w:eastAsia="Arial" w:hAnsi="Arial"/>
          <w:sz w:val="14"/>
          <w:szCs w:val="14"/>
          <w:b w:val="1"/>
          <w:bCs w:val="1"/>
          <w:color w:val="auto"/>
        </w:rPr>
        <w:t>Non-Equity Incentive Plan Compensation</w:t>
      </w:r>
      <w:r>
        <w:rPr>
          <w:rFonts w:ascii="Arial" w:cs="Arial" w:eastAsia="Arial" w:hAnsi="Arial"/>
          <w:sz w:val="14"/>
          <w:szCs w:val="14"/>
          <w:color w:val="auto"/>
        </w:rPr>
        <w:t xml:space="preserve"> column represent the amounts paid for annual incentive bonuses paid under the Lockheed Martin Corporation 2021 Management Incentive Compensation Plan (MICP), and the amounts earned under our LTIP cash awards in the three-year period ending on December 31 of the year reported.</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shows the respective 2021 annual incentive bonus and amount earned under the 2019-2021 cash LTIP and reported for each NEO:</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660" w:type="dxa"/>
            <w:vAlign w:val="bottom"/>
            <w:shd w:val="clear" w:color="auto" w:fill="E5E7EF"/>
          </w:tcPr>
          <w:p>
            <w:pPr>
              <w:spacing w:after="0"/>
              <w:rPr>
                <w:sz w:val="14"/>
                <w:szCs w:val="14"/>
                <w:color w:val="auto"/>
              </w:rPr>
            </w:pPr>
          </w:p>
        </w:tc>
        <w:tc>
          <w:tcPr>
            <w:tcW w:w="1640" w:type="dxa"/>
            <w:vAlign w:val="bottom"/>
            <w:shd w:val="clear" w:color="auto" w:fill="E5E7EF"/>
          </w:tcPr>
          <w:p>
            <w:pPr>
              <w:jc w:val="right"/>
              <w:ind w:right="151"/>
              <w:spacing w:after="0"/>
              <w:rPr>
                <w:sz w:val="20"/>
                <w:szCs w:val="20"/>
                <w:color w:val="auto"/>
              </w:rPr>
            </w:pPr>
            <w:r>
              <w:rPr>
                <w:rFonts w:ascii="Arial" w:cs="Arial" w:eastAsia="Arial" w:hAnsi="Arial"/>
                <w:sz w:val="13"/>
                <w:szCs w:val="13"/>
                <w:color w:val="auto"/>
              </w:rPr>
              <w:t>2021 Annual</w:t>
            </w:r>
          </w:p>
        </w:tc>
        <w:tc>
          <w:tcPr>
            <w:tcW w:w="920" w:type="dxa"/>
            <w:vAlign w:val="bottom"/>
            <w:shd w:val="clear" w:color="auto" w:fill="E5E7EF"/>
          </w:tcPr>
          <w:p>
            <w:pPr>
              <w:jc w:val="right"/>
              <w:spacing w:after="0"/>
              <w:rPr>
                <w:sz w:val="20"/>
                <w:szCs w:val="20"/>
                <w:color w:val="auto"/>
              </w:rPr>
            </w:pPr>
            <w:r>
              <w:rPr>
                <w:rFonts w:ascii="Arial" w:cs="Arial" w:eastAsia="Arial" w:hAnsi="Arial"/>
                <w:sz w:val="13"/>
                <w:szCs w:val="13"/>
                <w:color w:val="auto"/>
              </w:rPr>
              <w:t>2019-2021</w:t>
            </w:r>
          </w:p>
        </w:tc>
      </w:tr>
      <w:tr>
        <w:trPr>
          <w:trHeight w:val="149"/>
        </w:trPr>
        <w:tc>
          <w:tcPr>
            <w:tcW w:w="8660" w:type="dxa"/>
            <w:vAlign w:val="bottom"/>
            <w:shd w:val="clear" w:color="auto" w:fill="E5E7EF"/>
          </w:tcPr>
          <w:p>
            <w:pPr>
              <w:spacing w:after="0"/>
              <w:rPr>
                <w:sz w:val="12"/>
                <w:szCs w:val="12"/>
                <w:color w:val="auto"/>
              </w:rPr>
            </w:pPr>
          </w:p>
        </w:tc>
        <w:tc>
          <w:tcPr>
            <w:tcW w:w="1640" w:type="dxa"/>
            <w:vAlign w:val="bottom"/>
            <w:shd w:val="clear" w:color="auto" w:fill="E5E7EF"/>
          </w:tcPr>
          <w:p>
            <w:pPr>
              <w:jc w:val="right"/>
              <w:ind w:right="151"/>
              <w:spacing w:after="0"/>
              <w:rPr>
                <w:sz w:val="20"/>
                <w:szCs w:val="20"/>
                <w:color w:val="auto"/>
              </w:rPr>
            </w:pPr>
            <w:r>
              <w:rPr>
                <w:rFonts w:ascii="Arial" w:cs="Arial" w:eastAsia="Arial" w:hAnsi="Arial"/>
                <w:sz w:val="13"/>
                <w:szCs w:val="13"/>
                <w:color w:val="auto"/>
              </w:rPr>
              <w:t>Incentive Payout</w:t>
            </w:r>
          </w:p>
        </w:tc>
        <w:tc>
          <w:tcPr>
            <w:tcW w:w="920" w:type="dxa"/>
            <w:vAlign w:val="bottom"/>
            <w:shd w:val="clear" w:color="auto" w:fill="E5E7EF"/>
          </w:tcPr>
          <w:p>
            <w:pPr>
              <w:jc w:val="right"/>
              <w:spacing w:after="0"/>
              <w:rPr>
                <w:sz w:val="20"/>
                <w:szCs w:val="20"/>
                <w:color w:val="auto"/>
              </w:rPr>
            </w:pPr>
            <w:r>
              <w:rPr>
                <w:rFonts w:ascii="Arial" w:cs="Arial" w:eastAsia="Arial" w:hAnsi="Arial"/>
                <w:sz w:val="13"/>
                <w:szCs w:val="13"/>
                <w:color w:val="auto"/>
              </w:rPr>
              <w:t>LTIP Payout</w:t>
            </w:r>
          </w:p>
        </w:tc>
      </w:tr>
      <w:tr>
        <w:trPr>
          <w:trHeight w:val="238"/>
        </w:trPr>
        <w:tc>
          <w:tcPr>
            <w:tcW w:w="8660" w:type="dxa"/>
            <w:vAlign w:val="bottom"/>
            <w:tcBorders>
              <w:bottom w:val="single" w:sz="8" w:color="E5E7EF"/>
            </w:tcBorders>
            <w:shd w:val="clear" w:color="auto" w:fill="E5E7EF"/>
          </w:tcPr>
          <w:p>
            <w:pPr>
              <w:spacing w:after="0"/>
              <w:rPr>
                <w:sz w:val="20"/>
                <w:szCs w:val="20"/>
                <w:color w:val="auto"/>
              </w:rPr>
            </w:pPr>
          </w:p>
        </w:tc>
        <w:tc>
          <w:tcPr>
            <w:tcW w:w="1640" w:type="dxa"/>
            <w:vAlign w:val="bottom"/>
            <w:tcBorders>
              <w:bottom w:val="single" w:sz="8" w:color="E5E7EF"/>
            </w:tcBorders>
            <w:shd w:val="clear" w:color="auto" w:fill="E5E7EF"/>
          </w:tcPr>
          <w:p>
            <w:pPr>
              <w:jc w:val="right"/>
              <w:ind w:right="151"/>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8660" w:type="dxa"/>
            <w:vAlign w:val="bottom"/>
            <w:tcBorders>
              <w:top w:val="single" w:sz="8" w:color="002E6D"/>
              <w:bottom w:val="single" w:sz="8" w:color="939598"/>
            </w:tcBorders>
          </w:tcPr>
          <w:p>
            <w:pPr>
              <w:ind w:left="20"/>
              <w:spacing w:after="0"/>
              <w:rPr>
                <w:sz w:val="20"/>
                <w:szCs w:val="20"/>
                <w:color w:val="auto"/>
              </w:rPr>
            </w:pPr>
            <w:r>
              <w:rPr>
                <w:rFonts w:ascii="Arial" w:cs="Arial" w:eastAsia="Arial" w:hAnsi="Arial"/>
                <w:sz w:val="14"/>
                <w:szCs w:val="14"/>
                <w:b w:val="1"/>
                <w:bCs w:val="1"/>
                <w:color w:val="002E6D"/>
              </w:rPr>
              <w:t>Mr. Taiclet</w:t>
            </w:r>
          </w:p>
        </w:tc>
        <w:tc>
          <w:tcPr>
            <w:tcW w:w="1640" w:type="dxa"/>
            <w:vAlign w:val="bottom"/>
            <w:tcBorders>
              <w:top w:val="single" w:sz="8" w:color="002E6D"/>
              <w:bottom w:val="single" w:sz="8" w:color="939598"/>
            </w:tcBorders>
          </w:tcPr>
          <w:p>
            <w:pPr>
              <w:jc w:val="right"/>
              <w:ind w:right="151"/>
              <w:spacing w:after="0"/>
              <w:rPr>
                <w:sz w:val="20"/>
                <w:szCs w:val="20"/>
                <w:color w:val="auto"/>
              </w:rPr>
            </w:pPr>
            <w:r>
              <w:rPr>
                <w:rFonts w:ascii="Arial" w:cs="Arial" w:eastAsia="Arial" w:hAnsi="Arial"/>
                <w:sz w:val="14"/>
                <w:szCs w:val="14"/>
                <w:color w:val="auto"/>
              </w:rPr>
              <w:t>4,049,200</w:t>
            </w:r>
          </w:p>
        </w:tc>
        <w:tc>
          <w:tcPr>
            <w:tcW w:w="920" w:type="dxa"/>
            <w:vAlign w:val="bottom"/>
            <w:tcBorders>
              <w:top w:val="single" w:sz="8" w:color="002E6D"/>
              <w:bottom w:val="single" w:sz="8" w:color="939598"/>
            </w:tcBorders>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86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2E6D"/>
              </w:rPr>
              <w:t>Mr. Mollard</w:t>
            </w:r>
          </w:p>
        </w:tc>
        <w:tc>
          <w:tcPr>
            <w:tcW w:w="1640" w:type="dxa"/>
            <w:vAlign w:val="bottom"/>
            <w:tcBorders>
              <w:bottom w:val="single" w:sz="8" w:color="939598"/>
            </w:tcBorders>
          </w:tcPr>
          <w:p>
            <w:pPr>
              <w:jc w:val="right"/>
              <w:ind w:right="151"/>
              <w:spacing w:after="0"/>
              <w:rPr>
                <w:sz w:val="20"/>
                <w:szCs w:val="20"/>
                <w:color w:val="auto"/>
              </w:rPr>
            </w:pPr>
            <w:r>
              <w:rPr>
                <w:rFonts w:ascii="Arial" w:cs="Arial" w:eastAsia="Arial" w:hAnsi="Arial"/>
                <w:sz w:val="14"/>
                <w:szCs w:val="14"/>
                <w:color w:val="auto"/>
              </w:rPr>
              <w:t>433,100</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503,700</w:t>
            </w:r>
          </w:p>
        </w:tc>
      </w:tr>
      <w:tr>
        <w:trPr>
          <w:trHeight w:val="182"/>
        </w:trPr>
        <w:tc>
          <w:tcPr>
            <w:tcW w:w="86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2E6D"/>
              </w:rPr>
              <w:t>Mr. Possenriede*</w:t>
            </w:r>
          </w:p>
        </w:tc>
        <w:tc>
          <w:tcPr>
            <w:tcW w:w="1640" w:type="dxa"/>
            <w:vAlign w:val="bottom"/>
            <w:tcBorders>
              <w:bottom w:val="single" w:sz="8" w:color="939598"/>
            </w:tcBorders>
          </w:tcPr>
          <w:p>
            <w:pPr>
              <w:jc w:val="right"/>
              <w:ind w:right="151"/>
              <w:spacing w:after="0"/>
              <w:rPr>
                <w:sz w:val="20"/>
                <w:szCs w:val="20"/>
                <w:color w:val="auto"/>
              </w:rPr>
            </w:pPr>
            <w:r>
              <w:rPr>
                <w:rFonts w:ascii="Arial" w:cs="Arial" w:eastAsia="Arial" w:hAnsi="Arial"/>
                <w:sz w:val="14"/>
                <w:szCs w:val="14"/>
                <w:color w:val="auto"/>
              </w:rPr>
              <w:t>916,100</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1,302,911</w:t>
            </w:r>
          </w:p>
        </w:tc>
      </w:tr>
      <w:tr>
        <w:trPr>
          <w:trHeight w:val="182"/>
        </w:trPr>
        <w:tc>
          <w:tcPr>
            <w:tcW w:w="86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2E6D"/>
              </w:rPr>
              <w:t>Mr. St. John</w:t>
            </w:r>
          </w:p>
        </w:tc>
        <w:tc>
          <w:tcPr>
            <w:tcW w:w="1640" w:type="dxa"/>
            <w:vAlign w:val="bottom"/>
            <w:tcBorders>
              <w:bottom w:val="single" w:sz="8" w:color="939598"/>
            </w:tcBorders>
          </w:tcPr>
          <w:p>
            <w:pPr>
              <w:jc w:val="right"/>
              <w:ind w:right="151"/>
              <w:spacing w:after="0"/>
              <w:rPr>
                <w:sz w:val="20"/>
                <w:szCs w:val="20"/>
                <w:color w:val="auto"/>
              </w:rPr>
            </w:pPr>
            <w:r>
              <w:rPr>
                <w:rFonts w:ascii="Arial" w:cs="Arial" w:eastAsia="Arial" w:hAnsi="Arial"/>
                <w:sz w:val="14"/>
                <w:szCs w:val="14"/>
                <w:color w:val="auto"/>
              </w:rPr>
              <w:t>1,562,500</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1,318,015</w:t>
            </w:r>
          </w:p>
        </w:tc>
      </w:tr>
      <w:tr>
        <w:trPr>
          <w:trHeight w:val="182"/>
        </w:trPr>
        <w:tc>
          <w:tcPr>
            <w:tcW w:w="86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2E6D"/>
              </w:rPr>
              <w:t>Mr. Ambrose</w:t>
            </w:r>
          </w:p>
        </w:tc>
        <w:tc>
          <w:tcPr>
            <w:tcW w:w="1640" w:type="dxa"/>
            <w:vAlign w:val="bottom"/>
            <w:tcBorders>
              <w:bottom w:val="single" w:sz="8" w:color="939598"/>
            </w:tcBorders>
          </w:tcPr>
          <w:p>
            <w:pPr>
              <w:jc w:val="right"/>
              <w:ind w:right="151"/>
              <w:spacing w:after="0"/>
              <w:rPr>
                <w:sz w:val="20"/>
                <w:szCs w:val="20"/>
                <w:color w:val="auto"/>
              </w:rPr>
            </w:pPr>
            <w:r>
              <w:rPr>
                <w:rFonts w:ascii="Arial" w:cs="Arial" w:eastAsia="Arial" w:hAnsi="Arial"/>
                <w:sz w:val="14"/>
                <w:szCs w:val="14"/>
                <w:color w:val="auto"/>
              </w:rPr>
              <w:t>1,326,900</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1,318,015</w:t>
            </w:r>
          </w:p>
        </w:tc>
      </w:tr>
      <w:tr>
        <w:trPr>
          <w:trHeight w:val="182"/>
        </w:trPr>
        <w:tc>
          <w:tcPr>
            <w:tcW w:w="86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2E6D"/>
              </w:rPr>
              <w:t>Ms. Hill</w:t>
            </w:r>
          </w:p>
        </w:tc>
        <w:tc>
          <w:tcPr>
            <w:tcW w:w="1640" w:type="dxa"/>
            <w:vAlign w:val="bottom"/>
            <w:tcBorders>
              <w:bottom w:val="single" w:sz="8" w:color="939598"/>
            </w:tcBorders>
          </w:tcPr>
          <w:p>
            <w:pPr>
              <w:jc w:val="right"/>
              <w:ind w:right="151"/>
              <w:spacing w:after="0"/>
              <w:rPr>
                <w:sz w:val="20"/>
                <w:szCs w:val="20"/>
                <w:color w:val="auto"/>
              </w:rPr>
            </w:pPr>
            <w:r>
              <w:rPr>
                <w:rFonts w:ascii="Arial" w:cs="Arial" w:eastAsia="Arial" w:hAnsi="Arial"/>
                <w:sz w:val="14"/>
                <w:szCs w:val="14"/>
                <w:color w:val="auto"/>
              </w:rPr>
              <w:t>1,326,900</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705,180</w:t>
            </w:r>
          </w:p>
        </w:tc>
      </w:tr>
      <w:tr>
        <w:trPr>
          <w:trHeight w:val="182"/>
        </w:trPr>
        <w:tc>
          <w:tcPr>
            <w:tcW w:w="86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2E6D"/>
              </w:rPr>
              <w:t>Ms. Hewson</w:t>
            </w:r>
          </w:p>
        </w:tc>
        <w:tc>
          <w:tcPr>
            <w:tcW w:w="1640" w:type="dxa"/>
            <w:vAlign w:val="bottom"/>
            <w:tcBorders>
              <w:bottom w:val="single" w:sz="8" w:color="939598"/>
            </w:tcBorders>
          </w:tcPr>
          <w:p>
            <w:pPr>
              <w:jc w:val="right"/>
              <w:ind w:right="151"/>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4,801,940</w:t>
            </w:r>
          </w:p>
        </w:tc>
      </w:tr>
    </w:tbl>
    <w:p>
      <w:pPr>
        <w:spacing w:after="0" w:line="139" w:lineRule="exact"/>
        <w:rPr>
          <w:sz w:val="20"/>
          <w:szCs w:val="20"/>
          <w:color w:val="auto"/>
        </w:rPr>
      </w:pPr>
    </w:p>
    <w:p>
      <w:pPr>
        <w:ind w:left="220" w:hanging="213"/>
        <w:spacing w:after="0"/>
        <w:tabs>
          <w:tab w:leader="none" w:pos="220" w:val="left"/>
        </w:tabs>
        <w:numPr>
          <w:ilvl w:val="0"/>
          <w:numId w:val="96"/>
        </w:numPr>
        <w:rPr>
          <w:rFonts w:ascii="Arial" w:cs="Arial" w:eastAsia="Arial" w:hAnsi="Arial"/>
          <w:sz w:val="14"/>
          <w:szCs w:val="14"/>
          <w:color w:val="auto"/>
        </w:rPr>
      </w:pPr>
      <w:r>
        <w:rPr>
          <w:rFonts w:ascii="Arial" w:cs="Arial" w:eastAsia="Arial" w:hAnsi="Arial"/>
          <w:sz w:val="14"/>
          <w:szCs w:val="14"/>
          <w:color w:val="auto"/>
        </w:rPr>
        <w:t>Mr. Possenriede’s target and payout is prorated based on time served during fiscal year 2021.</w:t>
      </w:r>
    </w:p>
    <w:p>
      <w:pPr>
        <w:spacing w:after="0" w:line="318" w:lineRule="exact"/>
        <w:rPr>
          <w:sz w:val="20"/>
          <w:szCs w:val="20"/>
          <w:color w:val="auto"/>
        </w:rPr>
      </w:pPr>
    </w:p>
    <w:p>
      <w:pPr>
        <w:ind w:left="240" w:right="20" w:hanging="233"/>
        <w:spacing w:after="0" w:line="268" w:lineRule="auto"/>
        <w:tabs>
          <w:tab w:leader="none" w:pos="263" w:val="left"/>
        </w:tabs>
        <w:numPr>
          <w:ilvl w:val="0"/>
          <w:numId w:val="97"/>
        </w:numPr>
        <w:rPr>
          <w:rFonts w:ascii="Arial" w:cs="Arial" w:eastAsia="Arial" w:hAnsi="Arial"/>
          <w:sz w:val="9"/>
          <w:szCs w:val="9"/>
          <w:color w:val="auto"/>
        </w:rPr>
      </w:pPr>
      <w:r>
        <w:rPr>
          <w:rFonts w:ascii="Arial" w:cs="Arial" w:eastAsia="Arial" w:hAnsi="Arial"/>
          <w:sz w:val="14"/>
          <w:szCs w:val="14"/>
          <w:color w:val="auto"/>
        </w:rPr>
        <w:t xml:space="preserve">Amounts reported in the </w:t>
      </w:r>
      <w:r>
        <w:rPr>
          <w:rFonts w:ascii="Arial" w:cs="Arial" w:eastAsia="Arial" w:hAnsi="Arial"/>
          <w:sz w:val="14"/>
          <w:szCs w:val="14"/>
          <w:b w:val="1"/>
          <w:bCs w:val="1"/>
          <w:color w:val="auto"/>
        </w:rPr>
        <w:t>Change in Pension Value and Nonqualified Deferred Compensation Earnings</w:t>
      </w:r>
      <w:r>
        <w:rPr>
          <w:rFonts w:ascii="Arial" w:cs="Arial" w:eastAsia="Arial" w:hAnsi="Arial"/>
          <w:sz w:val="14"/>
          <w:szCs w:val="14"/>
          <w:color w:val="auto"/>
        </w:rPr>
        <w:t xml:space="preserve"> column primarily represent the change in the present value of the pension benefit for the NEO for the year reported and is not the amount that will be paid to the NEO. The table excludes the negative aggregate change in the present value in 2021 of the NEO’s accumulated benefits as follows: Mr. Mollard: (-$318,405); Mr. Possenriede: (-$559,382); Mr. St. John: (-$244,952); Mr. Ambrose: (-$596,586); Ms. Hill: (-$249,059); and Ms. Hewson: (-$3,537,850). This column also reports above-market earnings on compensation that was deferred before 2009 by the NEOs under the Interest Investment Option of our Deferred Management Incentive Compensation Plan as follows: for 2021: none; for 2020: Ms. Hewson $6,661 and Mr. Ambrose $2,144; and for 2019: Ms. Hewson $5,259 and Mr. Ambrose $1,693. See “Nonqualified Deferred Compensation” for additional information regarding above-market earnings.</w:t>
      </w:r>
    </w:p>
    <w:p>
      <w:pPr>
        <w:spacing w:after="0" w:line="23" w:lineRule="exact"/>
        <w:rPr>
          <w:rFonts w:ascii="Arial" w:cs="Arial" w:eastAsia="Arial" w:hAnsi="Arial"/>
          <w:sz w:val="9"/>
          <w:szCs w:val="9"/>
          <w:color w:val="auto"/>
        </w:rPr>
      </w:pPr>
    </w:p>
    <w:p>
      <w:pPr>
        <w:ind w:left="240" w:right="40" w:hanging="233"/>
        <w:spacing w:after="0" w:line="267" w:lineRule="auto"/>
        <w:tabs>
          <w:tab w:leader="none" w:pos="268" w:val="left"/>
        </w:tabs>
        <w:numPr>
          <w:ilvl w:val="0"/>
          <w:numId w:val="97"/>
        </w:numPr>
        <w:rPr>
          <w:rFonts w:ascii="Arial" w:cs="Arial" w:eastAsia="Arial" w:hAnsi="Arial"/>
          <w:sz w:val="9"/>
          <w:szCs w:val="9"/>
          <w:color w:val="auto"/>
        </w:rPr>
      </w:pPr>
      <w:r>
        <w:rPr>
          <w:rFonts w:ascii="Arial" w:cs="Arial" w:eastAsia="Arial" w:hAnsi="Arial"/>
          <w:sz w:val="14"/>
          <w:szCs w:val="14"/>
          <w:color w:val="auto"/>
        </w:rPr>
        <w:t xml:space="preserve">The amounts reported in the </w:t>
      </w:r>
      <w:r>
        <w:rPr>
          <w:rFonts w:ascii="Arial" w:cs="Arial" w:eastAsia="Arial" w:hAnsi="Arial"/>
          <w:sz w:val="14"/>
          <w:szCs w:val="14"/>
          <w:b w:val="1"/>
          <w:bCs w:val="1"/>
          <w:color w:val="auto"/>
        </w:rPr>
        <w:t>All Other Compensation</w:t>
      </w:r>
      <w:r>
        <w:rPr>
          <w:rFonts w:ascii="Arial" w:cs="Arial" w:eastAsia="Arial" w:hAnsi="Arial"/>
          <w:sz w:val="14"/>
          <w:szCs w:val="14"/>
          <w:color w:val="auto"/>
        </w:rPr>
        <w:t xml:space="preserve"> column represent perquisites and other personal benefits provided to the NEOs in 2021 including: security; relocation benefits (when applicable); annual executive physicals; home office support; use of corporate aircraft for personal travel and other related expenses; travel and other expenses for a family member accompanying the NEO while on business travel; and gifts for retirement or years of service milestones. Not all of the listed perquisites or personal benefits were provided to each NEO. In addition, the Company made available a company-provided car and driver for personal commuting to some of the NEOs in 2021 and may provide event tickets from time to time, but requires the NEOs to reimburse the Company for the incremental cost to the Company of such items. The cost of any category of the listed perquisites and personal benefits in 2021 did not exceed the greater of $25,000 or 10% of total perquisites and personal benefits for any NEO, except for: (i) security for Mr. Taiclet $99,526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236220</wp:posOffset>
            </wp:positionV>
            <wp:extent cx="963930" cy="2216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55</w:t>
      </w:r>
    </w:p>
    <w:p>
      <w:pPr>
        <w:sectPr>
          <w:pgSz w:w="11900" w:h="16838" w:orient="portrait"/>
          <w:cols w:equalWidth="0" w:num="1">
            <w:col w:w="11240"/>
          </w:cols>
          <w:pgMar w:left="320" w:top="254" w:right="339" w:bottom="1440" w:gutter="0" w:footer="0" w:header="0"/>
        </w:sectPr>
      </w:pPr>
    </w:p>
    <w:bookmarkStart w:id="61" w:name="page62"/>
    <w:bookmarkEnd w:id="61"/>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5" w:lineRule="exact"/>
        <w:rPr>
          <w:sz w:val="20"/>
          <w:szCs w:val="20"/>
          <w:color w:val="auto"/>
        </w:rPr>
      </w:pPr>
    </w:p>
    <w:p>
      <w:pPr>
        <w:ind w:left="240" w:right="40"/>
        <w:spacing w:after="0" w:line="262" w:lineRule="auto"/>
        <w:rPr>
          <w:sz w:val="20"/>
          <w:szCs w:val="20"/>
          <w:color w:val="auto"/>
        </w:rPr>
      </w:pPr>
      <w:r>
        <w:rPr>
          <w:rFonts w:ascii="Arial" w:cs="Arial" w:eastAsia="Arial" w:hAnsi="Arial"/>
          <w:sz w:val="14"/>
          <w:szCs w:val="14"/>
          <w:color w:val="auto"/>
        </w:rPr>
        <w:t>Ms. Hewson $54,205; (ii) personal use of the corporate aircraft for Mr. Taiclet $1,115,376; Mr. Mollard $53,485; Ms. Hewson $252,563; Mr. St. John $372,984; and Mr. Ambrose $38,625; and (iii) relocation expenses for Mr. Taiclet $72,296. The incremental cost for use of corporate aircraft for personal travel was calculated based on the total personal travel flight hours multiplied by the estimated hourly aircraft operating costs for 2021 (including fuel, maintenance, staff travel expenses, catering and other variable costs, but excluding fixed capital costs for the aircraft, hangar facilities, and staff salaries). Our Board has directed our CEO to use corporate aircraft for security reasons while on business and personal travel. For 2021, personal use of the corporate aircraft for Mr. Taiclet included $353,303 related to flights that were exclusively personal in nature. The remainder is the incremental cost of flights that had a personal benefit but were associated with a Lockheed Martin business purpose; which, in light of the COVID-19 pandemic, includes the incremental cost of travel to the Company’s headquarters for business purposes from an out-of-state residence of $241,365, the incremental cost of $316,071 for re-positioning, or “deadhead,” flights associated with these flights given the home base of the corporate aircraft and flight crew, and the incremental cost of $204,637 for flights related to Lockheed Martin business originating or ending in a location other than the Company’s headquarters, including any deadheads.</w:t>
      </w:r>
    </w:p>
    <w:p>
      <w:pPr>
        <w:spacing w:after="0" w:line="219" w:lineRule="exact"/>
        <w:rPr>
          <w:sz w:val="20"/>
          <w:szCs w:val="20"/>
          <w:color w:val="auto"/>
        </w:rPr>
      </w:pPr>
    </w:p>
    <w:p>
      <w:pPr>
        <w:ind w:left="240" w:right="80"/>
        <w:spacing w:after="0" w:line="268" w:lineRule="auto"/>
        <w:rPr>
          <w:sz w:val="20"/>
          <w:szCs w:val="20"/>
          <w:color w:val="auto"/>
        </w:rPr>
      </w:pPr>
      <w:r>
        <w:rPr>
          <w:rFonts w:ascii="Arial" w:cs="Arial" w:eastAsia="Arial" w:hAnsi="Arial"/>
          <w:sz w:val="14"/>
          <w:szCs w:val="14"/>
          <w:color w:val="auto"/>
        </w:rPr>
        <w:t>The incremental cost for personal security is calculated based on billings for services and equipment from third parties and for overtime and related expenses where the services are provided by the Company’s personnel. Given the nature of our business, additional security may be provided for travel in high-risk areas or to address particular situations. We believe that providing personal security in response to concerns arising out of employment by the Company is business-related.</w:t>
      </w:r>
    </w:p>
    <w:p>
      <w:pPr>
        <w:spacing w:after="0" w:line="38" w:lineRule="exact"/>
        <w:rPr>
          <w:sz w:val="20"/>
          <w:szCs w:val="20"/>
          <w:color w:val="auto"/>
        </w:rPr>
      </w:pPr>
    </w:p>
    <w:p>
      <w:pPr>
        <w:ind w:left="240" w:right="40"/>
        <w:spacing w:after="0" w:line="262" w:lineRule="auto"/>
        <w:rPr>
          <w:sz w:val="20"/>
          <w:szCs w:val="20"/>
          <w:color w:val="auto"/>
        </w:rPr>
      </w:pPr>
      <w:r>
        <w:rPr>
          <w:rFonts w:ascii="Arial" w:cs="Arial" w:eastAsia="Arial" w:hAnsi="Arial"/>
          <w:sz w:val="14"/>
          <w:szCs w:val="14"/>
          <w:color w:val="auto"/>
        </w:rPr>
        <w:t>In addition to perquisites, the amounts in this column include the items of compensation listed in the following table. All items are paid under broad-based programs for U.S. salaried employees except for tax assistance and the match or Company contributions to the Company’s nonqualified defined contribution plans (the Lockheed Martin Corporation Supplemental Savings Plan (NQSSP) and the Lockheed Martin Corporation Nonqualified Capital Accumulation Plan (NCAP)). Amounts under Matching Gift Programs include matching contributions made to eligible universities, colleges and other non-profit organizations under the Company’s matching gift programs generally available to all employees and include contributions to be made in 2022 to match 2021 executive contributions. Amounts under Company Contributions to Health Savings Accounts reflect the Company’s annual contribution to the health savings accounts of all employees who have a high-deductible health insurance plan and additional wellness incentives available to all enrolled employees and spouses for completing specific wellness actions. Amounts under Term Life Insurance Opt-Out Credit reflect cash payments made to NEOs who opt out of the Company’s broad-based employee term life insurance program, which option is available to all salaried employees of the Company. As permitted by the disclosure regulations, the premium cost for the NEOs’ participation in the Company’s broad-based employee term life insurance has not been included for 2021.</w:t>
      </w:r>
    </w:p>
    <w:p>
      <w:pPr>
        <w:spacing w:after="0" w:line="43" w:lineRule="exact"/>
        <w:rPr>
          <w:sz w:val="20"/>
          <w:szCs w:val="20"/>
          <w:color w:val="auto"/>
        </w:rPr>
      </w:pPr>
    </w:p>
    <w:p>
      <w:pPr>
        <w:ind w:left="240" w:right="80"/>
        <w:spacing w:after="0" w:line="263" w:lineRule="auto"/>
        <w:rPr>
          <w:sz w:val="20"/>
          <w:szCs w:val="20"/>
          <w:color w:val="auto"/>
        </w:rPr>
      </w:pPr>
      <w:r>
        <w:rPr>
          <w:rFonts w:ascii="Arial" w:cs="Arial" w:eastAsia="Arial" w:hAnsi="Arial"/>
          <w:sz w:val="14"/>
          <w:szCs w:val="14"/>
          <w:color w:val="auto"/>
        </w:rPr>
        <w:t>In 2021, the Company provided tax assistance on taxable security expenses, relocation related expenses, non-resident state income taxes incurred because of business travel, travel expenses for a family member accompanying the NEO on travel determined to be business travel for tax purposes and a retirement gift to Ms. Hewson. For Mr. Taiclet, the total tax assistance amount reported for 2021 included $59,391 associated with relocation expenses incurred pursuant to our relocation policy. For Ms. Hewson, the total tax assistance amount reported for 2021 included a $102,930 payment attributable to non-resident state income taxes which were incurred as a result of her business travel to a state other than her state of residence during the three year vesting period for long-term incentive awards that vested in 2021, $22,744 related to taxable security expense and $2,595 related to a taxable retirement gift.</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4"/>
          <w:szCs w:val="14"/>
          <w:color w:val="818EB4"/>
        </w:rPr>
        <w:t>Other Items of Compensation Included in “All Other Compensation” Column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540" w:type="dxa"/>
            <w:vAlign w:val="bottom"/>
            <w:shd w:val="clear" w:color="auto" w:fill="E5E7EF"/>
          </w:tcPr>
          <w:p>
            <w:pPr>
              <w:spacing w:after="0"/>
              <w:rPr>
                <w:sz w:val="14"/>
                <w:szCs w:val="14"/>
                <w:color w:val="auto"/>
              </w:rPr>
            </w:pPr>
          </w:p>
        </w:tc>
        <w:tc>
          <w:tcPr>
            <w:tcW w:w="1360" w:type="dxa"/>
            <w:vAlign w:val="bottom"/>
            <w:shd w:val="clear" w:color="auto" w:fill="E5E7EF"/>
          </w:tcPr>
          <w:p>
            <w:pPr>
              <w:spacing w:after="0"/>
              <w:rPr>
                <w:sz w:val="14"/>
                <w:szCs w:val="14"/>
                <w:color w:val="auto"/>
              </w:rPr>
            </w:pPr>
          </w:p>
        </w:tc>
        <w:tc>
          <w:tcPr>
            <w:tcW w:w="1420" w:type="dxa"/>
            <w:vAlign w:val="bottom"/>
            <w:shd w:val="clear" w:color="auto" w:fill="E5E7EF"/>
          </w:tcPr>
          <w:p>
            <w:pPr>
              <w:jc w:val="center"/>
              <w:ind w:left="492"/>
              <w:spacing w:after="0"/>
              <w:rPr>
                <w:sz w:val="20"/>
                <w:szCs w:val="20"/>
                <w:color w:val="auto"/>
              </w:rPr>
            </w:pPr>
            <w:r>
              <w:rPr>
                <w:rFonts w:ascii="Arial" w:cs="Arial" w:eastAsia="Arial" w:hAnsi="Arial"/>
                <w:sz w:val="13"/>
                <w:szCs w:val="13"/>
                <w:color w:val="auto"/>
                <w:w w:val="96"/>
              </w:rPr>
              <w:t>Company</w:t>
            </w:r>
          </w:p>
        </w:tc>
        <w:tc>
          <w:tcPr>
            <w:tcW w:w="1500" w:type="dxa"/>
            <w:vAlign w:val="bottom"/>
            <w:shd w:val="clear" w:color="auto" w:fill="E5E7EF"/>
          </w:tcPr>
          <w:p>
            <w:pPr>
              <w:jc w:val="right"/>
              <w:ind w:right="112"/>
              <w:spacing w:after="0"/>
              <w:rPr>
                <w:sz w:val="20"/>
                <w:szCs w:val="20"/>
                <w:color w:val="auto"/>
              </w:rPr>
            </w:pPr>
            <w:r>
              <w:rPr>
                <w:rFonts w:ascii="Arial" w:cs="Arial" w:eastAsia="Arial" w:hAnsi="Arial"/>
                <w:sz w:val="13"/>
                <w:szCs w:val="13"/>
                <w:color w:val="auto"/>
              </w:rPr>
              <w:t>Company</w:t>
            </w:r>
          </w:p>
        </w:tc>
        <w:tc>
          <w:tcPr>
            <w:tcW w:w="1220" w:type="dxa"/>
            <w:vAlign w:val="bottom"/>
            <w:shd w:val="clear" w:color="auto" w:fill="E5E7EF"/>
          </w:tcPr>
          <w:p>
            <w:pPr>
              <w:jc w:val="right"/>
              <w:ind w:right="92"/>
              <w:spacing w:after="0"/>
              <w:rPr>
                <w:sz w:val="20"/>
                <w:szCs w:val="20"/>
                <w:color w:val="auto"/>
              </w:rPr>
            </w:pPr>
            <w:r>
              <w:rPr>
                <w:rFonts w:ascii="Arial" w:cs="Arial" w:eastAsia="Arial" w:hAnsi="Arial"/>
                <w:sz w:val="13"/>
                <w:szCs w:val="13"/>
                <w:color w:val="auto"/>
              </w:rPr>
              <w:t>Company</w:t>
            </w:r>
          </w:p>
        </w:tc>
        <w:tc>
          <w:tcPr>
            <w:tcW w:w="1200" w:type="dxa"/>
            <w:vAlign w:val="bottom"/>
            <w:shd w:val="clear" w:color="auto" w:fill="E5E7EF"/>
          </w:tcPr>
          <w:p>
            <w:pPr>
              <w:spacing w:after="0"/>
              <w:rPr>
                <w:sz w:val="14"/>
                <w:szCs w:val="14"/>
                <w:color w:val="auto"/>
              </w:rPr>
            </w:pPr>
          </w:p>
        </w:tc>
        <w:tc>
          <w:tcPr>
            <w:tcW w:w="1000" w:type="dxa"/>
            <w:vAlign w:val="bottom"/>
            <w:shd w:val="clear" w:color="auto" w:fill="E5E7EF"/>
          </w:tcPr>
          <w:p>
            <w:pPr>
              <w:spacing w:after="0"/>
              <w:rPr>
                <w:sz w:val="14"/>
                <w:szCs w:val="14"/>
                <w:color w:val="auto"/>
              </w:rPr>
            </w:pPr>
          </w:p>
        </w:tc>
      </w:tr>
      <w:tr>
        <w:trPr>
          <w:trHeight w:val="148"/>
        </w:trPr>
        <w:tc>
          <w:tcPr>
            <w:tcW w:w="3540" w:type="dxa"/>
            <w:vAlign w:val="bottom"/>
            <w:shd w:val="clear" w:color="auto" w:fill="E5E7EF"/>
          </w:tcPr>
          <w:p>
            <w:pPr>
              <w:spacing w:after="0"/>
              <w:rPr>
                <w:sz w:val="12"/>
                <w:szCs w:val="12"/>
                <w:color w:val="auto"/>
              </w:rPr>
            </w:pPr>
          </w:p>
        </w:tc>
        <w:tc>
          <w:tcPr>
            <w:tcW w:w="1360" w:type="dxa"/>
            <w:vAlign w:val="bottom"/>
            <w:shd w:val="clear" w:color="auto" w:fill="E5E7EF"/>
          </w:tcPr>
          <w:p>
            <w:pPr>
              <w:jc w:val="right"/>
              <w:ind w:right="152"/>
              <w:spacing w:after="0" w:line="148" w:lineRule="exact"/>
              <w:rPr>
                <w:sz w:val="20"/>
                <w:szCs w:val="20"/>
                <w:color w:val="auto"/>
              </w:rPr>
            </w:pPr>
            <w:r>
              <w:rPr>
                <w:rFonts w:ascii="Arial" w:cs="Arial" w:eastAsia="Arial" w:hAnsi="Arial"/>
                <w:sz w:val="13"/>
                <w:szCs w:val="13"/>
                <w:color w:val="auto"/>
              </w:rPr>
              <w:t>Tax Assistance</w:t>
            </w:r>
          </w:p>
        </w:tc>
        <w:tc>
          <w:tcPr>
            <w:tcW w:w="1420" w:type="dxa"/>
            <w:vAlign w:val="bottom"/>
            <w:shd w:val="clear" w:color="auto" w:fill="E5E7EF"/>
          </w:tcPr>
          <w:p>
            <w:pPr>
              <w:jc w:val="right"/>
              <w:ind w:right="92"/>
              <w:spacing w:after="0" w:line="148" w:lineRule="exact"/>
              <w:rPr>
                <w:sz w:val="20"/>
                <w:szCs w:val="20"/>
                <w:color w:val="auto"/>
              </w:rPr>
            </w:pPr>
            <w:r>
              <w:rPr>
                <w:rFonts w:ascii="Arial" w:cs="Arial" w:eastAsia="Arial" w:hAnsi="Arial"/>
                <w:sz w:val="13"/>
                <w:szCs w:val="13"/>
                <w:color w:val="auto"/>
              </w:rPr>
              <w:t>Contributions to</w:t>
            </w:r>
          </w:p>
        </w:tc>
        <w:tc>
          <w:tcPr>
            <w:tcW w:w="1500" w:type="dxa"/>
            <w:vAlign w:val="bottom"/>
            <w:shd w:val="clear" w:color="auto" w:fill="E5E7EF"/>
          </w:tcPr>
          <w:p>
            <w:pPr>
              <w:jc w:val="right"/>
              <w:ind w:right="112"/>
              <w:spacing w:after="0" w:line="148" w:lineRule="exact"/>
              <w:rPr>
                <w:sz w:val="20"/>
                <w:szCs w:val="20"/>
                <w:color w:val="auto"/>
              </w:rPr>
            </w:pPr>
            <w:r>
              <w:rPr>
                <w:rFonts w:ascii="Arial" w:cs="Arial" w:eastAsia="Arial" w:hAnsi="Arial"/>
                <w:sz w:val="13"/>
                <w:szCs w:val="13"/>
                <w:color w:val="auto"/>
              </w:rPr>
              <w:t>Contributions to</w:t>
            </w:r>
          </w:p>
        </w:tc>
        <w:tc>
          <w:tcPr>
            <w:tcW w:w="1220" w:type="dxa"/>
            <w:vAlign w:val="bottom"/>
            <w:shd w:val="clear" w:color="auto" w:fill="E5E7EF"/>
          </w:tcPr>
          <w:p>
            <w:pPr>
              <w:jc w:val="right"/>
              <w:ind w:right="92"/>
              <w:spacing w:after="0" w:line="148" w:lineRule="exact"/>
              <w:rPr>
                <w:sz w:val="20"/>
                <w:szCs w:val="20"/>
                <w:color w:val="auto"/>
              </w:rPr>
            </w:pPr>
            <w:r>
              <w:rPr>
                <w:rFonts w:ascii="Arial" w:cs="Arial" w:eastAsia="Arial" w:hAnsi="Arial"/>
                <w:sz w:val="13"/>
                <w:szCs w:val="13"/>
                <w:color w:val="auto"/>
              </w:rPr>
              <w:t>Contributions to</w:t>
            </w:r>
          </w:p>
        </w:tc>
        <w:tc>
          <w:tcPr>
            <w:tcW w:w="1200" w:type="dxa"/>
            <w:vAlign w:val="bottom"/>
            <w:shd w:val="clear" w:color="auto" w:fill="E5E7EF"/>
          </w:tcPr>
          <w:p>
            <w:pPr>
              <w:jc w:val="right"/>
              <w:ind w:right="152"/>
              <w:spacing w:after="0" w:line="148" w:lineRule="exact"/>
              <w:rPr>
                <w:sz w:val="20"/>
                <w:szCs w:val="20"/>
                <w:color w:val="auto"/>
              </w:rPr>
            </w:pPr>
            <w:r>
              <w:rPr>
                <w:rFonts w:ascii="Arial" w:cs="Arial" w:eastAsia="Arial" w:hAnsi="Arial"/>
                <w:sz w:val="13"/>
                <w:szCs w:val="13"/>
                <w:color w:val="auto"/>
              </w:rPr>
              <w:t>Term Life</w:t>
            </w:r>
          </w:p>
        </w:tc>
        <w:tc>
          <w:tcPr>
            <w:tcW w:w="1000" w:type="dxa"/>
            <w:vAlign w:val="bottom"/>
            <w:shd w:val="clear" w:color="auto" w:fill="E5E7EF"/>
          </w:tcPr>
          <w:p>
            <w:pPr>
              <w:spacing w:after="0"/>
              <w:rPr>
                <w:sz w:val="12"/>
                <w:szCs w:val="12"/>
                <w:color w:val="auto"/>
              </w:rPr>
            </w:pPr>
          </w:p>
        </w:tc>
      </w:tr>
      <w:tr>
        <w:trPr>
          <w:trHeight w:val="148"/>
        </w:trPr>
        <w:tc>
          <w:tcPr>
            <w:tcW w:w="3540" w:type="dxa"/>
            <w:vAlign w:val="bottom"/>
            <w:shd w:val="clear" w:color="auto" w:fill="E5E7EF"/>
          </w:tcPr>
          <w:p>
            <w:pPr>
              <w:spacing w:after="0"/>
              <w:rPr>
                <w:sz w:val="12"/>
                <w:szCs w:val="12"/>
                <w:color w:val="auto"/>
              </w:rPr>
            </w:pPr>
          </w:p>
        </w:tc>
        <w:tc>
          <w:tcPr>
            <w:tcW w:w="1360" w:type="dxa"/>
            <w:vAlign w:val="bottom"/>
            <w:shd w:val="clear" w:color="auto" w:fill="E5E7EF"/>
          </w:tcPr>
          <w:p>
            <w:pPr>
              <w:jc w:val="right"/>
              <w:ind w:right="152"/>
              <w:spacing w:after="0" w:line="148" w:lineRule="exact"/>
              <w:rPr>
                <w:sz w:val="20"/>
                <w:szCs w:val="20"/>
                <w:color w:val="auto"/>
              </w:rPr>
            </w:pPr>
            <w:r>
              <w:rPr>
                <w:rFonts w:ascii="Arial" w:cs="Arial" w:eastAsia="Arial" w:hAnsi="Arial"/>
                <w:sz w:val="13"/>
                <w:szCs w:val="13"/>
                <w:color w:val="auto"/>
              </w:rPr>
              <w:t>for Business-</w:t>
            </w:r>
          </w:p>
        </w:tc>
        <w:tc>
          <w:tcPr>
            <w:tcW w:w="1420" w:type="dxa"/>
            <w:vAlign w:val="bottom"/>
            <w:shd w:val="clear" w:color="auto" w:fill="E5E7EF"/>
          </w:tcPr>
          <w:p>
            <w:pPr>
              <w:jc w:val="right"/>
              <w:ind w:right="92"/>
              <w:spacing w:after="0" w:line="148" w:lineRule="exact"/>
              <w:rPr>
                <w:sz w:val="20"/>
                <w:szCs w:val="20"/>
                <w:color w:val="auto"/>
              </w:rPr>
            </w:pPr>
            <w:r>
              <w:rPr>
                <w:rFonts w:ascii="Arial" w:cs="Arial" w:eastAsia="Arial" w:hAnsi="Arial"/>
                <w:sz w:val="13"/>
                <w:szCs w:val="13"/>
                <w:color w:val="auto"/>
              </w:rPr>
              <w:t>Qualified Defined</w:t>
            </w:r>
          </w:p>
        </w:tc>
        <w:tc>
          <w:tcPr>
            <w:tcW w:w="1500" w:type="dxa"/>
            <w:vAlign w:val="bottom"/>
            <w:shd w:val="clear" w:color="auto" w:fill="E5E7EF"/>
          </w:tcPr>
          <w:p>
            <w:pPr>
              <w:jc w:val="right"/>
              <w:ind w:right="112"/>
              <w:spacing w:after="0" w:line="148" w:lineRule="exact"/>
              <w:rPr>
                <w:sz w:val="20"/>
                <w:szCs w:val="20"/>
                <w:color w:val="auto"/>
              </w:rPr>
            </w:pPr>
            <w:r>
              <w:rPr>
                <w:rFonts w:ascii="Arial" w:cs="Arial" w:eastAsia="Arial" w:hAnsi="Arial"/>
                <w:sz w:val="13"/>
                <w:szCs w:val="13"/>
                <w:color w:val="auto"/>
              </w:rPr>
              <w:t>Nonqualified Defined</w:t>
            </w:r>
          </w:p>
        </w:tc>
        <w:tc>
          <w:tcPr>
            <w:tcW w:w="1220" w:type="dxa"/>
            <w:vAlign w:val="bottom"/>
            <w:shd w:val="clear" w:color="auto" w:fill="E5E7EF"/>
          </w:tcPr>
          <w:p>
            <w:pPr>
              <w:jc w:val="right"/>
              <w:ind w:right="92"/>
              <w:spacing w:after="0" w:line="148" w:lineRule="exact"/>
              <w:rPr>
                <w:sz w:val="20"/>
                <w:szCs w:val="20"/>
                <w:color w:val="auto"/>
              </w:rPr>
            </w:pPr>
            <w:r>
              <w:rPr>
                <w:rFonts w:ascii="Arial" w:cs="Arial" w:eastAsia="Arial" w:hAnsi="Arial"/>
                <w:sz w:val="13"/>
                <w:szCs w:val="13"/>
                <w:color w:val="auto"/>
              </w:rPr>
              <w:t>Health Savings</w:t>
            </w:r>
          </w:p>
        </w:tc>
        <w:tc>
          <w:tcPr>
            <w:tcW w:w="1200" w:type="dxa"/>
            <w:vAlign w:val="bottom"/>
            <w:shd w:val="clear" w:color="auto" w:fill="E5E7EF"/>
          </w:tcPr>
          <w:p>
            <w:pPr>
              <w:jc w:val="right"/>
              <w:ind w:right="152"/>
              <w:spacing w:after="0" w:line="148" w:lineRule="exact"/>
              <w:rPr>
                <w:sz w:val="20"/>
                <w:szCs w:val="20"/>
                <w:color w:val="auto"/>
              </w:rPr>
            </w:pPr>
            <w:r>
              <w:rPr>
                <w:rFonts w:ascii="Arial" w:cs="Arial" w:eastAsia="Arial" w:hAnsi="Arial"/>
                <w:sz w:val="13"/>
                <w:szCs w:val="13"/>
                <w:color w:val="auto"/>
              </w:rPr>
              <w:t>Insurance</w:t>
            </w:r>
          </w:p>
        </w:tc>
        <w:tc>
          <w:tcPr>
            <w:tcW w:w="1000" w:type="dxa"/>
            <w:vAlign w:val="bottom"/>
            <w:shd w:val="clear" w:color="auto" w:fill="E5E7EF"/>
          </w:tcPr>
          <w:p>
            <w:pPr>
              <w:jc w:val="right"/>
              <w:spacing w:after="0" w:line="148" w:lineRule="exact"/>
              <w:rPr>
                <w:sz w:val="20"/>
                <w:szCs w:val="20"/>
                <w:color w:val="auto"/>
              </w:rPr>
            </w:pPr>
            <w:r>
              <w:rPr>
                <w:rFonts w:ascii="Arial" w:cs="Arial" w:eastAsia="Arial" w:hAnsi="Arial"/>
                <w:sz w:val="13"/>
                <w:szCs w:val="13"/>
                <w:color w:val="auto"/>
              </w:rPr>
              <w:t>Matching Gift</w:t>
            </w:r>
          </w:p>
        </w:tc>
      </w:tr>
      <w:tr>
        <w:trPr>
          <w:trHeight w:val="149"/>
        </w:trPr>
        <w:tc>
          <w:tcPr>
            <w:tcW w:w="3540" w:type="dxa"/>
            <w:vAlign w:val="bottom"/>
            <w:shd w:val="clear" w:color="auto" w:fill="E5E7EF"/>
          </w:tcPr>
          <w:p>
            <w:pPr>
              <w:spacing w:after="0"/>
              <w:rPr>
                <w:sz w:val="12"/>
                <w:szCs w:val="12"/>
                <w:color w:val="auto"/>
              </w:rPr>
            </w:pPr>
          </w:p>
        </w:tc>
        <w:tc>
          <w:tcPr>
            <w:tcW w:w="1360" w:type="dxa"/>
            <w:vAlign w:val="bottom"/>
            <w:shd w:val="clear" w:color="auto" w:fill="E5E7EF"/>
          </w:tcPr>
          <w:p>
            <w:pPr>
              <w:jc w:val="right"/>
              <w:ind w:right="152"/>
              <w:spacing w:after="0"/>
              <w:rPr>
                <w:sz w:val="20"/>
                <w:szCs w:val="20"/>
                <w:color w:val="auto"/>
              </w:rPr>
            </w:pPr>
            <w:r>
              <w:rPr>
                <w:rFonts w:ascii="Arial" w:cs="Arial" w:eastAsia="Arial" w:hAnsi="Arial"/>
                <w:sz w:val="13"/>
                <w:szCs w:val="13"/>
                <w:color w:val="auto"/>
              </w:rPr>
              <w:t>Related Items</w:t>
            </w:r>
          </w:p>
        </w:tc>
        <w:tc>
          <w:tcPr>
            <w:tcW w:w="1420" w:type="dxa"/>
            <w:vAlign w:val="bottom"/>
            <w:shd w:val="clear" w:color="auto" w:fill="E5E7EF"/>
          </w:tcPr>
          <w:p>
            <w:pPr>
              <w:jc w:val="right"/>
              <w:ind w:right="92"/>
              <w:spacing w:after="0"/>
              <w:rPr>
                <w:sz w:val="20"/>
                <w:szCs w:val="20"/>
                <w:color w:val="auto"/>
              </w:rPr>
            </w:pPr>
            <w:r>
              <w:rPr>
                <w:rFonts w:ascii="Arial" w:cs="Arial" w:eastAsia="Arial" w:hAnsi="Arial"/>
                <w:sz w:val="13"/>
                <w:szCs w:val="13"/>
                <w:color w:val="auto"/>
              </w:rPr>
              <w:t>Contribution Plans</w:t>
            </w:r>
          </w:p>
        </w:tc>
        <w:tc>
          <w:tcPr>
            <w:tcW w:w="1500" w:type="dxa"/>
            <w:vAlign w:val="bottom"/>
            <w:shd w:val="clear" w:color="auto" w:fill="E5E7EF"/>
          </w:tcPr>
          <w:p>
            <w:pPr>
              <w:jc w:val="right"/>
              <w:ind w:right="112"/>
              <w:spacing w:after="0"/>
              <w:rPr>
                <w:sz w:val="20"/>
                <w:szCs w:val="20"/>
                <w:color w:val="auto"/>
              </w:rPr>
            </w:pPr>
            <w:r>
              <w:rPr>
                <w:rFonts w:ascii="Arial" w:cs="Arial" w:eastAsia="Arial" w:hAnsi="Arial"/>
                <w:sz w:val="13"/>
                <w:szCs w:val="13"/>
                <w:color w:val="auto"/>
              </w:rPr>
              <w:t>Contribution Plans</w:t>
            </w:r>
          </w:p>
        </w:tc>
        <w:tc>
          <w:tcPr>
            <w:tcW w:w="1220" w:type="dxa"/>
            <w:vAlign w:val="bottom"/>
            <w:shd w:val="clear" w:color="auto" w:fill="E5E7EF"/>
          </w:tcPr>
          <w:p>
            <w:pPr>
              <w:jc w:val="right"/>
              <w:ind w:right="92"/>
              <w:spacing w:after="0"/>
              <w:rPr>
                <w:sz w:val="20"/>
                <w:szCs w:val="20"/>
                <w:color w:val="auto"/>
              </w:rPr>
            </w:pPr>
            <w:r>
              <w:rPr>
                <w:rFonts w:ascii="Arial" w:cs="Arial" w:eastAsia="Arial" w:hAnsi="Arial"/>
                <w:sz w:val="13"/>
                <w:szCs w:val="13"/>
                <w:color w:val="auto"/>
              </w:rPr>
              <w:t>Accounts</w:t>
            </w:r>
          </w:p>
        </w:tc>
        <w:tc>
          <w:tcPr>
            <w:tcW w:w="1200" w:type="dxa"/>
            <w:vAlign w:val="bottom"/>
            <w:shd w:val="clear" w:color="auto" w:fill="E5E7EF"/>
          </w:tcPr>
          <w:p>
            <w:pPr>
              <w:jc w:val="right"/>
              <w:ind w:right="152"/>
              <w:spacing w:after="0"/>
              <w:rPr>
                <w:sz w:val="20"/>
                <w:szCs w:val="20"/>
                <w:color w:val="auto"/>
              </w:rPr>
            </w:pPr>
            <w:r>
              <w:rPr>
                <w:rFonts w:ascii="Arial" w:cs="Arial" w:eastAsia="Arial" w:hAnsi="Arial"/>
                <w:sz w:val="13"/>
                <w:szCs w:val="13"/>
                <w:color w:val="auto"/>
              </w:rPr>
              <w:t>Opt-Out Credit</w:t>
            </w:r>
          </w:p>
        </w:tc>
        <w:tc>
          <w:tcPr>
            <w:tcW w:w="1000" w:type="dxa"/>
            <w:vAlign w:val="bottom"/>
            <w:shd w:val="clear" w:color="auto" w:fill="E5E7EF"/>
          </w:tcPr>
          <w:p>
            <w:pPr>
              <w:jc w:val="right"/>
              <w:spacing w:after="0"/>
              <w:rPr>
                <w:sz w:val="20"/>
                <w:szCs w:val="20"/>
                <w:color w:val="auto"/>
              </w:rPr>
            </w:pPr>
            <w:r>
              <w:rPr>
                <w:rFonts w:ascii="Arial" w:cs="Arial" w:eastAsia="Arial" w:hAnsi="Arial"/>
                <w:sz w:val="13"/>
                <w:szCs w:val="13"/>
                <w:color w:val="auto"/>
              </w:rPr>
              <w:t>Programs</w:t>
            </w:r>
          </w:p>
        </w:tc>
      </w:tr>
      <w:tr>
        <w:trPr>
          <w:trHeight w:val="238"/>
        </w:trPr>
        <w:tc>
          <w:tcPr>
            <w:tcW w:w="354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Name</w:t>
            </w:r>
          </w:p>
        </w:tc>
        <w:tc>
          <w:tcPr>
            <w:tcW w:w="1360" w:type="dxa"/>
            <w:vAlign w:val="bottom"/>
            <w:tcBorders>
              <w:bottom w:val="single" w:sz="8" w:color="E5E7EF"/>
            </w:tcBorders>
            <w:shd w:val="clear" w:color="auto" w:fill="E5E7EF"/>
          </w:tcPr>
          <w:p>
            <w:pPr>
              <w:jc w:val="right"/>
              <w:ind w:right="152"/>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E5E7EF"/>
            </w:tcBorders>
            <w:shd w:val="clear" w:color="auto" w:fill="E5E7EF"/>
          </w:tcPr>
          <w:p>
            <w:pPr>
              <w:jc w:val="right"/>
              <w:ind w:right="92"/>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E5E7EF"/>
            </w:tcBorders>
            <w:shd w:val="clear" w:color="auto" w:fill="E5E7EF"/>
          </w:tcPr>
          <w:p>
            <w:pPr>
              <w:jc w:val="right"/>
              <w:ind w:right="112"/>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E5E7EF"/>
            </w:tcBorders>
            <w:shd w:val="clear" w:color="auto" w:fill="E5E7EF"/>
          </w:tcPr>
          <w:p>
            <w:pPr>
              <w:jc w:val="right"/>
              <w:ind w:right="92"/>
              <w:spacing w:after="0"/>
              <w:rPr>
                <w:sz w:val="20"/>
                <w:szCs w:val="20"/>
                <w:color w:val="auto"/>
              </w:rPr>
            </w:pPr>
            <w:r>
              <w:rPr>
                <w:rFonts w:ascii="Arial" w:cs="Arial" w:eastAsia="Arial" w:hAnsi="Arial"/>
                <w:sz w:val="13"/>
                <w:szCs w:val="13"/>
                <w:color w:val="auto"/>
              </w:rPr>
              <w:t>($)</w:t>
            </w:r>
          </w:p>
        </w:tc>
        <w:tc>
          <w:tcPr>
            <w:tcW w:w="1200" w:type="dxa"/>
            <w:vAlign w:val="bottom"/>
            <w:tcBorders>
              <w:bottom w:val="single" w:sz="8" w:color="E5E7EF"/>
            </w:tcBorders>
            <w:shd w:val="clear" w:color="auto" w:fill="E5E7EF"/>
          </w:tcPr>
          <w:p>
            <w:pPr>
              <w:jc w:val="right"/>
              <w:ind w:right="152"/>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3540" w:type="dxa"/>
            <w:vAlign w:val="bottom"/>
            <w:tcBorders>
              <w:top w:val="single" w:sz="8" w:color="002E6D"/>
              <w:bottom w:val="single" w:sz="8" w:color="939598"/>
            </w:tcBorders>
          </w:tcPr>
          <w:p>
            <w:pPr>
              <w:ind w:left="20"/>
              <w:spacing w:after="0"/>
              <w:rPr>
                <w:sz w:val="20"/>
                <w:szCs w:val="20"/>
                <w:color w:val="auto"/>
              </w:rPr>
            </w:pPr>
            <w:r>
              <w:rPr>
                <w:rFonts w:ascii="Arial" w:cs="Arial" w:eastAsia="Arial" w:hAnsi="Arial"/>
                <w:sz w:val="14"/>
                <w:szCs w:val="14"/>
                <w:b w:val="1"/>
                <w:bCs w:val="1"/>
                <w:color w:val="002E6D"/>
              </w:rPr>
              <w:t>Mr. Taiclet</w:t>
            </w:r>
          </w:p>
        </w:tc>
        <w:tc>
          <w:tcPr>
            <w:tcW w:w="1360" w:type="dxa"/>
            <w:vAlign w:val="bottom"/>
            <w:tcBorders>
              <w:top w:val="single" w:sz="8" w:color="002E6D"/>
              <w:bottom w:val="single" w:sz="8" w:color="939598"/>
            </w:tcBorders>
          </w:tcPr>
          <w:p>
            <w:pPr>
              <w:jc w:val="right"/>
              <w:ind w:right="152"/>
              <w:spacing w:after="0"/>
              <w:rPr>
                <w:sz w:val="20"/>
                <w:szCs w:val="20"/>
                <w:color w:val="auto"/>
              </w:rPr>
            </w:pPr>
            <w:r>
              <w:rPr>
                <w:rFonts w:ascii="Arial" w:cs="Arial" w:eastAsia="Arial" w:hAnsi="Arial"/>
                <w:sz w:val="14"/>
                <w:szCs w:val="14"/>
                <w:color w:val="auto"/>
              </w:rPr>
              <w:t>72,015</w:t>
            </w:r>
          </w:p>
        </w:tc>
        <w:tc>
          <w:tcPr>
            <w:tcW w:w="1420" w:type="dxa"/>
            <w:vAlign w:val="bottom"/>
            <w:tcBorders>
              <w:top w:val="single" w:sz="8" w:color="002E6D"/>
              <w:bottom w:val="single" w:sz="8" w:color="939598"/>
            </w:tcBorders>
          </w:tcPr>
          <w:p>
            <w:pPr>
              <w:jc w:val="center"/>
              <w:ind w:left="492"/>
              <w:spacing w:after="0"/>
              <w:rPr>
                <w:sz w:val="20"/>
                <w:szCs w:val="20"/>
                <w:color w:val="auto"/>
              </w:rPr>
            </w:pPr>
            <w:r>
              <w:rPr>
                <w:rFonts w:ascii="Arial" w:cs="Arial" w:eastAsia="Arial" w:hAnsi="Arial"/>
                <w:sz w:val="14"/>
                <w:szCs w:val="14"/>
                <w:color w:val="auto"/>
                <w:w w:val="97"/>
              </w:rPr>
              <w:t>20,650</w:t>
            </w:r>
          </w:p>
        </w:tc>
        <w:tc>
          <w:tcPr>
            <w:tcW w:w="1500" w:type="dxa"/>
            <w:vAlign w:val="bottom"/>
            <w:tcBorders>
              <w:top w:val="single" w:sz="8" w:color="002E6D"/>
              <w:bottom w:val="single" w:sz="8" w:color="939598"/>
            </w:tcBorders>
          </w:tcPr>
          <w:p>
            <w:pPr>
              <w:jc w:val="right"/>
              <w:ind w:right="112"/>
              <w:spacing w:after="0"/>
              <w:rPr>
                <w:sz w:val="20"/>
                <w:szCs w:val="20"/>
                <w:color w:val="auto"/>
              </w:rPr>
            </w:pPr>
            <w:r>
              <w:rPr>
                <w:rFonts w:ascii="Arial" w:cs="Arial" w:eastAsia="Arial" w:hAnsi="Arial"/>
                <w:sz w:val="14"/>
                <w:szCs w:val="14"/>
                <w:color w:val="auto"/>
              </w:rPr>
              <w:t>155,529</w:t>
            </w:r>
          </w:p>
        </w:tc>
        <w:tc>
          <w:tcPr>
            <w:tcW w:w="1220" w:type="dxa"/>
            <w:vAlign w:val="bottom"/>
            <w:tcBorders>
              <w:top w:val="single" w:sz="8" w:color="002E6D"/>
              <w:bottom w:val="single" w:sz="8" w:color="939598"/>
            </w:tcBorders>
          </w:tcPr>
          <w:p>
            <w:pPr>
              <w:jc w:val="right"/>
              <w:ind w:right="92"/>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002E6D"/>
              <w:bottom w:val="single" w:sz="8" w:color="939598"/>
            </w:tcBorders>
          </w:tcPr>
          <w:p>
            <w:pPr>
              <w:jc w:val="right"/>
              <w:ind w:right="212"/>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002E6D"/>
              <w:bottom w:val="single" w:sz="8" w:color="939598"/>
            </w:tcBorders>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354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2E6D"/>
              </w:rPr>
              <w:t>Mr. Mollard</w:t>
            </w:r>
          </w:p>
        </w:tc>
        <w:tc>
          <w:tcPr>
            <w:tcW w:w="1360" w:type="dxa"/>
            <w:vAlign w:val="bottom"/>
            <w:tcBorders>
              <w:bottom w:val="single" w:sz="8" w:color="939598"/>
            </w:tcBorders>
          </w:tcPr>
          <w:p>
            <w:pPr>
              <w:jc w:val="right"/>
              <w:ind w:right="152"/>
              <w:spacing w:after="0"/>
              <w:rPr>
                <w:sz w:val="20"/>
                <w:szCs w:val="20"/>
                <w:color w:val="auto"/>
              </w:rPr>
            </w:pPr>
            <w:r>
              <w:rPr>
                <w:rFonts w:ascii="Arial" w:cs="Arial" w:eastAsia="Arial" w:hAnsi="Arial"/>
                <w:sz w:val="14"/>
                <w:szCs w:val="14"/>
                <w:color w:val="auto"/>
              </w:rPr>
              <w:t>560</w:t>
            </w:r>
          </w:p>
        </w:tc>
        <w:tc>
          <w:tcPr>
            <w:tcW w:w="1420" w:type="dxa"/>
            <w:vAlign w:val="bottom"/>
            <w:tcBorders>
              <w:bottom w:val="single" w:sz="8" w:color="939598"/>
            </w:tcBorders>
          </w:tcPr>
          <w:p>
            <w:pPr>
              <w:jc w:val="center"/>
              <w:ind w:left="492"/>
              <w:spacing w:after="0"/>
              <w:rPr>
                <w:sz w:val="20"/>
                <w:szCs w:val="20"/>
                <w:color w:val="auto"/>
              </w:rPr>
            </w:pPr>
            <w:r>
              <w:rPr>
                <w:rFonts w:ascii="Arial" w:cs="Arial" w:eastAsia="Arial" w:hAnsi="Arial"/>
                <w:sz w:val="14"/>
                <w:szCs w:val="14"/>
                <w:color w:val="auto"/>
                <w:w w:val="97"/>
              </w:rPr>
              <w:t>20,650</w:t>
            </w:r>
          </w:p>
        </w:tc>
        <w:tc>
          <w:tcPr>
            <w:tcW w:w="1500" w:type="dxa"/>
            <w:vAlign w:val="bottom"/>
            <w:tcBorders>
              <w:bottom w:val="single" w:sz="8" w:color="939598"/>
            </w:tcBorders>
          </w:tcPr>
          <w:p>
            <w:pPr>
              <w:jc w:val="right"/>
              <w:ind w:right="112"/>
              <w:spacing w:after="0"/>
              <w:rPr>
                <w:sz w:val="20"/>
                <w:szCs w:val="20"/>
                <w:color w:val="auto"/>
              </w:rPr>
            </w:pPr>
            <w:r>
              <w:rPr>
                <w:rFonts w:ascii="Arial" w:cs="Arial" w:eastAsia="Arial" w:hAnsi="Arial"/>
                <w:sz w:val="14"/>
                <w:szCs w:val="14"/>
                <w:color w:val="auto"/>
              </w:rPr>
              <w:t>29,322</w:t>
            </w:r>
          </w:p>
        </w:tc>
        <w:tc>
          <w:tcPr>
            <w:tcW w:w="1220" w:type="dxa"/>
            <w:vAlign w:val="bottom"/>
            <w:tcBorders>
              <w:bottom w:val="single" w:sz="8" w:color="939598"/>
            </w:tcBorders>
          </w:tcPr>
          <w:p>
            <w:pPr>
              <w:jc w:val="right"/>
              <w:ind w:right="92"/>
              <w:spacing w:after="0"/>
              <w:rPr>
                <w:sz w:val="20"/>
                <w:szCs w:val="20"/>
                <w:color w:val="auto"/>
              </w:rPr>
            </w:pPr>
            <w:r>
              <w:rPr>
                <w:rFonts w:ascii="Arial" w:cs="Arial" w:eastAsia="Arial" w:hAnsi="Arial"/>
                <w:sz w:val="14"/>
                <w:szCs w:val="14"/>
                <w:color w:val="auto"/>
              </w:rPr>
              <w:t>1,100</w:t>
            </w:r>
          </w:p>
        </w:tc>
        <w:tc>
          <w:tcPr>
            <w:tcW w:w="1200" w:type="dxa"/>
            <w:vAlign w:val="bottom"/>
            <w:tcBorders>
              <w:bottom w:val="single" w:sz="8" w:color="939598"/>
            </w:tcBorders>
          </w:tcPr>
          <w:p>
            <w:pPr>
              <w:jc w:val="right"/>
              <w:ind w:right="212"/>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11,000</w:t>
            </w:r>
          </w:p>
        </w:tc>
      </w:tr>
      <w:tr>
        <w:trPr>
          <w:trHeight w:val="182"/>
        </w:trPr>
        <w:tc>
          <w:tcPr>
            <w:tcW w:w="354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2E6D"/>
              </w:rPr>
              <w:t>Mr. Possenriede</w:t>
            </w:r>
          </w:p>
        </w:tc>
        <w:tc>
          <w:tcPr>
            <w:tcW w:w="1360" w:type="dxa"/>
            <w:vAlign w:val="bottom"/>
            <w:tcBorders>
              <w:bottom w:val="single" w:sz="8" w:color="939598"/>
            </w:tcBorders>
          </w:tcPr>
          <w:p>
            <w:pPr>
              <w:jc w:val="right"/>
              <w:ind w:right="152"/>
              <w:spacing w:after="0"/>
              <w:rPr>
                <w:sz w:val="20"/>
                <w:szCs w:val="20"/>
                <w:color w:val="auto"/>
              </w:rPr>
            </w:pPr>
            <w:r>
              <w:rPr>
                <w:rFonts w:ascii="Arial" w:cs="Arial" w:eastAsia="Arial" w:hAnsi="Arial"/>
                <w:sz w:val="14"/>
                <w:szCs w:val="14"/>
                <w:color w:val="auto"/>
              </w:rPr>
              <w:t>819</w:t>
            </w:r>
          </w:p>
        </w:tc>
        <w:tc>
          <w:tcPr>
            <w:tcW w:w="1420" w:type="dxa"/>
            <w:vAlign w:val="bottom"/>
            <w:tcBorders>
              <w:bottom w:val="single" w:sz="8" w:color="939598"/>
            </w:tcBorders>
          </w:tcPr>
          <w:p>
            <w:pPr>
              <w:jc w:val="center"/>
              <w:ind w:left="492"/>
              <w:spacing w:after="0"/>
              <w:rPr>
                <w:sz w:val="20"/>
                <w:szCs w:val="20"/>
                <w:color w:val="auto"/>
              </w:rPr>
            </w:pPr>
            <w:r>
              <w:rPr>
                <w:rFonts w:ascii="Arial" w:cs="Arial" w:eastAsia="Arial" w:hAnsi="Arial"/>
                <w:sz w:val="14"/>
                <w:szCs w:val="14"/>
                <w:color w:val="auto"/>
                <w:w w:val="97"/>
              </w:rPr>
              <w:t>20,650</w:t>
            </w:r>
          </w:p>
        </w:tc>
        <w:tc>
          <w:tcPr>
            <w:tcW w:w="1500" w:type="dxa"/>
            <w:vAlign w:val="bottom"/>
            <w:tcBorders>
              <w:bottom w:val="single" w:sz="8" w:color="939598"/>
            </w:tcBorders>
          </w:tcPr>
          <w:p>
            <w:pPr>
              <w:jc w:val="right"/>
              <w:ind w:right="112"/>
              <w:spacing w:after="0"/>
              <w:rPr>
                <w:sz w:val="20"/>
                <w:szCs w:val="20"/>
                <w:color w:val="auto"/>
              </w:rPr>
            </w:pPr>
            <w:r>
              <w:rPr>
                <w:rFonts w:ascii="Arial" w:cs="Arial" w:eastAsia="Arial" w:hAnsi="Arial"/>
                <w:sz w:val="14"/>
                <w:szCs w:val="14"/>
                <w:color w:val="auto"/>
              </w:rPr>
              <w:t>40,120</w:t>
            </w:r>
          </w:p>
        </w:tc>
        <w:tc>
          <w:tcPr>
            <w:tcW w:w="1220" w:type="dxa"/>
            <w:vAlign w:val="bottom"/>
            <w:tcBorders>
              <w:bottom w:val="single" w:sz="8" w:color="939598"/>
            </w:tcBorders>
          </w:tcPr>
          <w:p>
            <w:pPr>
              <w:jc w:val="right"/>
              <w:ind w:right="92"/>
              <w:spacing w:after="0"/>
              <w:rPr>
                <w:sz w:val="20"/>
                <w:szCs w:val="20"/>
                <w:color w:val="auto"/>
              </w:rPr>
            </w:pPr>
            <w:r>
              <w:rPr>
                <w:rFonts w:ascii="Arial" w:cs="Arial" w:eastAsia="Arial" w:hAnsi="Arial"/>
                <w:sz w:val="14"/>
                <w:szCs w:val="14"/>
                <w:color w:val="auto"/>
              </w:rPr>
              <w:t>500</w:t>
            </w:r>
          </w:p>
        </w:tc>
        <w:tc>
          <w:tcPr>
            <w:tcW w:w="1200" w:type="dxa"/>
            <w:vAlign w:val="bottom"/>
            <w:tcBorders>
              <w:bottom w:val="single" w:sz="8" w:color="939598"/>
            </w:tcBorders>
          </w:tcPr>
          <w:p>
            <w:pPr>
              <w:jc w:val="right"/>
              <w:ind w:right="212"/>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7,450</w:t>
            </w:r>
          </w:p>
        </w:tc>
      </w:tr>
      <w:tr>
        <w:trPr>
          <w:trHeight w:val="182"/>
        </w:trPr>
        <w:tc>
          <w:tcPr>
            <w:tcW w:w="354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2E6D"/>
              </w:rPr>
              <w:t>Mr. St. John</w:t>
            </w:r>
          </w:p>
        </w:tc>
        <w:tc>
          <w:tcPr>
            <w:tcW w:w="1360" w:type="dxa"/>
            <w:vAlign w:val="bottom"/>
            <w:tcBorders>
              <w:bottom w:val="single" w:sz="8" w:color="939598"/>
            </w:tcBorders>
          </w:tcPr>
          <w:p>
            <w:pPr>
              <w:jc w:val="right"/>
              <w:ind w:right="152"/>
              <w:spacing w:after="0"/>
              <w:rPr>
                <w:sz w:val="20"/>
                <w:szCs w:val="20"/>
                <w:color w:val="auto"/>
              </w:rPr>
            </w:pPr>
            <w:r>
              <w:rPr>
                <w:rFonts w:ascii="Arial" w:cs="Arial" w:eastAsia="Arial" w:hAnsi="Arial"/>
                <w:sz w:val="14"/>
                <w:szCs w:val="14"/>
                <w:color w:val="auto"/>
              </w:rPr>
              <w:t>5,364</w:t>
            </w:r>
          </w:p>
        </w:tc>
        <w:tc>
          <w:tcPr>
            <w:tcW w:w="1420" w:type="dxa"/>
            <w:vAlign w:val="bottom"/>
            <w:tcBorders>
              <w:bottom w:val="single" w:sz="8" w:color="939598"/>
            </w:tcBorders>
          </w:tcPr>
          <w:p>
            <w:pPr>
              <w:jc w:val="center"/>
              <w:ind w:left="492"/>
              <w:spacing w:after="0"/>
              <w:rPr>
                <w:sz w:val="20"/>
                <w:szCs w:val="20"/>
                <w:color w:val="auto"/>
              </w:rPr>
            </w:pPr>
            <w:r>
              <w:rPr>
                <w:rFonts w:ascii="Arial" w:cs="Arial" w:eastAsia="Arial" w:hAnsi="Arial"/>
                <w:sz w:val="14"/>
                <w:szCs w:val="14"/>
                <w:color w:val="auto"/>
                <w:w w:val="97"/>
              </w:rPr>
              <w:t>20,650</w:t>
            </w:r>
          </w:p>
        </w:tc>
        <w:tc>
          <w:tcPr>
            <w:tcW w:w="1500" w:type="dxa"/>
            <w:vAlign w:val="bottom"/>
            <w:tcBorders>
              <w:bottom w:val="single" w:sz="8" w:color="939598"/>
            </w:tcBorders>
          </w:tcPr>
          <w:p>
            <w:pPr>
              <w:jc w:val="right"/>
              <w:ind w:right="112"/>
              <w:spacing w:after="0"/>
              <w:rPr>
                <w:sz w:val="20"/>
                <w:szCs w:val="20"/>
                <w:color w:val="auto"/>
              </w:rPr>
            </w:pPr>
            <w:r>
              <w:rPr>
                <w:rFonts w:ascii="Arial" w:cs="Arial" w:eastAsia="Arial" w:hAnsi="Arial"/>
                <w:sz w:val="14"/>
                <w:szCs w:val="14"/>
                <w:color w:val="auto"/>
              </w:rPr>
              <w:t>80,023</w:t>
            </w:r>
          </w:p>
        </w:tc>
        <w:tc>
          <w:tcPr>
            <w:tcW w:w="1220" w:type="dxa"/>
            <w:vAlign w:val="bottom"/>
            <w:tcBorders>
              <w:bottom w:val="single" w:sz="8" w:color="939598"/>
            </w:tcBorders>
          </w:tcPr>
          <w:p>
            <w:pPr>
              <w:jc w:val="right"/>
              <w:ind w:right="92"/>
              <w:spacing w:after="0"/>
              <w:rPr>
                <w:sz w:val="20"/>
                <w:szCs w:val="20"/>
                <w:color w:val="auto"/>
              </w:rPr>
            </w:pPr>
            <w:r>
              <w:rPr>
                <w:rFonts w:ascii="Arial" w:cs="Arial" w:eastAsia="Arial" w:hAnsi="Arial"/>
                <w:sz w:val="14"/>
                <w:szCs w:val="14"/>
                <w:color w:val="auto"/>
              </w:rPr>
              <w:t>700</w:t>
            </w:r>
          </w:p>
        </w:tc>
        <w:tc>
          <w:tcPr>
            <w:tcW w:w="1200" w:type="dxa"/>
            <w:vAlign w:val="bottom"/>
            <w:tcBorders>
              <w:bottom w:val="single" w:sz="8" w:color="939598"/>
            </w:tcBorders>
          </w:tcPr>
          <w:p>
            <w:pPr>
              <w:jc w:val="right"/>
              <w:ind w:right="212"/>
              <w:spacing w:after="0"/>
              <w:rPr>
                <w:sz w:val="20"/>
                <w:szCs w:val="20"/>
                <w:color w:val="auto"/>
              </w:rPr>
            </w:pPr>
            <w:r>
              <w:rPr>
                <w:rFonts w:ascii="Arial" w:cs="Arial" w:eastAsia="Arial" w:hAnsi="Arial"/>
                <w:sz w:val="14"/>
                <w:szCs w:val="14"/>
                <w:color w:val="auto"/>
              </w:rPr>
              <w:t>2,020</w:t>
            </w:r>
          </w:p>
        </w:tc>
        <w:tc>
          <w:tcPr>
            <w:tcW w:w="10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11,000</w:t>
            </w:r>
          </w:p>
        </w:tc>
      </w:tr>
      <w:tr>
        <w:trPr>
          <w:trHeight w:val="182"/>
        </w:trPr>
        <w:tc>
          <w:tcPr>
            <w:tcW w:w="354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2E6D"/>
              </w:rPr>
              <w:t>Mr. Ambrose</w:t>
            </w:r>
          </w:p>
        </w:tc>
        <w:tc>
          <w:tcPr>
            <w:tcW w:w="1360" w:type="dxa"/>
            <w:vAlign w:val="bottom"/>
            <w:tcBorders>
              <w:bottom w:val="single" w:sz="8" w:color="939598"/>
            </w:tcBorders>
          </w:tcPr>
          <w:p>
            <w:pPr>
              <w:jc w:val="right"/>
              <w:ind w:right="152"/>
              <w:spacing w:after="0"/>
              <w:rPr>
                <w:sz w:val="20"/>
                <w:szCs w:val="20"/>
                <w:color w:val="auto"/>
              </w:rPr>
            </w:pPr>
            <w:r>
              <w:rPr>
                <w:rFonts w:ascii="Arial" w:cs="Arial" w:eastAsia="Arial" w:hAnsi="Arial"/>
                <w:sz w:val="14"/>
                <w:szCs w:val="14"/>
                <w:color w:val="auto"/>
              </w:rPr>
              <w:t>8,657</w:t>
            </w:r>
          </w:p>
        </w:tc>
        <w:tc>
          <w:tcPr>
            <w:tcW w:w="1420" w:type="dxa"/>
            <w:vAlign w:val="bottom"/>
            <w:tcBorders>
              <w:bottom w:val="single" w:sz="8" w:color="939598"/>
            </w:tcBorders>
          </w:tcPr>
          <w:p>
            <w:pPr>
              <w:jc w:val="center"/>
              <w:ind w:left="492"/>
              <w:spacing w:after="0"/>
              <w:rPr>
                <w:sz w:val="20"/>
                <w:szCs w:val="20"/>
                <w:color w:val="auto"/>
              </w:rPr>
            </w:pPr>
            <w:r>
              <w:rPr>
                <w:rFonts w:ascii="Arial" w:cs="Arial" w:eastAsia="Arial" w:hAnsi="Arial"/>
                <w:sz w:val="14"/>
                <w:szCs w:val="14"/>
                <w:color w:val="auto"/>
                <w:w w:val="97"/>
              </w:rPr>
              <w:t>19,333</w:t>
            </w:r>
          </w:p>
        </w:tc>
        <w:tc>
          <w:tcPr>
            <w:tcW w:w="1500" w:type="dxa"/>
            <w:vAlign w:val="bottom"/>
            <w:tcBorders>
              <w:bottom w:val="single" w:sz="8" w:color="939598"/>
            </w:tcBorders>
          </w:tcPr>
          <w:p>
            <w:pPr>
              <w:jc w:val="right"/>
              <w:ind w:right="112"/>
              <w:spacing w:after="0"/>
              <w:rPr>
                <w:sz w:val="20"/>
                <w:szCs w:val="20"/>
                <w:color w:val="auto"/>
              </w:rPr>
            </w:pPr>
            <w:r>
              <w:rPr>
                <w:rFonts w:ascii="Arial" w:cs="Arial" w:eastAsia="Arial" w:hAnsi="Arial"/>
                <w:sz w:val="14"/>
                <w:szCs w:val="14"/>
                <w:color w:val="auto"/>
              </w:rPr>
              <w:t>78,445</w:t>
            </w:r>
          </w:p>
        </w:tc>
        <w:tc>
          <w:tcPr>
            <w:tcW w:w="1220" w:type="dxa"/>
            <w:vAlign w:val="bottom"/>
            <w:tcBorders>
              <w:bottom w:val="single" w:sz="8" w:color="939598"/>
            </w:tcBorders>
          </w:tcPr>
          <w:p>
            <w:pPr>
              <w:jc w:val="right"/>
              <w:ind w:right="92"/>
              <w:spacing w:after="0"/>
              <w:rPr>
                <w:sz w:val="20"/>
                <w:szCs w:val="20"/>
                <w:color w:val="auto"/>
              </w:rPr>
            </w:pPr>
            <w:r>
              <w:rPr>
                <w:rFonts w:ascii="Arial" w:cs="Arial" w:eastAsia="Arial" w:hAnsi="Arial"/>
                <w:sz w:val="14"/>
                <w:szCs w:val="14"/>
                <w:color w:val="auto"/>
              </w:rPr>
              <w:t>500</w:t>
            </w:r>
          </w:p>
        </w:tc>
        <w:tc>
          <w:tcPr>
            <w:tcW w:w="1200" w:type="dxa"/>
            <w:vAlign w:val="bottom"/>
            <w:tcBorders>
              <w:bottom w:val="single" w:sz="8" w:color="939598"/>
            </w:tcBorders>
          </w:tcPr>
          <w:p>
            <w:pPr>
              <w:jc w:val="right"/>
              <w:ind w:right="212"/>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354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2E6D"/>
              </w:rPr>
              <w:t>Ms. Hill</w:t>
            </w:r>
          </w:p>
        </w:tc>
        <w:tc>
          <w:tcPr>
            <w:tcW w:w="1360" w:type="dxa"/>
            <w:vAlign w:val="bottom"/>
            <w:tcBorders>
              <w:bottom w:val="single" w:sz="8" w:color="939598"/>
            </w:tcBorders>
          </w:tcPr>
          <w:p>
            <w:pPr>
              <w:jc w:val="right"/>
              <w:ind w:right="152"/>
              <w:spacing w:after="0"/>
              <w:rPr>
                <w:sz w:val="20"/>
                <w:szCs w:val="20"/>
                <w:color w:val="auto"/>
              </w:rPr>
            </w:pPr>
            <w:r>
              <w:rPr>
                <w:rFonts w:ascii="Arial" w:cs="Arial" w:eastAsia="Arial" w:hAnsi="Arial"/>
                <w:sz w:val="14"/>
                <w:szCs w:val="14"/>
                <w:color w:val="auto"/>
              </w:rPr>
              <w:t>800</w:t>
            </w:r>
          </w:p>
        </w:tc>
        <w:tc>
          <w:tcPr>
            <w:tcW w:w="1420" w:type="dxa"/>
            <w:vAlign w:val="bottom"/>
            <w:tcBorders>
              <w:bottom w:val="single" w:sz="8" w:color="939598"/>
            </w:tcBorders>
          </w:tcPr>
          <w:p>
            <w:pPr>
              <w:jc w:val="center"/>
              <w:ind w:left="492"/>
              <w:spacing w:after="0"/>
              <w:rPr>
                <w:sz w:val="20"/>
                <w:szCs w:val="20"/>
                <w:color w:val="auto"/>
              </w:rPr>
            </w:pPr>
            <w:r>
              <w:rPr>
                <w:rFonts w:ascii="Arial" w:cs="Arial" w:eastAsia="Arial" w:hAnsi="Arial"/>
                <w:sz w:val="14"/>
                <w:szCs w:val="14"/>
                <w:color w:val="auto"/>
                <w:w w:val="97"/>
              </w:rPr>
              <w:t>26,364</w:t>
            </w:r>
          </w:p>
        </w:tc>
        <w:tc>
          <w:tcPr>
            <w:tcW w:w="1500" w:type="dxa"/>
            <w:vAlign w:val="bottom"/>
            <w:tcBorders>
              <w:bottom w:val="single" w:sz="8" w:color="939598"/>
            </w:tcBorders>
          </w:tcPr>
          <w:p>
            <w:pPr>
              <w:jc w:val="right"/>
              <w:ind w:right="112"/>
              <w:spacing w:after="0"/>
              <w:rPr>
                <w:sz w:val="20"/>
                <w:szCs w:val="20"/>
                <w:color w:val="auto"/>
              </w:rPr>
            </w:pPr>
            <w:r>
              <w:rPr>
                <w:rFonts w:ascii="Arial" w:cs="Arial" w:eastAsia="Arial" w:hAnsi="Arial"/>
                <w:sz w:val="14"/>
                <w:szCs w:val="14"/>
                <w:color w:val="auto"/>
              </w:rPr>
              <w:t>42,849</w:t>
            </w:r>
          </w:p>
        </w:tc>
        <w:tc>
          <w:tcPr>
            <w:tcW w:w="1220" w:type="dxa"/>
            <w:vAlign w:val="bottom"/>
            <w:tcBorders>
              <w:bottom w:val="single" w:sz="8" w:color="939598"/>
            </w:tcBorders>
          </w:tcPr>
          <w:p>
            <w:pPr>
              <w:jc w:val="right"/>
              <w:ind w:right="92"/>
              <w:spacing w:after="0"/>
              <w:rPr>
                <w:sz w:val="20"/>
                <w:szCs w:val="20"/>
                <w:color w:val="auto"/>
              </w:rPr>
            </w:pPr>
            <w:r>
              <w:rPr>
                <w:rFonts w:ascii="Arial" w:cs="Arial" w:eastAsia="Arial" w:hAnsi="Arial"/>
                <w:sz w:val="14"/>
                <w:szCs w:val="14"/>
                <w:color w:val="auto"/>
              </w:rPr>
              <w:t>500</w:t>
            </w:r>
          </w:p>
        </w:tc>
        <w:tc>
          <w:tcPr>
            <w:tcW w:w="1200" w:type="dxa"/>
            <w:vAlign w:val="bottom"/>
            <w:tcBorders>
              <w:bottom w:val="single" w:sz="8" w:color="939598"/>
            </w:tcBorders>
          </w:tcPr>
          <w:p>
            <w:pPr>
              <w:jc w:val="right"/>
              <w:ind w:right="212"/>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1,000</w:t>
            </w:r>
          </w:p>
        </w:tc>
      </w:tr>
      <w:tr>
        <w:trPr>
          <w:trHeight w:val="182"/>
        </w:trPr>
        <w:tc>
          <w:tcPr>
            <w:tcW w:w="354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2E6D"/>
              </w:rPr>
              <w:t>Ms. Hewson</w:t>
            </w:r>
          </w:p>
        </w:tc>
        <w:tc>
          <w:tcPr>
            <w:tcW w:w="1360" w:type="dxa"/>
            <w:vAlign w:val="bottom"/>
            <w:tcBorders>
              <w:bottom w:val="single" w:sz="8" w:color="939598"/>
            </w:tcBorders>
          </w:tcPr>
          <w:p>
            <w:pPr>
              <w:jc w:val="right"/>
              <w:ind w:right="152"/>
              <w:spacing w:after="0"/>
              <w:rPr>
                <w:sz w:val="20"/>
                <w:szCs w:val="20"/>
                <w:color w:val="auto"/>
              </w:rPr>
            </w:pPr>
            <w:r>
              <w:rPr>
                <w:rFonts w:ascii="Arial" w:cs="Arial" w:eastAsia="Arial" w:hAnsi="Arial"/>
                <w:sz w:val="14"/>
                <w:szCs w:val="14"/>
                <w:color w:val="auto"/>
              </w:rPr>
              <w:t>130,762</w:t>
            </w:r>
          </w:p>
        </w:tc>
        <w:tc>
          <w:tcPr>
            <w:tcW w:w="1420" w:type="dxa"/>
            <w:vAlign w:val="bottom"/>
            <w:tcBorders>
              <w:bottom w:val="single" w:sz="8" w:color="939598"/>
            </w:tcBorders>
          </w:tcPr>
          <w:p>
            <w:pPr>
              <w:jc w:val="center"/>
              <w:ind w:left="492"/>
              <w:spacing w:after="0"/>
              <w:rPr>
                <w:sz w:val="20"/>
                <w:szCs w:val="20"/>
                <w:color w:val="auto"/>
              </w:rPr>
            </w:pPr>
            <w:r>
              <w:rPr>
                <w:rFonts w:ascii="Arial" w:cs="Arial" w:eastAsia="Arial" w:hAnsi="Arial"/>
                <w:sz w:val="14"/>
                <w:szCs w:val="14"/>
                <w:color w:val="auto"/>
                <w:w w:val="97"/>
              </w:rPr>
              <w:t>21,300</w:t>
            </w:r>
          </w:p>
        </w:tc>
        <w:tc>
          <w:tcPr>
            <w:tcW w:w="1500" w:type="dxa"/>
            <w:vAlign w:val="bottom"/>
            <w:tcBorders>
              <w:bottom w:val="single" w:sz="8" w:color="939598"/>
            </w:tcBorders>
          </w:tcPr>
          <w:p>
            <w:pPr>
              <w:jc w:val="right"/>
              <w:ind w:right="112"/>
              <w:spacing w:after="0"/>
              <w:rPr>
                <w:sz w:val="20"/>
                <w:szCs w:val="20"/>
                <w:color w:val="auto"/>
              </w:rPr>
            </w:pPr>
            <w:r>
              <w:rPr>
                <w:rFonts w:ascii="Arial" w:cs="Arial" w:eastAsia="Arial" w:hAnsi="Arial"/>
                <w:sz w:val="14"/>
                <w:szCs w:val="14"/>
                <w:color w:val="auto"/>
              </w:rPr>
              <w:t>88,797</w:t>
            </w:r>
          </w:p>
        </w:tc>
        <w:tc>
          <w:tcPr>
            <w:tcW w:w="1220" w:type="dxa"/>
            <w:vAlign w:val="bottom"/>
            <w:tcBorders>
              <w:bottom w:val="single" w:sz="8" w:color="939598"/>
            </w:tcBorders>
          </w:tcPr>
          <w:p>
            <w:pPr>
              <w:jc w:val="right"/>
              <w:ind w:right="92"/>
              <w:spacing w:after="0"/>
              <w:rPr>
                <w:sz w:val="20"/>
                <w:szCs w:val="20"/>
                <w:color w:val="auto"/>
              </w:rPr>
            </w:pPr>
            <w:r>
              <w:rPr>
                <w:rFonts w:ascii="Arial" w:cs="Arial" w:eastAsia="Arial" w:hAnsi="Arial"/>
                <w:sz w:val="14"/>
                <w:szCs w:val="14"/>
                <w:color w:val="auto"/>
              </w:rPr>
              <w:t>600</w:t>
            </w:r>
          </w:p>
        </w:tc>
        <w:tc>
          <w:tcPr>
            <w:tcW w:w="1200" w:type="dxa"/>
            <w:vAlign w:val="bottom"/>
            <w:tcBorders>
              <w:bottom w:val="single" w:sz="8" w:color="939598"/>
            </w:tcBorders>
          </w:tcPr>
          <w:p>
            <w:pPr>
              <w:jc w:val="right"/>
              <w:ind w:right="212"/>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9,150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56</w:t>
      </w:r>
    </w:p>
    <w:p>
      <w:pPr>
        <w:sectPr>
          <w:pgSz w:w="11900" w:h="16838" w:orient="portrait"/>
          <w:cols w:equalWidth="0" w:num="1">
            <w:col w:w="11240"/>
          </w:cols>
          <w:pgMar w:left="320" w:top="254" w:right="339" w:bottom="1440" w:gutter="0" w:footer="0" w:header="0"/>
        </w:sectPr>
      </w:pPr>
    </w:p>
    <w:bookmarkStart w:id="62" w:name="page63"/>
    <w:bookmarkEnd w:id="62"/>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9"/>
          <w:szCs w:val="29"/>
          <w:color w:val="003478"/>
        </w:rPr>
        <w:t>2021 Grants of Plan-Based Awards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600" w:type="dxa"/>
            <w:vAlign w:val="bottom"/>
            <w:shd w:val="clear" w:color="auto" w:fill="E5E7EF"/>
          </w:tcPr>
          <w:p>
            <w:pPr>
              <w:spacing w:after="0"/>
              <w:rPr>
                <w:sz w:val="18"/>
                <w:szCs w:val="18"/>
                <w:color w:val="auto"/>
              </w:rPr>
            </w:pPr>
          </w:p>
        </w:tc>
        <w:tc>
          <w:tcPr>
            <w:tcW w:w="880" w:type="dxa"/>
            <w:vAlign w:val="bottom"/>
            <w:shd w:val="clear" w:color="auto" w:fill="E5E7EF"/>
          </w:tcPr>
          <w:p>
            <w:pPr>
              <w:spacing w:after="0"/>
              <w:rPr>
                <w:sz w:val="18"/>
                <w:szCs w:val="18"/>
                <w:color w:val="auto"/>
              </w:rPr>
            </w:pPr>
          </w:p>
        </w:tc>
        <w:tc>
          <w:tcPr>
            <w:tcW w:w="580" w:type="dxa"/>
            <w:vAlign w:val="bottom"/>
            <w:shd w:val="clear" w:color="auto" w:fill="E5E7EF"/>
          </w:tcPr>
          <w:p>
            <w:pPr>
              <w:spacing w:after="0"/>
              <w:rPr>
                <w:sz w:val="18"/>
                <w:szCs w:val="18"/>
                <w:color w:val="auto"/>
              </w:rPr>
            </w:pPr>
          </w:p>
        </w:tc>
        <w:tc>
          <w:tcPr>
            <w:tcW w:w="80" w:type="dxa"/>
            <w:vAlign w:val="bottom"/>
            <w:shd w:val="clear" w:color="auto" w:fill="E5E7EF"/>
          </w:tcPr>
          <w:p>
            <w:pPr>
              <w:spacing w:after="0"/>
              <w:rPr>
                <w:sz w:val="18"/>
                <w:szCs w:val="18"/>
                <w:color w:val="auto"/>
              </w:rPr>
            </w:pPr>
          </w:p>
        </w:tc>
        <w:tc>
          <w:tcPr>
            <w:tcW w:w="840" w:type="dxa"/>
            <w:vAlign w:val="bottom"/>
            <w:shd w:val="clear" w:color="auto" w:fill="E5E7EF"/>
          </w:tcPr>
          <w:p>
            <w:pPr>
              <w:spacing w:after="0"/>
              <w:rPr>
                <w:sz w:val="18"/>
                <w:szCs w:val="18"/>
                <w:color w:val="auto"/>
              </w:rPr>
            </w:pPr>
          </w:p>
        </w:tc>
        <w:tc>
          <w:tcPr>
            <w:tcW w:w="880" w:type="dxa"/>
            <w:vAlign w:val="bottom"/>
            <w:shd w:val="clear" w:color="auto" w:fill="E5E7EF"/>
          </w:tcPr>
          <w:p>
            <w:pPr>
              <w:spacing w:after="0"/>
              <w:rPr>
                <w:sz w:val="18"/>
                <w:szCs w:val="18"/>
                <w:color w:val="auto"/>
              </w:rPr>
            </w:pPr>
          </w:p>
        </w:tc>
        <w:tc>
          <w:tcPr>
            <w:tcW w:w="860" w:type="dxa"/>
            <w:vAlign w:val="bottom"/>
            <w:shd w:val="clear" w:color="auto" w:fill="E5E7EF"/>
          </w:tcPr>
          <w:p>
            <w:pPr>
              <w:spacing w:after="0"/>
              <w:rPr>
                <w:sz w:val="18"/>
                <w:szCs w:val="18"/>
                <w:color w:val="auto"/>
              </w:rPr>
            </w:pPr>
          </w:p>
        </w:tc>
        <w:tc>
          <w:tcPr>
            <w:tcW w:w="80" w:type="dxa"/>
            <w:vAlign w:val="bottom"/>
            <w:shd w:val="clear" w:color="auto" w:fill="E5E7EF"/>
          </w:tcPr>
          <w:p>
            <w:pPr>
              <w:spacing w:after="0"/>
              <w:rPr>
                <w:sz w:val="18"/>
                <w:szCs w:val="18"/>
                <w:color w:val="auto"/>
              </w:rPr>
            </w:pPr>
          </w:p>
        </w:tc>
        <w:tc>
          <w:tcPr>
            <w:tcW w:w="1000" w:type="dxa"/>
            <w:vAlign w:val="bottom"/>
            <w:shd w:val="clear" w:color="auto" w:fill="E5E7EF"/>
          </w:tcPr>
          <w:p>
            <w:pPr>
              <w:spacing w:after="0"/>
              <w:rPr>
                <w:sz w:val="18"/>
                <w:szCs w:val="18"/>
                <w:color w:val="auto"/>
              </w:rPr>
            </w:pPr>
          </w:p>
        </w:tc>
        <w:tc>
          <w:tcPr>
            <w:tcW w:w="760" w:type="dxa"/>
            <w:vAlign w:val="bottom"/>
            <w:shd w:val="clear" w:color="auto" w:fill="E5E7EF"/>
          </w:tcPr>
          <w:p>
            <w:pPr>
              <w:spacing w:after="0"/>
              <w:rPr>
                <w:sz w:val="18"/>
                <w:szCs w:val="18"/>
                <w:color w:val="auto"/>
              </w:rPr>
            </w:pPr>
          </w:p>
        </w:tc>
        <w:tc>
          <w:tcPr>
            <w:tcW w:w="720" w:type="dxa"/>
            <w:vAlign w:val="bottom"/>
            <w:shd w:val="clear" w:color="auto" w:fill="E5E7EF"/>
          </w:tcPr>
          <w:p>
            <w:pPr>
              <w:spacing w:after="0"/>
              <w:rPr>
                <w:sz w:val="18"/>
                <w:szCs w:val="18"/>
                <w:color w:val="auto"/>
              </w:rPr>
            </w:pPr>
          </w:p>
        </w:tc>
        <w:tc>
          <w:tcPr>
            <w:tcW w:w="8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All Other</w:t>
            </w:r>
          </w:p>
        </w:tc>
        <w:tc>
          <w:tcPr>
            <w:tcW w:w="1080" w:type="dxa"/>
            <w:vAlign w:val="bottom"/>
            <w:shd w:val="clear" w:color="auto" w:fill="E5E7E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600" w:type="dxa"/>
            <w:vAlign w:val="bottom"/>
            <w:shd w:val="clear" w:color="auto" w:fill="E5E7EF"/>
          </w:tcPr>
          <w:p>
            <w:pPr>
              <w:spacing w:after="0"/>
              <w:rPr>
                <w:sz w:val="12"/>
                <w:szCs w:val="12"/>
                <w:color w:val="auto"/>
              </w:rPr>
            </w:pPr>
          </w:p>
        </w:tc>
        <w:tc>
          <w:tcPr>
            <w:tcW w:w="880" w:type="dxa"/>
            <w:vAlign w:val="bottom"/>
            <w:shd w:val="clear" w:color="auto" w:fill="E5E7EF"/>
          </w:tcPr>
          <w:p>
            <w:pPr>
              <w:spacing w:after="0"/>
              <w:rPr>
                <w:sz w:val="12"/>
                <w:szCs w:val="12"/>
                <w:color w:val="auto"/>
              </w:rPr>
            </w:pPr>
          </w:p>
        </w:tc>
        <w:tc>
          <w:tcPr>
            <w:tcW w:w="580" w:type="dxa"/>
            <w:vAlign w:val="bottom"/>
            <w:shd w:val="clear" w:color="auto" w:fill="E5E7EF"/>
          </w:tcPr>
          <w:p>
            <w:pPr>
              <w:spacing w:after="0"/>
              <w:rPr>
                <w:sz w:val="12"/>
                <w:szCs w:val="12"/>
                <w:color w:val="auto"/>
              </w:rPr>
            </w:pPr>
          </w:p>
        </w:tc>
        <w:tc>
          <w:tcPr>
            <w:tcW w:w="80" w:type="dxa"/>
            <w:vAlign w:val="bottom"/>
            <w:shd w:val="clear" w:color="auto" w:fill="E5E7EF"/>
          </w:tcPr>
          <w:p>
            <w:pPr>
              <w:spacing w:after="0"/>
              <w:rPr>
                <w:sz w:val="12"/>
                <w:szCs w:val="12"/>
                <w:color w:val="auto"/>
              </w:rPr>
            </w:pPr>
          </w:p>
        </w:tc>
        <w:tc>
          <w:tcPr>
            <w:tcW w:w="2660" w:type="dxa"/>
            <w:vAlign w:val="bottom"/>
            <w:gridSpan w:val="4"/>
            <w:vMerge w:val="restart"/>
            <w:shd w:val="clear" w:color="auto" w:fill="E5E7EF"/>
          </w:tcPr>
          <w:p>
            <w:pPr>
              <w:jc w:val="center"/>
              <w:ind w:right="80"/>
              <w:spacing w:after="0"/>
              <w:rPr>
                <w:sz w:val="20"/>
                <w:szCs w:val="20"/>
                <w:color w:val="auto"/>
              </w:rPr>
            </w:pPr>
            <w:r>
              <w:rPr>
                <w:rFonts w:ascii="Arial" w:cs="Arial" w:eastAsia="Arial" w:hAnsi="Arial"/>
                <w:sz w:val="13"/>
                <w:szCs w:val="13"/>
                <w:color w:val="auto"/>
                <w:w w:val="96"/>
              </w:rPr>
              <w:t>Estimated Future Payouts Under</w:t>
            </w:r>
          </w:p>
        </w:tc>
        <w:tc>
          <w:tcPr>
            <w:tcW w:w="2480" w:type="dxa"/>
            <w:vAlign w:val="bottom"/>
            <w:gridSpan w:val="3"/>
            <w:vMerge w:val="restart"/>
            <w:shd w:val="clear" w:color="auto" w:fill="E5E7EF"/>
          </w:tcPr>
          <w:p>
            <w:pPr>
              <w:jc w:val="right"/>
              <w:ind w:right="249"/>
              <w:spacing w:after="0"/>
              <w:rPr>
                <w:sz w:val="20"/>
                <w:szCs w:val="20"/>
                <w:color w:val="auto"/>
              </w:rPr>
            </w:pPr>
            <w:r>
              <w:rPr>
                <w:rFonts w:ascii="Arial" w:cs="Arial" w:eastAsia="Arial" w:hAnsi="Arial"/>
                <w:sz w:val="13"/>
                <w:szCs w:val="13"/>
                <w:color w:val="auto"/>
              </w:rPr>
              <w:t>Estimated Future Payouts Under</w:t>
            </w:r>
          </w:p>
        </w:tc>
        <w:tc>
          <w:tcPr>
            <w:tcW w:w="880" w:type="dxa"/>
            <w:vAlign w:val="bottom"/>
            <w:shd w:val="clear" w:color="auto" w:fill="E5E7EF"/>
          </w:tcPr>
          <w:p>
            <w:pPr>
              <w:jc w:val="right"/>
              <w:spacing w:after="0" w:line="148" w:lineRule="exact"/>
              <w:rPr>
                <w:sz w:val="20"/>
                <w:szCs w:val="20"/>
                <w:color w:val="auto"/>
              </w:rPr>
            </w:pPr>
            <w:r>
              <w:rPr>
                <w:rFonts w:ascii="Arial" w:cs="Arial" w:eastAsia="Arial" w:hAnsi="Arial"/>
                <w:sz w:val="13"/>
                <w:szCs w:val="13"/>
                <w:color w:val="auto"/>
              </w:rPr>
              <w:t>Stock</w:t>
            </w:r>
          </w:p>
        </w:tc>
        <w:tc>
          <w:tcPr>
            <w:tcW w:w="1080" w:type="dxa"/>
            <w:vAlign w:val="bottom"/>
            <w:shd w:val="clear" w:color="auto" w:fill="E5E7EF"/>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600" w:type="dxa"/>
            <w:vAlign w:val="bottom"/>
            <w:shd w:val="clear" w:color="auto" w:fill="E5E7EF"/>
          </w:tcPr>
          <w:p>
            <w:pPr>
              <w:spacing w:after="0"/>
              <w:rPr>
                <w:sz w:val="9"/>
                <w:szCs w:val="9"/>
                <w:color w:val="auto"/>
              </w:rPr>
            </w:pPr>
          </w:p>
        </w:tc>
        <w:tc>
          <w:tcPr>
            <w:tcW w:w="880" w:type="dxa"/>
            <w:vAlign w:val="bottom"/>
            <w:shd w:val="clear" w:color="auto" w:fill="E5E7EF"/>
          </w:tcPr>
          <w:p>
            <w:pPr>
              <w:spacing w:after="0"/>
              <w:rPr>
                <w:sz w:val="9"/>
                <w:szCs w:val="9"/>
                <w:color w:val="auto"/>
              </w:rPr>
            </w:pPr>
          </w:p>
        </w:tc>
        <w:tc>
          <w:tcPr>
            <w:tcW w:w="580" w:type="dxa"/>
            <w:vAlign w:val="bottom"/>
            <w:shd w:val="clear" w:color="auto" w:fill="E5E7EF"/>
          </w:tcPr>
          <w:p>
            <w:pPr>
              <w:spacing w:after="0"/>
              <w:rPr>
                <w:sz w:val="9"/>
                <w:szCs w:val="9"/>
                <w:color w:val="auto"/>
              </w:rPr>
            </w:pPr>
          </w:p>
        </w:tc>
        <w:tc>
          <w:tcPr>
            <w:tcW w:w="80" w:type="dxa"/>
            <w:vAlign w:val="bottom"/>
            <w:shd w:val="clear" w:color="auto" w:fill="E5E7EF"/>
          </w:tcPr>
          <w:p>
            <w:pPr>
              <w:spacing w:after="0"/>
              <w:rPr>
                <w:sz w:val="9"/>
                <w:szCs w:val="9"/>
                <w:color w:val="auto"/>
              </w:rPr>
            </w:pPr>
          </w:p>
        </w:tc>
        <w:tc>
          <w:tcPr>
            <w:tcW w:w="2660" w:type="dxa"/>
            <w:vAlign w:val="bottom"/>
            <w:gridSpan w:val="4"/>
            <w:vMerge w:val="continue"/>
            <w:shd w:val="clear" w:color="auto" w:fill="E5E7EF"/>
          </w:tcPr>
          <w:p>
            <w:pPr>
              <w:spacing w:after="0"/>
              <w:rPr>
                <w:sz w:val="9"/>
                <w:szCs w:val="9"/>
                <w:color w:val="auto"/>
              </w:rPr>
            </w:pPr>
          </w:p>
        </w:tc>
        <w:tc>
          <w:tcPr>
            <w:tcW w:w="2480" w:type="dxa"/>
            <w:vAlign w:val="bottom"/>
            <w:gridSpan w:val="3"/>
            <w:vMerge w:val="continue"/>
            <w:shd w:val="clear" w:color="auto" w:fill="E5E7EF"/>
          </w:tcPr>
          <w:p>
            <w:pPr>
              <w:spacing w:after="0"/>
              <w:rPr>
                <w:sz w:val="9"/>
                <w:szCs w:val="9"/>
                <w:color w:val="auto"/>
              </w:rPr>
            </w:pPr>
          </w:p>
        </w:tc>
        <w:tc>
          <w:tcPr>
            <w:tcW w:w="880" w:type="dxa"/>
            <w:vAlign w:val="bottom"/>
            <w:vMerge w:val="restart"/>
            <w:shd w:val="clear" w:color="auto" w:fill="E5E7EF"/>
          </w:tcPr>
          <w:p>
            <w:pPr>
              <w:jc w:val="right"/>
              <w:spacing w:after="0" w:line="148" w:lineRule="exact"/>
              <w:rPr>
                <w:sz w:val="20"/>
                <w:szCs w:val="20"/>
                <w:color w:val="auto"/>
              </w:rPr>
            </w:pPr>
            <w:r>
              <w:rPr>
                <w:rFonts w:ascii="Arial" w:cs="Arial" w:eastAsia="Arial" w:hAnsi="Arial"/>
                <w:sz w:val="13"/>
                <w:szCs w:val="13"/>
                <w:color w:val="auto"/>
              </w:rPr>
              <w:t>Awards:</w:t>
            </w:r>
          </w:p>
        </w:tc>
        <w:tc>
          <w:tcPr>
            <w:tcW w:w="1080" w:type="dxa"/>
            <w:vAlign w:val="bottom"/>
            <w:shd w:val="clear" w:color="auto" w:fill="E5E7EF"/>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600" w:type="dxa"/>
            <w:vAlign w:val="bottom"/>
            <w:shd w:val="clear" w:color="auto" w:fill="E5E7EF"/>
          </w:tcPr>
          <w:p>
            <w:pPr>
              <w:spacing w:after="0"/>
              <w:rPr>
                <w:sz w:val="3"/>
                <w:szCs w:val="3"/>
                <w:color w:val="auto"/>
              </w:rPr>
            </w:pPr>
          </w:p>
        </w:tc>
        <w:tc>
          <w:tcPr>
            <w:tcW w:w="880" w:type="dxa"/>
            <w:vAlign w:val="bottom"/>
            <w:shd w:val="clear" w:color="auto" w:fill="E5E7EF"/>
          </w:tcPr>
          <w:p>
            <w:pPr>
              <w:spacing w:after="0"/>
              <w:rPr>
                <w:sz w:val="3"/>
                <w:szCs w:val="3"/>
                <w:color w:val="auto"/>
              </w:rPr>
            </w:pPr>
          </w:p>
        </w:tc>
        <w:tc>
          <w:tcPr>
            <w:tcW w:w="580" w:type="dxa"/>
            <w:vAlign w:val="bottom"/>
            <w:shd w:val="clear" w:color="auto" w:fill="E5E7EF"/>
          </w:tcPr>
          <w:p>
            <w:pPr>
              <w:spacing w:after="0"/>
              <w:rPr>
                <w:sz w:val="3"/>
                <w:szCs w:val="3"/>
                <w:color w:val="auto"/>
              </w:rPr>
            </w:pPr>
          </w:p>
        </w:tc>
        <w:tc>
          <w:tcPr>
            <w:tcW w:w="80" w:type="dxa"/>
            <w:vAlign w:val="bottom"/>
            <w:shd w:val="clear" w:color="auto" w:fill="E5E7EF"/>
          </w:tcPr>
          <w:p>
            <w:pPr>
              <w:spacing w:after="0"/>
              <w:rPr>
                <w:sz w:val="3"/>
                <w:szCs w:val="3"/>
                <w:color w:val="auto"/>
              </w:rPr>
            </w:pPr>
          </w:p>
        </w:tc>
        <w:tc>
          <w:tcPr>
            <w:tcW w:w="2660" w:type="dxa"/>
            <w:vAlign w:val="bottom"/>
            <w:gridSpan w:val="4"/>
            <w:vMerge w:val="restart"/>
            <w:shd w:val="clear" w:color="auto" w:fill="E5E7EF"/>
          </w:tcPr>
          <w:p>
            <w:pPr>
              <w:jc w:val="center"/>
              <w:ind w:right="80"/>
              <w:spacing w:after="0" w:line="155" w:lineRule="exact"/>
              <w:rPr>
                <w:sz w:val="20"/>
                <w:szCs w:val="20"/>
                <w:color w:val="auto"/>
              </w:rPr>
            </w:pPr>
            <w:r>
              <w:rPr>
                <w:rFonts w:ascii="Arial" w:cs="Arial" w:eastAsia="Arial" w:hAnsi="Arial"/>
                <w:sz w:val="13"/>
                <w:szCs w:val="13"/>
                <w:color w:val="auto"/>
                <w:w w:val="94"/>
              </w:rPr>
              <w:t>Non-Equity Incentive Plan Awards</w:t>
            </w:r>
            <w:r>
              <w:rPr>
                <w:rFonts w:ascii="Arial" w:cs="Arial" w:eastAsia="Arial" w:hAnsi="Arial"/>
                <w:sz w:val="16"/>
                <w:szCs w:val="16"/>
                <w:color w:val="auto"/>
                <w:w w:val="94"/>
                <w:vertAlign w:val="superscript"/>
              </w:rPr>
              <w:t>(1)</w:t>
            </w:r>
          </w:p>
        </w:tc>
        <w:tc>
          <w:tcPr>
            <w:tcW w:w="2480" w:type="dxa"/>
            <w:vAlign w:val="bottom"/>
            <w:gridSpan w:val="3"/>
            <w:vMerge w:val="restart"/>
            <w:shd w:val="clear" w:color="auto" w:fill="E5E7EF"/>
          </w:tcPr>
          <w:p>
            <w:pPr>
              <w:jc w:val="right"/>
              <w:ind w:right="309"/>
              <w:spacing w:after="0" w:line="155" w:lineRule="exact"/>
              <w:rPr>
                <w:sz w:val="20"/>
                <w:szCs w:val="20"/>
                <w:color w:val="auto"/>
              </w:rPr>
            </w:pPr>
            <w:r>
              <w:rPr>
                <w:rFonts w:ascii="Arial" w:cs="Arial" w:eastAsia="Arial" w:hAnsi="Arial"/>
                <w:sz w:val="13"/>
                <w:szCs w:val="13"/>
                <w:color w:val="auto"/>
              </w:rPr>
              <w:t>Equity Incentive Plan Awards</w:t>
            </w:r>
            <w:r>
              <w:rPr>
                <w:rFonts w:ascii="Arial" w:cs="Arial" w:eastAsia="Arial" w:hAnsi="Arial"/>
                <w:sz w:val="16"/>
                <w:szCs w:val="16"/>
                <w:color w:val="auto"/>
                <w:vertAlign w:val="superscript"/>
              </w:rPr>
              <w:t>(2)</w:t>
            </w:r>
          </w:p>
        </w:tc>
        <w:tc>
          <w:tcPr>
            <w:tcW w:w="880" w:type="dxa"/>
            <w:vAlign w:val="bottom"/>
            <w:vMerge w:val="continue"/>
            <w:shd w:val="clear" w:color="auto" w:fill="E5E7EF"/>
          </w:tcPr>
          <w:p>
            <w:pPr>
              <w:spacing w:after="0"/>
              <w:rPr>
                <w:sz w:val="3"/>
                <w:szCs w:val="3"/>
                <w:color w:val="auto"/>
              </w:rPr>
            </w:pPr>
          </w:p>
        </w:tc>
        <w:tc>
          <w:tcPr>
            <w:tcW w:w="1080" w:type="dxa"/>
            <w:vAlign w:val="bottom"/>
            <w:shd w:val="clear" w:color="auto" w:fill="E5E7EF"/>
          </w:tcPr>
          <w:p>
            <w:pPr>
              <w:spacing w:after="0"/>
              <w:rPr>
                <w:sz w:val="3"/>
                <w:szCs w:val="3"/>
                <w:color w:val="auto"/>
              </w:rPr>
            </w:pPr>
          </w:p>
        </w:tc>
        <w:tc>
          <w:tcPr>
            <w:tcW w:w="0" w:type="dxa"/>
            <w:vAlign w:val="bottom"/>
          </w:tcPr>
          <w:p>
            <w:pPr>
              <w:spacing w:after="0"/>
              <w:rPr>
                <w:sz w:val="1"/>
                <w:szCs w:val="1"/>
                <w:color w:val="auto"/>
              </w:rPr>
            </w:pPr>
          </w:p>
        </w:tc>
      </w:tr>
      <w:tr>
        <w:trPr>
          <w:trHeight w:val="140"/>
        </w:trPr>
        <w:tc>
          <w:tcPr>
            <w:tcW w:w="2600" w:type="dxa"/>
            <w:vAlign w:val="bottom"/>
            <w:tcBorders>
              <w:bottom w:val="single" w:sz="8" w:color="E5E7EF"/>
            </w:tcBorders>
            <w:shd w:val="clear" w:color="auto" w:fill="E5E7EF"/>
          </w:tcPr>
          <w:p>
            <w:pPr>
              <w:spacing w:after="0"/>
              <w:rPr>
                <w:sz w:val="12"/>
                <w:szCs w:val="12"/>
                <w:color w:val="auto"/>
              </w:rPr>
            </w:pPr>
          </w:p>
        </w:tc>
        <w:tc>
          <w:tcPr>
            <w:tcW w:w="880" w:type="dxa"/>
            <w:vAlign w:val="bottom"/>
            <w:tcBorders>
              <w:bottom w:val="single" w:sz="8" w:color="E5E7EF"/>
            </w:tcBorders>
            <w:shd w:val="clear" w:color="auto" w:fill="E5E7EF"/>
          </w:tcPr>
          <w:p>
            <w:pPr>
              <w:spacing w:after="0"/>
              <w:rPr>
                <w:sz w:val="12"/>
                <w:szCs w:val="12"/>
                <w:color w:val="auto"/>
              </w:rPr>
            </w:pPr>
          </w:p>
        </w:tc>
        <w:tc>
          <w:tcPr>
            <w:tcW w:w="580" w:type="dxa"/>
            <w:vAlign w:val="bottom"/>
            <w:tcBorders>
              <w:bottom w:val="single" w:sz="8" w:color="E5E7EF"/>
            </w:tcBorders>
            <w:shd w:val="clear" w:color="auto" w:fill="E5E7EF"/>
          </w:tcPr>
          <w:p>
            <w:pPr>
              <w:spacing w:after="0"/>
              <w:rPr>
                <w:sz w:val="12"/>
                <w:szCs w:val="12"/>
                <w:color w:val="auto"/>
              </w:rPr>
            </w:pPr>
          </w:p>
        </w:tc>
        <w:tc>
          <w:tcPr>
            <w:tcW w:w="80" w:type="dxa"/>
            <w:vAlign w:val="bottom"/>
            <w:tcBorders>
              <w:bottom w:val="single" w:sz="8" w:color="E5E7EF"/>
            </w:tcBorders>
            <w:shd w:val="clear" w:color="auto" w:fill="E5E7EF"/>
          </w:tcPr>
          <w:p>
            <w:pPr>
              <w:spacing w:after="0"/>
              <w:rPr>
                <w:sz w:val="12"/>
                <w:szCs w:val="12"/>
                <w:color w:val="auto"/>
              </w:rPr>
            </w:pPr>
          </w:p>
        </w:tc>
        <w:tc>
          <w:tcPr>
            <w:tcW w:w="2660" w:type="dxa"/>
            <w:vAlign w:val="bottom"/>
            <w:tcBorders>
              <w:bottom w:val="single" w:sz="8" w:color="E5E7EF"/>
            </w:tcBorders>
            <w:gridSpan w:val="4"/>
            <w:vMerge w:val="continue"/>
            <w:shd w:val="clear" w:color="auto" w:fill="E5E7EF"/>
          </w:tcPr>
          <w:p>
            <w:pPr>
              <w:spacing w:after="0"/>
              <w:rPr>
                <w:sz w:val="12"/>
                <w:szCs w:val="12"/>
                <w:color w:val="auto"/>
              </w:rPr>
            </w:pPr>
          </w:p>
        </w:tc>
        <w:tc>
          <w:tcPr>
            <w:tcW w:w="2480" w:type="dxa"/>
            <w:vAlign w:val="bottom"/>
            <w:tcBorders>
              <w:bottom w:val="single" w:sz="8" w:color="E5E7EF"/>
            </w:tcBorders>
            <w:gridSpan w:val="3"/>
            <w:vMerge w:val="continue"/>
            <w:shd w:val="clear" w:color="auto" w:fill="E5E7EF"/>
          </w:tcPr>
          <w:p>
            <w:pPr>
              <w:spacing w:after="0"/>
              <w:rPr>
                <w:sz w:val="12"/>
                <w:szCs w:val="12"/>
                <w:color w:val="auto"/>
              </w:rPr>
            </w:pPr>
          </w:p>
        </w:tc>
        <w:tc>
          <w:tcPr>
            <w:tcW w:w="880" w:type="dxa"/>
            <w:vAlign w:val="bottom"/>
            <w:tcBorders>
              <w:bottom w:val="single" w:sz="8" w:color="E5E7EF"/>
            </w:tcBorders>
            <w:shd w:val="clear" w:color="auto" w:fill="E5E7EF"/>
          </w:tcPr>
          <w:p>
            <w:pPr>
              <w:jc w:val="right"/>
              <w:spacing w:after="0" w:line="141" w:lineRule="exact"/>
              <w:rPr>
                <w:sz w:val="20"/>
                <w:szCs w:val="20"/>
                <w:color w:val="auto"/>
              </w:rPr>
            </w:pPr>
            <w:r>
              <w:rPr>
                <w:rFonts w:ascii="Arial" w:cs="Arial" w:eastAsia="Arial" w:hAnsi="Arial"/>
                <w:sz w:val="13"/>
                <w:szCs w:val="13"/>
                <w:color w:val="auto"/>
              </w:rPr>
              <w:t>Number of</w:t>
            </w:r>
          </w:p>
        </w:tc>
        <w:tc>
          <w:tcPr>
            <w:tcW w:w="1080" w:type="dxa"/>
            <w:vAlign w:val="bottom"/>
            <w:tcBorders>
              <w:bottom w:val="single" w:sz="8" w:color="E5E7EF"/>
            </w:tcBorders>
            <w:shd w:val="clear" w:color="auto" w:fill="E5E7E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600" w:type="dxa"/>
            <w:vAlign w:val="bottom"/>
            <w:tcBorders>
              <w:top w:val="single" w:sz="8" w:color="E5E7EF"/>
            </w:tcBorders>
            <w:shd w:val="clear" w:color="auto" w:fill="E5E7EF"/>
          </w:tcPr>
          <w:p>
            <w:pPr>
              <w:spacing w:after="0"/>
              <w:rPr>
                <w:sz w:val="11"/>
                <w:szCs w:val="11"/>
                <w:color w:val="auto"/>
              </w:rPr>
            </w:pPr>
          </w:p>
        </w:tc>
        <w:tc>
          <w:tcPr>
            <w:tcW w:w="880" w:type="dxa"/>
            <w:vAlign w:val="bottom"/>
            <w:tcBorders>
              <w:top w:val="single" w:sz="8" w:color="E5E7EF"/>
            </w:tcBorders>
            <w:shd w:val="clear" w:color="auto" w:fill="E5E7EF"/>
          </w:tcPr>
          <w:p>
            <w:pPr>
              <w:spacing w:after="0"/>
              <w:rPr>
                <w:sz w:val="11"/>
                <w:szCs w:val="11"/>
                <w:color w:val="auto"/>
              </w:rPr>
            </w:pPr>
          </w:p>
        </w:tc>
        <w:tc>
          <w:tcPr>
            <w:tcW w:w="580" w:type="dxa"/>
            <w:vAlign w:val="bottom"/>
            <w:tcBorders>
              <w:top w:val="single" w:sz="8" w:color="E5E7EF"/>
            </w:tcBorders>
            <w:shd w:val="clear" w:color="auto" w:fill="E5E7EF"/>
          </w:tcPr>
          <w:p>
            <w:pPr>
              <w:spacing w:after="0"/>
              <w:rPr>
                <w:sz w:val="11"/>
                <w:szCs w:val="11"/>
                <w:color w:val="auto"/>
              </w:rPr>
            </w:pPr>
          </w:p>
        </w:tc>
        <w:tc>
          <w:tcPr>
            <w:tcW w:w="80" w:type="dxa"/>
            <w:vAlign w:val="bottom"/>
            <w:tcBorders>
              <w:top w:val="single" w:sz="8" w:color="E5E7EF"/>
            </w:tcBorders>
            <w:shd w:val="clear" w:color="auto" w:fill="E5E7EF"/>
          </w:tcPr>
          <w:p>
            <w:pPr>
              <w:spacing w:after="0"/>
              <w:rPr>
                <w:sz w:val="11"/>
                <w:szCs w:val="11"/>
                <w:color w:val="auto"/>
              </w:rPr>
            </w:pPr>
          </w:p>
        </w:tc>
        <w:tc>
          <w:tcPr>
            <w:tcW w:w="840" w:type="dxa"/>
            <w:vAlign w:val="bottom"/>
            <w:tcBorders>
              <w:top w:val="single" w:sz="8" w:color="002E6D"/>
            </w:tcBorders>
            <w:shd w:val="clear" w:color="auto" w:fill="E5E7EF"/>
          </w:tcPr>
          <w:p>
            <w:pPr>
              <w:spacing w:after="0"/>
              <w:rPr>
                <w:sz w:val="11"/>
                <w:szCs w:val="11"/>
                <w:color w:val="auto"/>
              </w:rPr>
            </w:pPr>
          </w:p>
        </w:tc>
        <w:tc>
          <w:tcPr>
            <w:tcW w:w="880" w:type="dxa"/>
            <w:vAlign w:val="bottom"/>
            <w:tcBorders>
              <w:top w:val="single" w:sz="8" w:color="002E6D"/>
            </w:tcBorders>
            <w:shd w:val="clear" w:color="auto" w:fill="E5E7EF"/>
          </w:tcPr>
          <w:p>
            <w:pPr>
              <w:spacing w:after="0"/>
              <w:rPr>
                <w:sz w:val="11"/>
                <w:szCs w:val="11"/>
                <w:color w:val="auto"/>
              </w:rPr>
            </w:pPr>
          </w:p>
        </w:tc>
        <w:tc>
          <w:tcPr>
            <w:tcW w:w="860" w:type="dxa"/>
            <w:vAlign w:val="bottom"/>
            <w:tcBorders>
              <w:top w:val="single" w:sz="8" w:color="002E6D"/>
            </w:tcBorders>
            <w:shd w:val="clear" w:color="auto" w:fill="E5E7EF"/>
          </w:tcPr>
          <w:p>
            <w:pPr>
              <w:spacing w:after="0"/>
              <w:rPr>
                <w:sz w:val="11"/>
                <w:szCs w:val="11"/>
                <w:color w:val="auto"/>
              </w:rPr>
            </w:pPr>
          </w:p>
        </w:tc>
        <w:tc>
          <w:tcPr>
            <w:tcW w:w="80" w:type="dxa"/>
            <w:vAlign w:val="bottom"/>
            <w:tcBorders>
              <w:top w:val="single" w:sz="8" w:color="E5E7EF"/>
            </w:tcBorders>
            <w:shd w:val="clear" w:color="auto" w:fill="E5E7EF"/>
          </w:tcPr>
          <w:p>
            <w:pPr>
              <w:spacing w:after="0"/>
              <w:rPr>
                <w:sz w:val="11"/>
                <w:szCs w:val="11"/>
                <w:color w:val="auto"/>
              </w:rPr>
            </w:pPr>
          </w:p>
        </w:tc>
        <w:tc>
          <w:tcPr>
            <w:tcW w:w="1000" w:type="dxa"/>
            <w:vAlign w:val="bottom"/>
            <w:tcBorders>
              <w:top w:val="single" w:sz="8" w:color="002E6D"/>
            </w:tcBorders>
            <w:shd w:val="clear" w:color="auto" w:fill="E5E7EF"/>
          </w:tcPr>
          <w:p>
            <w:pPr>
              <w:spacing w:after="0"/>
              <w:rPr>
                <w:sz w:val="11"/>
                <w:szCs w:val="11"/>
                <w:color w:val="auto"/>
              </w:rPr>
            </w:pPr>
          </w:p>
        </w:tc>
        <w:tc>
          <w:tcPr>
            <w:tcW w:w="760" w:type="dxa"/>
            <w:vAlign w:val="bottom"/>
            <w:tcBorders>
              <w:top w:val="single" w:sz="8" w:color="002E6D"/>
            </w:tcBorders>
            <w:shd w:val="clear" w:color="auto" w:fill="E5E7EF"/>
          </w:tcPr>
          <w:p>
            <w:pPr>
              <w:spacing w:after="0"/>
              <w:rPr>
                <w:sz w:val="11"/>
                <w:szCs w:val="11"/>
                <w:color w:val="auto"/>
              </w:rPr>
            </w:pPr>
          </w:p>
        </w:tc>
        <w:tc>
          <w:tcPr>
            <w:tcW w:w="720" w:type="dxa"/>
            <w:vAlign w:val="bottom"/>
            <w:tcBorders>
              <w:top w:val="single" w:sz="8" w:color="002E6D"/>
            </w:tcBorders>
            <w:shd w:val="clear" w:color="auto" w:fill="E5E7EF"/>
          </w:tcPr>
          <w:p>
            <w:pPr>
              <w:spacing w:after="0"/>
              <w:rPr>
                <w:sz w:val="11"/>
                <w:szCs w:val="11"/>
                <w:color w:val="auto"/>
              </w:rPr>
            </w:pPr>
          </w:p>
        </w:tc>
        <w:tc>
          <w:tcPr>
            <w:tcW w:w="880" w:type="dxa"/>
            <w:vAlign w:val="bottom"/>
            <w:tcBorders>
              <w:top w:val="single" w:sz="8" w:color="E5E7EF"/>
            </w:tcBorders>
            <w:shd w:val="clear" w:color="auto" w:fill="E5E7EF"/>
          </w:tcPr>
          <w:p>
            <w:pPr>
              <w:jc w:val="right"/>
              <w:spacing w:after="0" w:line="136" w:lineRule="exact"/>
              <w:rPr>
                <w:sz w:val="20"/>
                <w:szCs w:val="20"/>
                <w:color w:val="auto"/>
              </w:rPr>
            </w:pPr>
            <w:r>
              <w:rPr>
                <w:rFonts w:ascii="Arial" w:cs="Arial" w:eastAsia="Arial" w:hAnsi="Arial"/>
                <w:sz w:val="13"/>
                <w:szCs w:val="13"/>
                <w:color w:val="auto"/>
              </w:rPr>
              <w:t>Shares of</w:t>
            </w:r>
          </w:p>
        </w:tc>
        <w:tc>
          <w:tcPr>
            <w:tcW w:w="1080" w:type="dxa"/>
            <w:vAlign w:val="bottom"/>
            <w:tcBorders>
              <w:top w:val="single" w:sz="8" w:color="E5E7EF"/>
            </w:tcBorders>
            <w:shd w:val="clear" w:color="auto" w:fill="E5E7EF"/>
          </w:tcPr>
          <w:p>
            <w:pPr>
              <w:jc w:val="right"/>
              <w:spacing w:after="0" w:line="136" w:lineRule="exact"/>
              <w:rPr>
                <w:sz w:val="20"/>
                <w:szCs w:val="20"/>
                <w:color w:val="auto"/>
              </w:rPr>
            </w:pPr>
            <w:r>
              <w:rPr>
                <w:rFonts w:ascii="Arial" w:cs="Arial" w:eastAsia="Arial" w:hAnsi="Arial"/>
                <w:sz w:val="13"/>
                <w:szCs w:val="13"/>
                <w:color w:val="auto"/>
              </w:rPr>
              <w:t>Grant Date</w:t>
            </w:r>
          </w:p>
        </w:tc>
        <w:tc>
          <w:tcPr>
            <w:tcW w:w="0" w:type="dxa"/>
            <w:vAlign w:val="bottom"/>
          </w:tcPr>
          <w:p>
            <w:pPr>
              <w:spacing w:after="0"/>
              <w:rPr>
                <w:sz w:val="1"/>
                <w:szCs w:val="1"/>
                <w:color w:val="auto"/>
              </w:rPr>
            </w:pPr>
          </w:p>
        </w:tc>
      </w:tr>
      <w:tr>
        <w:trPr>
          <w:trHeight w:val="147"/>
        </w:trPr>
        <w:tc>
          <w:tcPr>
            <w:tcW w:w="2600" w:type="dxa"/>
            <w:vAlign w:val="bottom"/>
            <w:shd w:val="clear" w:color="auto" w:fill="E5E7EF"/>
          </w:tcPr>
          <w:p>
            <w:pPr>
              <w:spacing w:after="0"/>
              <w:rPr>
                <w:sz w:val="12"/>
                <w:szCs w:val="12"/>
                <w:color w:val="auto"/>
              </w:rPr>
            </w:pPr>
          </w:p>
        </w:tc>
        <w:tc>
          <w:tcPr>
            <w:tcW w:w="880" w:type="dxa"/>
            <w:vAlign w:val="bottom"/>
            <w:shd w:val="clear" w:color="auto" w:fill="E5E7EF"/>
          </w:tcPr>
          <w:p>
            <w:pPr>
              <w:spacing w:after="0"/>
              <w:rPr>
                <w:sz w:val="12"/>
                <w:szCs w:val="12"/>
                <w:color w:val="auto"/>
              </w:rPr>
            </w:pPr>
          </w:p>
        </w:tc>
        <w:tc>
          <w:tcPr>
            <w:tcW w:w="580" w:type="dxa"/>
            <w:vAlign w:val="bottom"/>
            <w:shd w:val="clear" w:color="auto" w:fill="E5E7EF"/>
          </w:tcPr>
          <w:p>
            <w:pPr>
              <w:spacing w:after="0"/>
              <w:rPr>
                <w:sz w:val="12"/>
                <w:szCs w:val="12"/>
                <w:color w:val="auto"/>
              </w:rPr>
            </w:pPr>
          </w:p>
        </w:tc>
        <w:tc>
          <w:tcPr>
            <w:tcW w:w="80" w:type="dxa"/>
            <w:vAlign w:val="bottom"/>
            <w:shd w:val="clear" w:color="auto" w:fill="E5E7EF"/>
          </w:tcPr>
          <w:p>
            <w:pPr>
              <w:spacing w:after="0"/>
              <w:rPr>
                <w:sz w:val="12"/>
                <w:szCs w:val="12"/>
                <w:color w:val="auto"/>
              </w:rPr>
            </w:pPr>
          </w:p>
        </w:tc>
        <w:tc>
          <w:tcPr>
            <w:tcW w:w="840" w:type="dxa"/>
            <w:vAlign w:val="bottom"/>
            <w:shd w:val="clear" w:color="auto" w:fill="E5E7EF"/>
          </w:tcPr>
          <w:p>
            <w:pPr>
              <w:spacing w:after="0"/>
              <w:rPr>
                <w:sz w:val="12"/>
                <w:szCs w:val="12"/>
                <w:color w:val="auto"/>
              </w:rPr>
            </w:pPr>
          </w:p>
        </w:tc>
        <w:tc>
          <w:tcPr>
            <w:tcW w:w="880" w:type="dxa"/>
            <w:vAlign w:val="bottom"/>
            <w:shd w:val="clear" w:color="auto" w:fill="E5E7EF"/>
          </w:tcPr>
          <w:p>
            <w:pPr>
              <w:spacing w:after="0"/>
              <w:rPr>
                <w:sz w:val="12"/>
                <w:szCs w:val="12"/>
                <w:color w:val="auto"/>
              </w:rPr>
            </w:pPr>
          </w:p>
        </w:tc>
        <w:tc>
          <w:tcPr>
            <w:tcW w:w="860" w:type="dxa"/>
            <w:vAlign w:val="bottom"/>
            <w:shd w:val="clear" w:color="auto" w:fill="E5E7EF"/>
          </w:tcPr>
          <w:p>
            <w:pPr>
              <w:spacing w:after="0"/>
              <w:rPr>
                <w:sz w:val="12"/>
                <w:szCs w:val="12"/>
                <w:color w:val="auto"/>
              </w:rPr>
            </w:pPr>
          </w:p>
        </w:tc>
        <w:tc>
          <w:tcPr>
            <w:tcW w:w="80" w:type="dxa"/>
            <w:vAlign w:val="bottom"/>
            <w:shd w:val="clear" w:color="auto" w:fill="E5E7EF"/>
          </w:tcPr>
          <w:p>
            <w:pPr>
              <w:spacing w:after="0"/>
              <w:rPr>
                <w:sz w:val="12"/>
                <w:szCs w:val="12"/>
                <w:color w:val="auto"/>
              </w:rPr>
            </w:pPr>
          </w:p>
        </w:tc>
        <w:tc>
          <w:tcPr>
            <w:tcW w:w="1000" w:type="dxa"/>
            <w:vAlign w:val="bottom"/>
            <w:shd w:val="clear" w:color="auto" w:fill="E5E7EF"/>
          </w:tcPr>
          <w:p>
            <w:pPr>
              <w:spacing w:after="0"/>
              <w:rPr>
                <w:sz w:val="12"/>
                <w:szCs w:val="12"/>
                <w:color w:val="auto"/>
              </w:rPr>
            </w:pPr>
          </w:p>
        </w:tc>
        <w:tc>
          <w:tcPr>
            <w:tcW w:w="760" w:type="dxa"/>
            <w:vAlign w:val="bottom"/>
            <w:shd w:val="clear" w:color="auto" w:fill="E5E7EF"/>
          </w:tcPr>
          <w:p>
            <w:pPr>
              <w:spacing w:after="0"/>
              <w:rPr>
                <w:sz w:val="12"/>
                <w:szCs w:val="12"/>
                <w:color w:val="auto"/>
              </w:rPr>
            </w:pPr>
          </w:p>
        </w:tc>
        <w:tc>
          <w:tcPr>
            <w:tcW w:w="720" w:type="dxa"/>
            <w:vAlign w:val="bottom"/>
            <w:shd w:val="clear" w:color="auto" w:fill="E5E7EF"/>
          </w:tcPr>
          <w:p>
            <w:pPr>
              <w:spacing w:after="0"/>
              <w:rPr>
                <w:sz w:val="12"/>
                <w:szCs w:val="12"/>
                <w:color w:val="auto"/>
              </w:rPr>
            </w:pPr>
          </w:p>
        </w:tc>
        <w:tc>
          <w:tcPr>
            <w:tcW w:w="880" w:type="dxa"/>
            <w:vAlign w:val="bottom"/>
            <w:shd w:val="clear" w:color="auto" w:fill="E5E7EF"/>
          </w:tcPr>
          <w:p>
            <w:pPr>
              <w:jc w:val="right"/>
              <w:spacing w:after="0" w:line="148" w:lineRule="exact"/>
              <w:rPr>
                <w:sz w:val="20"/>
                <w:szCs w:val="20"/>
                <w:color w:val="auto"/>
              </w:rPr>
            </w:pPr>
            <w:r>
              <w:rPr>
                <w:rFonts w:ascii="Arial" w:cs="Arial" w:eastAsia="Arial" w:hAnsi="Arial"/>
                <w:sz w:val="13"/>
                <w:szCs w:val="13"/>
                <w:color w:val="auto"/>
              </w:rPr>
              <w:t>Stock or</w:t>
            </w:r>
          </w:p>
        </w:tc>
        <w:tc>
          <w:tcPr>
            <w:tcW w:w="1080" w:type="dxa"/>
            <w:vAlign w:val="bottom"/>
            <w:shd w:val="clear" w:color="auto" w:fill="E5E7EF"/>
          </w:tcPr>
          <w:p>
            <w:pPr>
              <w:jc w:val="right"/>
              <w:spacing w:after="0" w:line="148" w:lineRule="exact"/>
              <w:rPr>
                <w:sz w:val="20"/>
                <w:szCs w:val="20"/>
                <w:color w:val="auto"/>
              </w:rPr>
            </w:pPr>
            <w:r>
              <w:rPr>
                <w:rFonts w:ascii="Arial" w:cs="Arial" w:eastAsia="Arial" w:hAnsi="Arial"/>
                <w:sz w:val="13"/>
                <w:szCs w:val="13"/>
                <w:color w:val="auto"/>
              </w:rPr>
              <w:t>Fair Value of</w:t>
            </w:r>
          </w:p>
        </w:tc>
        <w:tc>
          <w:tcPr>
            <w:tcW w:w="0" w:type="dxa"/>
            <w:vAlign w:val="bottom"/>
          </w:tcPr>
          <w:p>
            <w:pPr>
              <w:spacing w:after="0"/>
              <w:rPr>
                <w:sz w:val="1"/>
                <w:szCs w:val="1"/>
                <w:color w:val="auto"/>
              </w:rPr>
            </w:pPr>
          </w:p>
        </w:tc>
      </w:tr>
      <w:tr>
        <w:trPr>
          <w:trHeight w:val="181"/>
        </w:trPr>
        <w:tc>
          <w:tcPr>
            <w:tcW w:w="2600" w:type="dxa"/>
            <w:vAlign w:val="bottom"/>
            <w:shd w:val="clear" w:color="auto" w:fill="E5E7EF"/>
          </w:tcPr>
          <w:p>
            <w:pPr>
              <w:spacing w:after="0"/>
              <w:rPr>
                <w:sz w:val="15"/>
                <w:szCs w:val="15"/>
                <w:color w:val="auto"/>
              </w:rPr>
            </w:pPr>
          </w:p>
        </w:tc>
        <w:tc>
          <w:tcPr>
            <w:tcW w:w="880" w:type="dxa"/>
            <w:vAlign w:val="bottom"/>
            <w:vMerge w:val="restart"/>
            <w:shd w:val="clear" w:color="auto" w:fill="E5E7EF"/>
          </w:tcPr>
          <w:p>
            <w:pPr>
              <w:jc w:val="right"/>
              <w:spacing w:after="0"/>
              <w:rPr>
                <w:sz w:val="20"/>
                <w:szCs w:val="20"/>
                <w:color w:val="auto"/>
              </w:rPr>
            </w:pPr>
            <w:r>
              <w:rPr>
                <w:rFonts w:ascii="Arial" w:cs="Arial" w:eastAsia="Arial" w:hAnsi="Arial"/>
                <w:sz w:val="13"/>
                <w:szCs w:val="13"/>
                <w:color w:val="auto"/>
              </w:rPr>
              <w:t>Grant</w:t>
            </w:r>
          </w:p>
        </w:tc>
        <w:tc>
          <w:tcPr>
            <w:tcW w:w="580" w:type="dxa"/>
            <w:vAlign w:val="bottom"/>
            <w:vMerge w:val="restart"/>
            <w:shd w:val="clear" w:color="auto" w:fill="E5E7EF"/>
          </w:tcPr>
          <w:p>
            <w:pPr>
              <w:jc w:val="right"/>
              <w:spacing w:after="0"/>
              <w:rPr>
                <w:sz w:val="20"/>
                <w:szCs w:val="20"/>
                <w:color w:val="auto"/>
              </w:rPr>
            </w:pPr>
            <w:r>
              <w:rPr>
                <w:rFonts w:ascii="Arial" w:cs="Arial" w:eastAsia="Arial" w:hAnsi="Arial"/>
                <w:sz w:val="13"/>
                <w:szCs w:val="13"/>
                <w:color w:val="auto"/>
              </w:rPr>
              <w:t>Award</w:t>
            </w:r>
          </w:p>
        </w:tc>
        <w:tc>
          <w:tcPr>
            <w:tcW w:w="80" w:type="dxa"/>
            <w:vAlign w:val="bottom"/>
            <w:shd w:val="clear" w:color="auto" w:fill="E5E7EF"/>
          </w:tcPr>
          <w:p>
            <w:pPr>
              <w:spacing w:after="0"/>
              <w:rPr>
                <w:sz w:val="15"/>
                <w:szCs w:val="15"/>
                <w:color w:val="auto"/>
              </w:rPr>
            </w:pPr>
          </w:p>
        </w:tc>
        <w:tc>
          <w:tcPr>
            <w:tcW w:w="840" w:type="dxa"/>
            <w:vAlign w:val="bottom"/>
            <w:shd w:val="clear" w:color="auto" w:fill="E5E7EF"/>
          </w:tcPr>
          <w:p>
            <w:pPr>
              <w:jc w:val="right"/>
              <w:spacing w:after="0"/>
              <w:rPr>
                <w:sz w:val="20"/>
                <w:szCs w:val="20"/>
                <w:color w:val="auto"/>
              </w:rPr>
            </w:pPr>
            <w:r>
              <w:rPr>
                <w:rFonts w:ascii="Arial" w:cs="Arial" w:eastAsia="Arial" w:hAnsi="Arial"/>
                <w:sz w:val="13"/>
                <w:szCs w:val="13"/>
                <w:color w:val="auto"/>
              </w:rPr>
              <w:t>Threshold</w:t>
            </w:r>
          </w:p>
        </w:tc>
        <w:tc>
          <w:tcPr>
            <w:tcW w:w="8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Target</w:t>
            </w:r>
          </w:p>
        </w:tc>
        <w:tc>
          <w:tcPr>
            <w:tcW w:w="940" w:type="dxa"/>
            <w:vAlign w:val="bottom"/>
            <w:gridSpan w:val="2"/>
            <w:shd w:val="clear" w:color="auto" w:fill="E5E7EF"/>
          </w:tcPr>
          <w:p>
            <w:pPr>
              <w:jc w:val="right"/>
              <w:ind w:right="100"/>
              <w:spacing w:after="0"/>
              <w:rPr>
                <w:sz w:val="20"/>
                <w:szCs w:val="20"/>
                <w:color w:val="auto"/>
              </w:rPr>
            </w:pPr>
            <w:r>
              <w:rPr>
                <w:rFonts w:ascii="Arial" w:cs="Arial" w:eastAsia="Arial" w:hAnsi="Arial"/>
                <w:sz w:val="13"/>
                <w:szCs w:val="13"/>
                <w:color w:val="auto"/>
              </w:rPr>
              <w:t>Maximum</w:t>
            </w:r>
          </w:p>
        </w:tc>
        <w:tc>
          <w:tcPr>
            <w:tcW w:w="1000" w:type="dxa"/>
            <w:vAlign w:val="bottom"/>
            <w:shd w:val="clear" w:color="auto" w:fill="E5E7EF"/>
          </w:tcPr>
          <w:p>
            <w:pPr>
              <w:jc w:val="right"/>
              <w:ind w:right="110"/>
              <w:spacing w:after="0"/>
              <w:rPr>
                <w:sz w:val="20"/>
                <w:szCs w:val="20"/>
                <w:color w:val="auto"/>
              </w:rPr>
            </w:pPr>
            <w:r>
              <w:rPr>
                <w:rFonts w:ascii="Arial" w:cs="Arial" w:eastAsia="Arial" w:hAnsi="Arial"/>
                <w:sz w:val="13"/>
                <w:szCs w:val="13"/>
                <w:color w:val="auto"/>
              </w:rPr>
              <w:t>Threshold</w:t>
            </w:r>
          </w:p>
        </w:tc>
        <w:tc>
          <w:tcPr>
            <w:tcW w:w="760" w:type="dxa"/>
            <w:vAlign w:val="bottom"/>
            <w:shd w:val="clear" w:color="auto" w:fill="E5E7EF"/>
          </w:tcPr>
          <w:p>
            <w:pPr>
              <w:jc w:val="right"/>
              <w:ind w:right="89"/>
              <w:spacing w:after="0"/>
              <w:rPr>
                <w:sz w:val="20"/>
                <w:szCs w:val="20"/>
                <w:color w:val="auto"/>
              </w:rPr>
            </w:pPr>
            <w:r>
              <w:rPr>
                <w:rFonts w:ascii="Arial" w:cs="Arial" w:eastAsia="Arial" w:hAnsi="Arial"/>
                <w:sz w:val="13"/>
                <w:szCs w:val="13"/>
                <w:color w:val="auto"/>
              </w:rPr>
              <w:t>Target</w:t>
            </w:r>
          </w:p>
        </w:tc>
        <w:tc>
          <w:tcPr>
            <w:tcW w:w="720" w:type="dxa"/>
            <w:vAlign w:val="bottom"/>
            <w:shd w:val="clear" w:color="auto" w:fill="E5E7EF"/>
          </w:tcPr>
          <w:p>
            <w:pPr>
              <w:jc w:val="right"/>
              <w:spacing w:after="0"/>
              <w:rPr>
                <w:sz w:val="20"/>
                <w:szCs w:val="20"/>
                <w:color w:val="auto"/>
              </w:rPr>
            </w:pPr>
            <w:r>
              <w:rPr>
                <w:rFonts w:ascii="Arial" w:cs="Arial" w:eastAsia="Arial" w:hAnsi="Arial"/>
                <w:sz w:val="13"/>
                <w:szCs w:val="13"/>
                <w:color w:val="auto"/>
              </w:rPr>
              <w:t>Maximum</w:t>
            </w:r>
          </w:p>
        </w:tc>
        <w:tc>
          <w:tcPr>
            <w:tcW w:w="880" w:type="dxa"/>
            <w:vAlign w:val="bottom"/>
            <w:shd w:val="clear" w:color="auto" w:fill="E5E7EF"/>
          </w:tcPr>
          <w:p>
            <w:pPr>
              <w:jc w:val="right"/>
              <w:spacing w:after="0" w:line="181" w:lineRule="exact"/>
              <w:rPr>
                <w:sz w:val="20"/>
                <w:szCs w:val="20"/>
                <w:color w:val="auto"/>
              </w:rPr>
            </w:pPr>
            <w:r>
              <w:rPr>
                <w:rFonts w:ascii="Arial" w:cs="Arial" w:eastAsia="Arial" w:hAnsi="Arial"/>
                <w:sz w:val="13"/>
                <w:szCs w:val="13"/>
                <w:color w:val="auto"/>
              </w:rPr>
              <w:t>Units</w:t>
            </w:r>
            <w:r>
              <w:rPr>
                <w:rFonts w:ascii="Arial" w:cs="Arial" w:eastAsia="Arial" w:hAnsi="Arial"/>
                <w:sz w:val="16"/>
                <w:szCs w:val="16"/>
                <w:color w:val="auto"/>
                <w:vertAlign w:val="superscript"/>
              </w:rPr>
              <w:t>(3)</w:t>
            </w:r>
          </w:p>
        </w:tc>
        <w:tc>
          <w:tcPr>
            <w:tcW w:w="1080" w:type="dxa"/>
            <w:vAlign w:val="bottom"/>
            <w:shd w:val="clear" w:color="auto" w:fill="E5E7EF"/>
          </w:tcPr>
          <w:p>
            <w:pPr>
              <w:jc w:val="right"/>
              <w:spacing w:after="0" w:line="181" w:lineRule="exact"/>
              <w:rPr>
                <w:sz w:val="20"/>
                <w:szCs w:val="20"/>
                <w:color w:val="auto"/>
              </w:rPr>
            </w:pPr>
            <w:r>
              <w:rPr>
                <w:rFonts w:ascii="Arial" w:cs="Arial" w:eastAsia="Arial" w:hAnsi="Arial"/>
                <w:sz w:val="13"/>
                <w:szCs w:val="13"/>
                <w:color w:val="auto"/>
              </w:rPr>
              <w:t>Stock Awards</w:t>
            </w:r>
            <w:r>
              <w:rPr>
                <w:rFonts w:ascii="Arial" w:cs="Arial" w:eastAsia="Arial" w:hAnsi="Arial"/>
                <w:sz w:val="16"/>
                <w:szCs w:val="16"/>
                <w:color w:val="auto"/>
                <w:vertAlign w:val="superscript"/>
              </w:rPr>
              <w:t>(4)</w:t>
            </w:r>
          </w:p>
        </w:tc>
        <w:tc>
          <w:tcPr>
            <w:tcW w:w="0" w:type="dxa"/>
            <w:vAlign w:val="bottom"/>
          </w:tcPr>
          <w:p>
            <w:pPr>
              <w:spacing w:after="0"/>
              <w:rPr>
                <w:sz w:val="1"/>
                <w:szCs w:val="1"/>
                <w:color w:val="auto"/>
              </w:rPr>
            </w:pPr>
          </w:p>
        </w:tc>
      </w:tr>
      <w:tr>
        <w:trPr>
          <w:trHeight w:val="34"/>
        </w:trPr>
        <w:tc>
          <w:tcPr>
            <w:tcW w:w="2600" w:type="dxa"/>
            <w:vAlign w:val="bottom"/>
            <w:shd w:val="clear" w:color="auto" w:fill="E5E7EF"/>
          </w:tcPr>
          <w:p>
            <w:pPr>
              <w:spacing w:after="0"/>
              <w:rPr>
                <w:sz w:val="2"/>
                <w:szCs w:val="2"/>
                <w:color w:val="auto"/>
              </w:rPr>
            </w:pPr>
          </w:p>
        </w:tc>
        <w:tc>
          <w:tcPr>
            <w:tcW w:w="880" w:type="dxa"/>
            <w:vAlign w:val="bottom"/>
            <w:vMerge w:val="continue"/>
            <w:shd w:val="clear" w:color="auto" w:fill="E5E7EF"/>
          </w:tcPr>
          <w:p>
            <w:pPr>
              <w:spacing w:after="0"/>
              <w:rPr>
                <w:sz w:val="2"/>
                <w:szCs w:val="2"/>
                <w:color w:val="auto"/>
              </w:rPr>
            </w:pPr>
          </w:p>
        </w:tc>
        <w:tc>
          <w:tcPr>
            <w:tcW w:w="580" w:type="dxa"/>
            <w:vAlign w:val="bottom"/>
            <w:vMerge w:val="continue"/>
            <w:shd w:val="clear" w:color="auto" w:fill="E5E7EF"/>
          </w:tcPr>
          <w:p>
            <w:pPr>
              <w:spacing w:after="0"/>
              <w:rPr>
                <w:sz w:val="2"/>
                <w:szCs w:val="2"/>
                <w:color w:val="auto"/>
              </w:rPr>
            </w:pPr>
          </w:p>
        </w:tc>
        <w:tc>
          <w:tcPr>
            <w:tcW w:w="80" w:type="dxa"/>
            <w:vAlign w:val="bottom"/>
            <w:shd w:val="clear" w:color="auto" w:fill="E5E7EF"/>
          </w:tcPr>
          <w:p>
            <w:pPr>
              <w:spacing w:after="0"/>
              <w:rPr>
                <w:sz w:val="2"/>
                <w:szCs w:val="2"/>
                <w:color w:val="auto"/>
              </w:rPr>
            </w:pPr>
          </w:p>
        </w:tc>
        <w:tc>
          <w:tcPr>
            <w:tcW w:w="840" w:type="dxa"/>
            <w:vAlign w:val="bottom"/>
            <w:shd w:val="clear" w:color="auto" w:fill="E5E7EF"/>
          </w:tcPr>
          <w:p>
            <w:pPr>
              <w:spacing w:after="0"/>
              <w:rPr>
                <w:sz w:val="2"/>
                <w:szCs w:val="2"/>
                <w:color w:val="auto"/>
              </w:rPr>
            </w:pPr>
          </w:p>
        </w:tc>
        <w:tc>
          <w:tcPr>
            <w:tcW w:w="880" w:type="dxa"/>
            <w:vAlign w:val="bottom"/>
            <w:shd w:val="clear" w:color="auto" w:fill="E5E7EF"/>
          </w:tcPr>
          <w:p>
            <w:pPr>
              <w:spacing w:after="0"/>
              <w:rPr>
                <w:sz w:val="2"/>
                <w:szCs w:val="2"/>
                <w:color w:val="auto"/>
              </w:rPr>
            </w:pPr>
          </w:p>
        </w:tc>
        <w:tc>
          <w:tcPr>
            <w:tcW w:w="860" w:type="dxa"/>
            <w:vAlign w:val="bottom"/>
            <w:shd w:val="clear" w:color="auto" w:fill="E5E7EF"/>
          </w:tcPr>
          <w:p>
            <w:pPr>
              <w:spacing w:after="0"/>
              <w:rPr>
                <w:sz w:val="2"/>
                <w:szCs w:val="2"/>
                <w:color w:val="auto"/>
              </w:rPr>
            </w:pPr>
          </w:p>
        </w:tc>
        <w:tc>
          <w:tcPr>
            <w:tcW w:w="80" w:type="dxa"/>
            <w:vAlign w:val="bottom"/>
            <w:shd w:val="clear" w:color="auto" w:fill="E5E7EF"/>
          </w:tcPr>
          <w:p>
            <w:pPr>
              <w:spacing w:after="0"/>
              <w:rPr>
                <w:sz w:val="2"/>
                <w:szCs w:val="2"/>
                <w:color w:val="auto"/>
              </w:rPr>
            </w:pPr>
          </w:p>
        </w:tc>
        <w:tc>
          <w:tcPr>
            <w:tcW w:w="1000" w:type="dxa"/>
            <w:vAlign w:val="bottom"/>
            <w:shd w:val="clear" w:color="auto" w:fill="E5E7EF"/>
          </w:tcPr>
          <w:p>
            <w:pPr>
              <w:spacing w:after="0"/>
              <w:rPr>
                <w:sz w:val="2"/>
                <w:szCs w:val="2"/>
                <w:color w:val="auto"/>
              </w:rPr>
            </w:pPr>
          </w:p>
        </w:tc>
        <w:tc>
          <w:tcPr>
            <w:tcW w:w="760" w:type="dxa"/>
            <w:vAlign w:val="bottom"/>
            <w:shd w:val="clear" w:color="auto" w:fill="E5E7EF"/>
          </w:tcPr>
          <w:p>
            <w:pPr>
              <w:spacing w:after="0"/>
              <w:rPr>
                <w:sz w:val="2"/>
                <w:szCs w:val="2"/>
                <w:color w:val="auto"/>
              </w:rPr>
            </w:pPr>
          </w:p>
        </w:tc>
        <w:tc>
          <w:tcPr>
            <w:tcW w:w="720" w:type="dxa"/>
            <w:vAlign w:val="bottom"/>
            <w:shd w:val="clear" w:color="auto" w:fill="E5E7EF"/>
          </w:tcPr>
          <w:p>
            <w:pPr>
              <w:spacing w:after="0"/>
              <w:rPr>
                <w:sz w:val="2"/>
                <w:szCs w:val="2"/>
                <w:color w:val="auto"/>
              </w:rPr>
            </w:pPr>
          </w:p>
        </w:tc>
        <w:tc>
          <w:tcPr>
            <w:tcW w:w="880" w:type="dxa"/>
            <w:vAlign w:val="bottom"/>
            <w:shd w:val="clear" w:color="auto" w:fill="E5E7EF"/>
          </w:tcPr>
          <w:p>
            <w:pPr>
              <w:spacing w:after="0"/>
              <w:rPr>
                <w:sz w:val="2"/>
                <w:szCs w:val="2"/>
                <w:color w:val="auto"/>
              </w:rPr>
            </w:pPr>
          </w:p>
        </w:tc>
        <w:tc>
          <w:tcPr>
            <w:tcW w:w="1080" w:type="dxa"/>
            <w:vAlign w:val="bottom"/>
            <w:shd w:val="clear" w:color="auto" w:fill="E5E7E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60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Name</w:t>
            </w:r>
          </w:p>
        </w:tc>
        <w:tc>
          <w:tcPr>
            <w:tcW w:w="8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Date</w:t>
            </w:r>
          </w:p>
        </w:tc>
        <w:tc>
          <w:tcPr>
            <w:tcW w:w="5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Type</w:t>
            </w:r>
          </w:p>
        </w:tc>
        <w:tc>
          <w:tcPr>
            <w:tcW w:w="80" w:type="dxa"/>
            <w:vAlign w:val="bottom"/>
            <w:tcBorders>
              <w:bottom w:val="single" w:sz="8" w:color="E5E7EF"/>
            </w:tcBorders>
            <w:shd w:val="clear" w:color="auto" w:fill="E5E7EF"/>
          </w:tcPr>
          <w:p>
            <w:pPr>
              <w:spacing w:after="0"/>
              <w:rPr>
                <w:sz w:val="15"/>
                <w:szCs w:val="15"/>
                <w:color w:val="auto"/>
              </w:rPr>
            </w:pPr>
          </w:p>
        </w:tc>
        <w:tc>
          <w:tcPr>
            <w:tcW w:w="84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E5E7EF"/>
            </w:tcBorders>
            <w:shd w:val="clear" w:color="auto" w:fill="E5E7EF"/>
          </w:tcPr>
          <w:p>
            <w:pPr>
              <w:spacing w:after="0"/>
              <w:rPr>
                <w:sz w:val="15"/>
                <w:szCs w:val="15"/>
                <w:color w:val="auto"/>
              </w:rPr>
            </w:pPr>
          </w:p>
        </w:tc>
        <w:tc>
          <w:tcPr>
            <w:tcW w:w="1000" w:type="dxa"/>
            <w:vAlign w:val="bottom"/>
            <w:tcBorders>
              <w:bottom w:val="single" w:sz="8" w:color="E5E7EF"/>
            </w:tcBorders>
            <w:shd w:val="clear" w:color="auto" w:fill="E5E7EF"/>
          </w:tcPr>
          <w:p>
            <w:pPr>
              <w:jc w:val="right"/>
              <w:ind w:right="110"/>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E5E7EF"/>
            </w:tcBorders>
            <w:shd w:val="clear" w:color="auto" w:fill="E5E7EF"/>
          </w:tcPr>
          <w:p>
            <w:pPr>
              <w:jc w:val="right"/>
              <w:ind w:right="89"/>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0"/>
        </w:trPr>
        <w:tc>
          <w:tcPr>
            <w:tcW w:w="2600" w:type="dxa"/>
            <w:vAlign w:val="bottom"/>
            <w:tcBorders>
              <w:top w:val="single" w:sz="8" w:color="002E6D"/>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(a)</w:t>
            </w:r>
          </w:p>
        </w:tc>
        <w:tc>
          <w:tcPr>
            <w:tcW w:w="880" w:type="dxa"/>
            <w:vAlign w:val="bottom"/>
            <w:tcBorders>
              <w:top w:val="single" w:sz="8" w:color="002E6D"/>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(b)</w:t>
            </w:r>
          </w:p>
        </w:tc>
        <w:tc>
          <w:tcPr>
            <w:tcW w:w="580" w:type="dxa"/>
            <w:vAlign w:val="bottom"/>
            <w:tcBorders>
              <w:top w:val="single" w:sz="8" w:color="002E6D"/>
              <w:bottom w:val="single" w:sz="8" w:color="E5E7EF"/>
            </w:tcBorders>
            <w:shd w:val="clear" w:color="auto" w:fill="E5E7EF"/>
          </w:tcPr>
          <w:p>
            <w:pPr>
              <w:spacing w:after="0"/>
              <w:rPr>
                <w:sz w:val="16"/>
                <w:szCs w:val="16"/>
                <w:color w:val="auto"/>
              </w:rPr>
            </w:pPr>
          </w:p>
        </w:tc>
        <w:tc>
          <w:tcPr>
            <w:tcW w:w="80" w:type="dxa"/>
            <w:vAlign w:val="bottom"/>
            <w:tcBorders>
              <w:top w:val="single" w:sz="8" w:color="002E6D"/>
              <w:bottom w:val="single" w:sz="8" w:color="E5E7EF"/>
            </w:tcBorders>
            <w:shd w:val="clear" w:color="auto" w:fill="E5E7EF"/>
          </w:tcPr>
          <w:p>
            <w:pPr>
              <w:spacing w:after="0"/>
              <w:rPr>
                <w:sz w:val="16"/>
                <w:szCs w:val="16"/>
                <w:color w:val="auto"/>
              </w:rPr>
            </w:pPr>
          </w:p>
        </w:tc>
        <w:tc>
          <w:tcPr>
            <w:tcW w:w="840" w:type="dxa"/>
            <w:vAlign w:val="bottom"/>
            <w:tcBorders>
              <w:top w:val="single" w:sz="8" w:color="002E6D"/>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(c)</w:t>
            </w:r>
          </w:p>
        </w:tc>
        <w:tc>
          <w:tcPr>
            <w:tcW w:w="880" w:type="dxa"/>
            <w:vAlign w:val="bottom"/>
            <w:tcBorders>
              <w:top w:val="single" w:sz="8" w:color="002E6D"/>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(d)</w:t>
            </w:r>
          </w:p>
        </w:tc>
        <w:tc>
          <w:tcPr>
            <w:tcW w:w="940" w:type="dxa"/>
            <w:vAlign w:val="bottom"/>
            <w:tcBorders>
              <w:top w:val="single" w:sz="8" w:color="002E6D"/>
              <w:bottom w:val="single" w:sz="8" w:color="E5E7EF"/>
            </w:tcBorders>
            <w:gridSpan w:val="2"/>
            <w:shd w:val="clear" w:color="auto" w:fill="E5E7EF"/>
          </w:tcPr>
          <w:p>
            <w:pPr>
              <w:jc w:val="right"/>
              <w:ind w:right="100"/>
              <w:spacing w:after="0"/>
              <w:rPr>
                <w:sz w:val="20"/>
                <w:szCs w:val="20"/>
                <w:color w:val="auto"/>
              </w:rPr>
            </w:pPr>
            <w:r>
              <w:rPr>
                <w:rFonts w:ascii="Arial" w:cs="Arial" w:eastAsia="Arial" w:hAnsi="Arial"/>
                <w:sz w:val="13"/>
                <w:szCs w:val="13"/>
                <w:color w:val="auto"/>
              </w:rPr>
              <w:t>(e)</w:t>
            </w:r>
          </w:p>
        </w:tc>
        <w:tc>
          <w:tcPr>
            <w:tcW w:w="1000" w:type="dxa"/>
            <w:vAlign w:val="bottom"/>
            <w:tcBorders>
              <w:top w:val="single" w:sz="8" w:color="002E6D"/>
              <w:bottom w:val="single" w:sz="8" w:color="E5E7EF"/>
            </w:tcBorders>
            <w:shd w:val="clear" w:color="auto" w:fill="E5E7EF"/>
          </w:tcPr>
          <w:p>
            <w:pPr>
              <w:jc w:val="right"/>
              <w:ind w:right="110"/>
              <w:spacing w:after="0"/>
              <w:rPr>
                <w:sz w:val="20"/>
                <w:szCs w:val="20"/>
                <w:color w:val="auto"/>
              </w:rPr>
            </w:pPr>
            <w:r>
              <w:rPr>
                <w:rFonts w:ascii="Arial" w:cs="Arial" w:eastAsia="Arial" w:hAnsi="Arial"/>
                <w:sz w:val="13"/>
                <w:szCs w:val="13"/>
                <w:color w:val="auto"/>
              </w:rPr>
              <w:t>(f)</w:t>
            </w:r>
          </w:p>
        </w:tc>
        <w:tc>
          <w:tcPr>
            <w:tcW w:w="760" w:type="dxa"/>
            <w:vAlign w:val="bottom"/>
            <w:tcBorders>
              <w:top w:val="single" w:sz="8" w:color="002E6D"/>
              <w:bottom w:val="single" w:sz="8" w:color="E5E7EF"/>
            </w:tcBorders>
            <w:shd w:val="clear" w:color="auto" w:fill="E5E7EF"/>
          </w:tcPr>
          <w:p>
            <w:pPr>
              <w:jc w:val="right"/>
              <w:ind w:right="89"/>
              <w:spacing w:after="0"/>
              <w:rPr>
                <w:sz w:val="20"/>
                <w:szCs w:val="20"/>
                <w:color w:val="auto"/>
              </w:rPr>
            </w:pPr>
            <w:r>
              <w:rPr>
                <w:rFonts w:ascii="Arial" w:cs="Arial" w:eastAsia="Arial" w:hAnsi="Arial"/>
                <w:sz w:val="13"/>
                <w:szCs w:val="13"/>
                <w:color w:val="auto"/>
              </w:rPr>
              <w:t>(g)</w:t>
            </w:r>
          </w:p>
        </w:tc>
        <w:tc>
          <w:tcPr>
            <w:tcW w:w="720" w:type="dxa"/>
            <w:vAlign w:val="bottom"/>
            <w:tcBorders>
              <w:top w:val="single" w:sz="8" w:color="002E6D"/>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(h)</w:t>
            </w:r>
          </w:p>
        </w:tc>
        <w:tc>
          <w:tcPr>
            <w:tcW w:w="880" w:type="dxa"/>
            <w:vAlign w:val="bottom"/>
            <w:tcBorders>
              <w:top w:val="single" w:sz="8" w:color="002E6D"/>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(i)</w:t>
            </w:r>
          </w:p>
        </w:tc>
        <w:tc>
          <w:tcPr>
            <w:tcW w:w="1080" w:type="dxa"/>
            <w:vAlign w:val="bottom"/>
            <w:tcBorders>
              <w:top w:val="single" w:sz="8" w:color="002E6D"/>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(l)</w:t>
            </w:r>
          </w:p>
        </w:tc>
        <w:tc>
          <w:tcPr>
            <w:tcW w:w="0" w:type="dxa"/>
            <w:vAlign w:val="bottom"/>
          </w:tcPr>
          <w:p>
            <w:pPr>
              <w:spacing w:after="0"/>
              <w:rPr>
                <w:sz w:val="1"/>
                <w:szCs w:val="1"/>
                <w:color w:val="auto"/>
              </w:rPr>
            </w:pPr>
          </w:p>
        </w:tc>
      </w:tr>
      <w:tr>
        <w:trPr>
          <w:trHeight w:val="182"/>
        </w:trPr>
        <w:tc>
          <w:tcPr>
            <w:tcW w:w="2600" w:type="dxa"/>
            <w:vAlign w:val="bottom"/>
            <w:tcBorders>
              <w:top w:val="single" w:sz="8" w:color="003478"/>
            </w:tcBorders>
          </w:tcPr>
          <w:p>
            <w:pPr>
              <w:ind w:left="20"/>
              <w:spacing w:after="0"/>
              <w:rPr>
                <w:sz w:val="20"/>
                <w:szCs w:val="20"/>
                <w:color w:val="auto"/>
              </w:rPr>
            </w:pPr>
            <w:r>
              <w:rPr>
                <w:rFonts w:ascii="Arial" w:cs="Arial" w:eastAsia="Arial" w:hAnsi="Arial"/>
                <w:sz w:val="14"/>
                <w:szCs w:val="14"/>
                <w:b w:val="1"/>
                <w:bCs w:val="1"/>
                <w:color w:val="002E6D"/>
              </w:rPr>
              <w:t>James D. Taiclet</w:t>
            </w:r>
          </w:p>
        </w:tc>
        <w:tc>
          <w:tcPr>
            <w:tcW w:w="880" w:type="dxa"/>
            <w:vAlign w:val="bottom"/>
            <w:tcBorders>
              <w:top w:val="single" w:sz="8" w:color="002E6D"/>
            </w:tcBorders>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002E6D"/>
            </w:tcBorders>
            <w:shd w:val="clear" w:color="auto" w:fill="E5E7EF"/>
          </w:tcPr>
          <w:p>
            <w:pPr>
              <w:jc w:val="right"/>
              <w:spacing w:after="0"/>
              <w:rPr>
                <w:sz w:val="20"/>
                <w:szCs w:val="20"/>
                <w:color w:val="auto"/>
              </w:rPr>
            </w:pPr>
            <w:r>
              <w:rPr>
                <w:rFonts w:ascii="Arial" w:cs="Arial" w:eastAsia="Arial" w:hAnsi="Arial"/>
                <w:sz w:val="14"/>
                <w:szCs w:val="14"/>
                <w:color w:val="auto"/>
              </w:rPr>
              <w:t>MICP</w:t>
            </w:r>
          </w:p>
        </w:tc>
        <w:tc>
          <w:tcPr>
            <w:tcW w:w="80" w:type="dxa"/>
            <w:vAlign w:val="bottom"/>
            <w:tcBorders>
              <w:top w:val="single" w:sz="8" w:color="002E6D"/>
            </w:tcBorders>
            <w:shd w:val="clear" w:color="auto" w:fill="E5E7EF"/>
          </w:tcPr>
          <w:p>
            <w:pPr>
              <w:spacing w:after="0"/>
              <w:rPr>
                <w:sz w:val="15"/>
                <w:szCs w:val="15"/>
                <w:color w:val="auto"/>
              </w:rPr>
            </w:pPr>
          </w:p>
        </w:tc>
        <w:tc>
          <w:tcPr>
            <w:tcW w:w="840" w:type="dxa"/>
            <w:vAlign w:val="bottom"/>
            <w:tcBorders>
              <w:top w:val="single" w:sz="8" w:color="002E6D"/>
            </w:tcBorders>
            <w:shd w:val="clear" w:color="auto" w:fill="E5E7EF"/>
          </w:tcPr>
          <w:p>
            <w:pPr>
              <w:jc w:val="right"/>
              <w:spacing w:after="0"/>
              <w:rPr>
                <w:sz w:val="20"/>
                <w:szCs w:val="20"/>
                <w:color w:val="auto"/>
              </w:rPr>
            </w:pPr>
            <w:r>
              <w:rPr>
                <w:rFonts w:ascii="Arial" w:cs="Arial" w:eastAsia="Arial" w:hAnsi="Arial"/>
                <w:sz w:val="14"/>
                <w:szCs w:val="14"/>
                <w:color w:val="auto"/>
              </w:rPr>
              <w:t>226,755</w:t>
            </w:r>
          </w:p>
        </w:tc>
        <w:tc>
          <w:tcPr>
            <w:tcW w:w="880" w:type="dxa"/>
            <w:vAlign w:val="bottom"/>
            <w:tcBorders>
              <w:top w:val="single" w:sz="8" w:color="002E6D"/>
            </w:tcBorders>
            <w:shd w:val="clear" w:color="auto" w:fill="E5E7EF"/>
          </w:tcPr>
          <w:p>
            <w:pPr>
              <w:jc w:val="right"/>
              <w:spacing w:after="0"/>
              <w:rPr>
                <w:sz w:val="20"/>
                <w:szCs w:val="20"/>
                <w:color w:val="auto"/>
              </w:rPr>
            </w:pPr>
            <w:r>
              <w:rPr>
                <w:rFonts w:ascii="Arial" w:cs="Arial" w:eastAsia="Arial" w:hAnsi="Arial"/>
                <w:sz w:val="14"/>
                <w:szCs w:val="14"/>
                <w:color w:val="auto"/>
              </w:rPr>
              <w:t>3,239,350</w:t>
            </w:r>
          </w:p>
        </w:tc>
        <w:tc>
          <w:tcPr>
            <w:tcW w:w="860" w:type="dxa"/>
            <w:vAlign w:val="bottom"/>
            <w:tcBorders>
              <w:top w:val="single" w:sz="8" w:color="002E6D"/>
            </w:tcBorders>
            <w:shd w:val="clear" w:color="auto" w:fill="E5E7EF"/>
          </w:tcPr>
          <w:p>
            <w:pPr>
              <w:jc w:val="right"/>
              <w:spacing w:after="0"/>
              <w:rPr>
                <w:sz w:val="20"/>
                <w:szCs w:val="20"/>
                <w:color w:val="auto"/>
              </w:rPr>
            </w:pPr>
            <w:r>
              <w:rPr>
                <w:rFonts w:ascii="Arial" w:cs="Arial" w:eastAsia="Arial" w:hAnsi="Arial"/>
                <w:sz w:val="14"/>
                <w:szCs w:val="14"/>
                <w:color w:val="auto"/>
              </w:rPr>
              <w:t>6,478,700</w:t>
            </w:r>
          </w:p>
        </w:tc>
        <w:tc>
          <w:tcPr>
            <w:tcW w:w="80" w:type="dxa"/>
            <w:vAlign w:val="bottom"/>
            <w:tcBorders>
              <w:top w:val="single" w:sz="8" w:color="002E6D"/>
            </w:tcBorders>
            <w:shd w:val="clear" w:color="auto" w:fill="E5E7EF"/>
          </w:tcPr>
          <w:p>
            <w:pPr>
              <w:spacing w:after="0"/>
              <w:rPr>
                <w:sz w:val="15"/>
                <w:szCs w:val="15"/>
                <w:color w:val="auto"/>
              </w:rPr>
            </w:pPr>
          </w:p>
        </w:tc>
        <w:tc>
          <w:tcPr>
            <w:tcW w:w="1000" w:type="dxa"/>
            <w:vAlign w:val="bottom"/>
            <w:tcBorders>
              <w:top w:val="single" w:sz="8" w:color="002E6D"/>
            </w:tcBorders>
            <w:shd w:val="clear" w:color="auto" w:fill="E5E7EF"/>
          </w:tcPr>
          <w:p>
            <w:pPr>
              <w:jc w:val="center"/>
              <w:ind w:left="330"/>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002E6D"/>
            </w:tcBorders>
            <w:shd w:val="clear" w:color="auto" w:fill="E5E7EF"/>
          </w:tcPr>
          <w:p>
            <w:pPr>
              <w:jc w:val="right"/>
              <w:ind w:right="129"/>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002E6D"/>
            </w:tcBorders>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002E6D"/>
            </w:tcBorders>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002E6D"/>
            </w:tcBorders>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2/25/2021</w:t>
            </w:r>
          </w:p>
        </w:tc>
        <w:tc>
          <w:tcPr>
            <w:tcW w:w="580" w:type="dxa"/>
            <w:vAlign w:val="bottom"/>
          </w:tcPr>
          <w:p>
            <w:pPr>
              <w:jc w:val="right"/>
              <w:spacing w:after="0"/>
              <w:rPr>
                <w:sz w:val="20"/>
                <w:szCs w:val="20"/>
                <w:color w:val="auto"/>
              </w:rPr>
            </w:pPr>
            <w:r>
              <w:rPr>
                <w:rFonts w:ascii="Arial" w:cs="Arial" w:eastAsia="Arial" w:hAnsi="Arial"/>
                <w:sz w:val="14"/>
                <w:szCs w:val="14"/>
                <w:color w:val="auto"/>
              </w:rPr>
              <w:t>RSU</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jc w:val="center"/>
              <w:ind w:left="33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12,291</w:t>
            </w:r>
          </w:p>
        </w:tc>
        <w:tc>
          <w:tcPr>
            <w:tcW w:w="1080" w:type="dxa"/>
            <w:vAlign w:val="bottom"/>
          </w:tcPr>
          <w:p>
            <w:pPr>
              <w:jc w:val="right"/>
              <w:spacing w:after="0"/>
              <w:rPr>
                <w:sz w:val="20"/>
                <w:szCs w:val="20"/>
                <w:color w:val="auto"/>
              </w:rPr>
            </w:pPr>
            <w:r>
              <w:rPr>
                <w:rFonts w:ascii="Arial" w:cs="Arial" w:eastAsia="Arial" w:hAnsi="Arial"/>
                <w:sz w:val="14"/>
                <w:szCs w:val="14"/>
                <w:color w:val="auto"/>
              </w:rPr>
              <w:t>4,197,745</w:t>
            </w:r>
          </w:p>
        </w:tc>
        <w:tc>
          <w:tcPr>
            <w:tcW w:w="0" w:type="dxa"/>
            <w:vAlign w:val="bottom"/>
          </w:tcPr>
          <w:p>
            <w:pPr>
              <w:spacing w:after="0"/>
              <w:rPr>
                <w:sz w:val="1"/>
                <w:szCs w:val="1"/>
                <w:color w:val="auto"/>
              </w:rPr>
            </w:pPr>
          </w:p>
        </w:tc>
      </w:tr>
      <w:tr>
        <w:trPr>
          <w:trHeight w:val="188"/>
        </w:trPr>
        <w:tc>
          <w:tcPr>
            <w:tcW w:w="2600" w:type="dxa"/>
            <w:vAlign w:val="bottom"/>
          </w:tcPr>
          <w:p>
            <w:pPr>
              <w:spacing w:after="0"/>
              <w:rPr>
                <w:sz w:val="16"/>
                <w:szCs w:val="16"/>
                <w:color w:val="auto"/>
              </w:rPr>
            </w:pPr>
          </w:p>
        </w:tc>
        <w:tc>
          <w:tcPr>
            <w:tcW w:w="8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LTIP</w:t>
            </w:r>
          </w:p>
        </w:tc>
        <w:tc>
          <w:tcPr>
            <w:tcW w:w="920" w:type="dxa"/>
            <w:vAlign w:val="bottom"/>
            <w:gridSpan w:val="2"/>
            <w:shd w:val="clear" w:color="auto" w:fill="E4E6EF"/>
          </w:tcPr>
          <w:p>
            <w:pPr>
              <w:jc w:val="right"/>
              <w:spacing w:after="0"/>
              <w:rPr>
                <w:sz w:val="20"/>
                <w:szCs w:val="20"/>
                <w:color w:val="auto"/>
              </w:rPr>
            </w:pPr>
            <w:r>
              <w:rPr>
                <w:rFonts w:ascii="Arial" w:cs="Arial" w:eastAsia="Arial" w:hAnsi="Arial"/>
                <w:sz w:val="14"/>
                <w:szCs w:val="14"/>
                <w:color w:val="auto"/>
              </w:rPr>
              <w:t>175,000</w:t>
            </w:r>
          </w:p>
        </w:tc>
        <w:tc>
          <w:tcPr>
            <w:tcW w:w="8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2,800,000</w:t>
            </w:r>
          </w:p>
        </w:tc>
        <w:tc>
          <w:tcPr>
            <w:tcW w:w="860" w:type="dxa"/>
            <w:vAlign w:val="bottom"/>
            <w:shd w:val="clear" w:color="auto" w:fill="E4E6EF"/>
          </w:tcPr>
          <w:p>
            <w:pPr>
              <w:jc w:val="right"/>
              <w:spacing w:after="0"/>
              <w:rPr>
                <w:sz w:val="20"/>
                <w:szCs w:val="20"/>
                <w:color w:val="auto"/>
              </w:rPr>
            </w:pPr>
            <w:r>
              <w:rPr>
                <w:rFonts w:ascii="Arial" w:cs="Arial" w:eastAsia="Arial" w:hAnsi="Arial"/>
                <w:sz w:val="14"/>
                <w:szCs w:val="14"/>
                <w:color w:val="auto"/>
              </w:rPr>
              <w:t>5,600,000</w:t>
            </w:r>
          </w:p>
        </w:tc>
        <w:tc>
          <w:tcPr>
            <w:tcW w:w="80" w:type="dxa"/>
            <w:vAlign w:val="bottom"/>
            <w:shd w:val="clear" w:color="auto" w:fill="E4E6EF"/>
          </w:tcPr>
          <w:p>
            <w:pPr>
              <w:spacing w:after="0"/>
              <w:rPr>
                <w:sz w:val="16"/>
                <w:szCs w:val="16"/>
                <w:color w:val="auto"/>
              </w:rPr>
            </w:pPr>
          </w:p>
        </w:tc>
        <w:tc>
          <w:tcPr>
            <w:tcW w:w="1000" w:type="dxa"/>
            <w:vAlign w:val="bottom"/>
            <w:shd w:val="clear" w:color="auto" w:fill="E4E6EF"/>
          </w:tcPr>
          <w:p>
            <w:pPr>
              <w:jc w:val="center"/>
              <w:ind w:left="330"/>
              <w:spacing w:after="0"/>
              <w:rPr>
                <w:sz w:val="20"/>
                <w:szCs w:val="20"/>
                <w:color w:val="auto"/>
              </w:rPr>
            </w:pPr>
            <w:r>
              <w:rPr>
                <w:rFonts w:ascii="Arial" w:cs="Arial" w:eastAsia="Arial" w:hAnsi="Arial"/>
                <w:sz w:val="14"/>
                <w:szCs w:val="14"/>
                <w:color w:val="auto"/>
              </w:rPr>
              <w:t>—</w:t>
            </w:r>
          </w:p>
        </w:tc>
        <w:tc>
          <w:tcPr>
            <w:tcW w:w="760" w:type="dxa"/>
            <w:vAlign w:val="bottom"/>
            <w:shd w:val="clear" w:color="auto" w:fill="E4E6EF"/>
          </w:tcPr>
          <w:p>
            <w:pPr>
              <w:jc w:val="right"/>
              <w:ind w:right="129"/>
              <w:spacing w:after="0"/>
              <w:rPr>
                <w:sz w:val="20"/>
                <w:szCs w:val="20"/>
                <w:color w:val="auto"/>
              </w:rPr>
            </w:pPr>
            <w:r>
              <w:rPr>
                <w:rFonts w:ascii="Arial" w:cs="Arial" w:eastAsia="Arial" w:hAnsi="Arial"/>
                <w:sz w:val="14"/>
                <w:szCs w:val="14"/>
                <w:color w:val="auto"/>
              </w:rPr>
              <w:t>—</w:t>
            </w:r>
          </w:p>
        </w:tc>
        <w:tc>
          <w:tcPr>
            <w:tcW w:w="72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600" w:type="dxa"/>
            <w:vAlign w:val="bottom"/>
            <w:tcBorders>
              <w:bottom w:val="single" w:sz="8" w:color="939598"/>
            </w:tcBorders>
          </w:tcPr>
          <w:p>
            <w:pPr>
              <w:spacing w:after="0"/>
              <w:rPr>
                <w:sz w:val="16"/>
                <w:szCs w:val="16"/>
                <w:color w:val="auto"/>
              </w:rPr>
            </w:pP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2/25/2021</w:t>
            </w: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PSU</w:t>
            </w:r>
          </w:p>
        </w:tc>
        <w:tc>
          <w:tcPr>
            <w:tcW w:w="80" w:type="dxa"/>
            <w:vAlign w:val="bottom"/>
            <w:tcBorders>
              <w:bottom w:val="single" w:sz="8" w:color="939598"/>
            </w:tcBorders>
          </w:tcPr>
          <w:p>
            <w:pPr>
              <w:spacing w:after="0"/>
              <w:rPr>
                <w:sz w:val="16"/>
                <w:szCs w:val="16"/>
                <w:color w:val="auto"/>
              </w:rPr>
            </w:pP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39598"/>
            </w:tcBorders>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39598"/>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39598"/>
            </w:tcBorders>
          </w:tcPr>
          <w:p>
            <w:pPr>
              <w:jc w:val="right"/>
              <w:ind w:right="110"/>
              <w:spacing w:after="0"/>
              <w:rPr>
                <w:sz w:val="20"/>
                <w:szCs w:val="20"/>
                <w:color w:val="auto"/>
              </w:rPr>
            </w:pPr>
            <w:r>
              <w:rPr>
                <w:rFonts w:ascii="Arial" w:cs="Arial" w:eastAsia="Arial" w:hAnsi="Arial"/>
                <w:sz w:val="14"/>
                <w:szCs w:val="14"/>
                <w:color w:val="auto"/>
              </w:rPr>
              <w:t>1,281</w:t>
            </w:r>
          </w:p>
        </w:tc>
        <w:tc>
          <w:tcPr>
            <w:tcW w:w="760" w:type="dxa"/>
            <w:vAlign w:val="bottom"/>
            <w:tcBorders>
              <w:bottom w:val="single" w:sz="8" w:color="939598"/>
            </w:tcBorders>
          </w:tcPr>
          <w:p>
            <w:pPr>
              <w:jc w:val="right"/>
              <w:ind w:right="89"/>
              <w:spacing w:after="0"/>
              <w:rPr>
                <w:sz w:val="20"/>
                <w:szCs w:val="20"/>
                <w:color w:val="auto"/>
              </w:rPr>
            </w:pPr>
            <w:r>
              <w:rPr>
                <w:rFonts w:ascii="Arial" w:cs="Arial" w:eastAsia="Arial" w:hAnsi="Arial"/>
                <w:sz w:val="14"/>
                <w:szCs w:val="14"/>
                <w:color w:val="auto"/>
              </w:rPr>
              <w:t>20,488</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40,976</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6,585,970</w:t>
            </w:r>
          </w:p>
        </w:tc>
        <w:tc>
          <w:tcPr>
            <w:tcW w:w="0" w:type="dxa"/>
            <w:vAlign w:val="bottom"/>
          </w:tcPr>
          <w:p>
            <w:pPr>
              <w:spacing w:after="0"/>
              <w:rPr>
                <w:sz w:val="1"/>
                <w:szCs w:val="1"/>
                <w:color w:val="auto"/>
              </w:rPr>
            </w:pPr>
          </w:p>
        </w:tc>
      </w:tr>
      <w:tr>
        <w:trPr>
          <w:trHeight w:val="182"/>
        </w:trPr>
        <w:tc>
          <w:tcPr>
            <w:tcW w:w="2600" w:type="dxa"/>
            <w:vAlign w:val="bottom"/>
          </w:tcPr>
          <w:p>
            <w:pPr>
              <w:ind w:left="20"/>
              <w:spacing w:after="0"/>
              <w:rPr>
                <w:sz w:val="20"/>
                <w:szCs w:val="20"/>
                <w:color w:val="auto"/>
              </w:rPr>
            </w:pPr>
            <w:r>
              <w:rPr>
                <w:rFonts w:ascii="Arial" w:cs="Arial" w:eastAsia="Arial" w:hAnsi="Arial"/>
                <w:sz w:val="14"/>
                <w:szCs w:val="14"/>
                <w:b w:val="1"/>
                <w:bCs w:val="1"/>
                <w:color w:val="002E6D"/>
              </w:rPr>
              <w:t>John W. Mollard</w:t>
            </w:r>
          </w:p>
        </w:tc>
        <w:tc>
          <w:tcPr>
            <w:tcW w:w="8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MICP</w:t>
            </w:r>
          </w:p>
        </w:tc>
        <w:tc>
          <w:tcPr>
            <w:tcW w:w="920" w:type="dxa"/>
            <w:vAlign w:val="bottom"/>
            <w:gridSpan w:val="2"/>
            <w:shd w:val="clear" w:color="auto" w:fill="E4E6EF"/>
          </w:tcPr>
          <w:p>
            <w:pPr>
              <w:jc w:val="right"/>
              <w:spacing w:after="0"/>
              <w:rPr>
                <w:sz w:val="20"/>
                <w:szCs w:val="20"/>
                <w:color w:val="auto"/>
              </w:rPr>
            </w:pPr>
            <w:r>
              <w:rPr>
                <w:rFonts w:ascii="Arial" w:cs="Arial" w:eastAsia="Arial" w:hAnsi="Arial"/>
                <w:sz w:val="14"/>
                <w:szCs w:val="14"/>
                <w:color w:val="auto"/>
              </w:rPr>
              <w:t>24,255</w:t>
            </w:r>
          </w:p>
        </w:tc>
        <w:tc>
          <w:tcPr>
            <w:tcW w:w="880" w:type="dxa"/>
            <w:vAlign w:val="bottom"/>
            <w:shd w:val="clear" w:color="auto" w:fill="E4E6EF"/>
          </w:tcPr>
          <w:p>
            <w:pPr>
              <w:jc w:val="right"/>
              <w:ind w:right="9"/>
              <w:spacing w:after="0"/>
              <w:rPr>
                <w:sz w:val="20"/>
                <w:szCs w:val="20"/>
                <w:color w:val="auto"/>
              </w:rPr>
            </w:pPr>
            <w:r>
              <w:rPr>
                <w:rFonts w:ascii="Arial" w:cs="Arial" w:eastAsia="Arial" w:hAnsi="Arial"/>
                <w:sz w:val="14"/>
                <w:szCs w:val="14"/>
                <w:color w:val="auto"/>
              </w:rPr>
              <w:t>346,500</w:t>
            </w:r>
          </w:p>
        </w:tc>
        <w:tc>
          <w:tcPr>
            <w:tcW w:w="860" w:type="dxa"/>
            <w:vAlign w:val="bottom"/>
            <w:shd w:val="clear" w:color="auto" w:fill="E4E6EF"/>
          </w:tcPr>
          <w:p>
            <w:pPr>
              <w:jc w:val="right"/>
              <w:ind w:right="9"/>
              <w:spacing w:after="0"/>
              <w:rPr>
                <w:sz w:val="20"/>
                <w:szCs w:val="20"/>
                <w:color w:val="auto"/>
              </w:rPr>
            </w:pPr>
            <w:r>
              <w:rPr>
                <w:rFonts w:ascii="Arial" w:cs="Arial" w:eastAsia="Arial" w:hAnsi="Arial"/>
                <w:sz w:val="14"/>
                <w:szCs w:val="14"/>
                <w:color w:val="auto"/>
              </w:rPr>
              <w:t>693,000</w:t>
            </w:r>
          </w:p>
        </w:tc>
        <w:tc>
          <w:tcPr>
            <w:tcW w:w="80" w:type="dxa"/>
            <w:vAlign w:val="bottom"/>
            <w:shd w:val="clear" w:color="auto" w:fill="E4E6EF"/>
          </w:tcPr>
          <w:p>
            <w:pPr>
              <w:spacing w:after="0"/>
              <w:rPr>
                <w:sz w:val="15"/>
                <w:szCs w:val="15"/>
                <w:color w:val="auto"/>
              </w:rPr>
            </w:pPr>
          </w:p>
        </w:tc>
        <w:tc>
          <w:tcPr>
            <w:tcW w:w="1000" w:type="dxa"/>
            <w:vAlign w:val="bottom"/>
            <w:shd w:val="clear" w:color="auto" w:fill="E4E6EF"/>
          </w:tcPr>
          <w:p>
            <w:pPr>
              <w:jc w:val="center"/>
              <w:ind w:left="330"/>
              <w:spacing w:after="0"/>
              <w:rPr>
                <w:sz w:val="20"/>
                <w:szCs w:val="20"/>
                <w:color w:val="auto"/>
              </w:rPr>
            </w:pPr>
            <w:r>
              <w:rPr>
                <w:rFonts w:ascii="Arial" w:cs="Arial" w:eastAsia="Arial" w:hAnsi="Arial"/>
                <w:sz w:val="14"/>
                <w:szCs w:val="14"/>
                <w:color w:val="auto"/>
              </w:rPr>
              <w:t>—</w:t>
            </w:r>
          </w:p>
        </w:tc>
        <w:tc>
          <w:tcPr>
            <w:tcW w:w="760" w:type="dxa"/>
            <w:vAlign w:val="bottom"/>
            <w:shd w:val="clear" w:color="auto" w:fill="E4E6EF"/>
          </w:tcPr>
          <w:p>
            <w:pPr>
              <w:jc w:val="right"/>
              <w:ind w:right="129"/>
              <w:spacing w:after="0"/>
              <w:rPr>
                <w:sz w:val="20"/>
                <w:szCs w:val="20"/>
                <w:color w:val="auto"/>
              </w:rPr>
            </w:pPr>
            <w:r>
              <w:rPr>
                <w:rFonts w:ascii="Arial" w:cs="Arial" w:eastAsia="Arial" w:hAnsi="Arial"/>
                <w:sz w:val="14"/>
                <w:szCs w:val="14"/>
                <w:color w:val="auto"/>
              </w:rPr>
              <w:t>—</w:t>
            </w:r>
          </w:p>
        </w:tc>
        <w:tc>
          <w:tcPr>
            <w:tcW w:w="72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4E6EF"/>
          </w:tcPr>
          <w:p>
            <w:pPr>
              <w:jc w:val="right"/>
              <w:ind w:right="11"/>
              <w:spacing w:after="0"/>
              <w:rPr>
                <w:sz w:val="20"/>
                <w:szCs w:val="20"/>
                <w:color w:val="auto"/>
              </w:rPr>
            </w:pPr>
            <w:r>
              <w:rPr>
                <w:rFonts w:ascii="Arial" w:cs="Arial" w:eastAsia="Arial" w:hAnsi="Arial"/>
                <w:sz w:val="14"/>
                <w:szCs w:val="14"/>
                <w:color w:val="auto"/>
              </w:rPr>
              <w:t>—</w:t>
            </w:r>
          </w:p>
        </w:tc>
        <w:tc>
          <w:tcPr>
            <w:tcW w:w="10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2/25/2021</w:t>
            </w:r>
          </w:p>
        </w:tc>
        <w:tc>
          <w:tcPr>
            <w:tcW w:w="580" w:type="dxa"/>
            <w:vAlign w:val="bottom"/>
          </w:tcPr>
          <w:p>
            <w:pPr>
              <w:jc w:val="right"/>
              <w:spacing w:after="0"/>
              <w:rPr>
                <w:sz w:val="20"/>
                <w:szCs w:val="20"/>
                <w:color w:val="auto"/>
              </w:rPr>
            </w:pPr>
            <w:r>
              <w:rPr>
                <w:rFonts w:ascii="Arial" w:cs="Arial" w:eastAsia="Arial" w:hAnsi="Arial"/>
                <w:sz w:val="14"/>
                <w:szCs w:val="14"/>
                <w:color w:val="auto"/>
              </w:rPr>
              <w:t>RSU</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jc w:val="center"/>
              <w:ind w:left="33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1,170</w:t>
            </w:r>
          </w:p>
        </w:tc>
        <w:tc>
          <w:tcPr>
            <w:tcW w:w="1080" w:type="dxa"/>
            <w:vAlign w:val="bottom"/>
          </w:tcPr>
          <w:p>
            <w:pPr>
              <w:jc w:val="right"/>
              <w:spacing w:after="0"/>
              <w:rPr>
                <w:sz w:val="20"/>
                <w:szCs w:val="20"/>
                <w:color w:val="auto"/>
              </w:rPr>
            </w:pPr>
            <w:r>
              <w:rPr>
                <w:rFonts w:ascii="Arial" w:cs="Arial" w:eastAsia="Arial" w:hAnsi="Arial"/>
                <w:sz w:val="14"/>
                <w:szCs w:val="14"/>
                <w:color w:val="auto"/>
              </w:rPr>
              <w:t>399,590</w:t>
            </w:r>
          </w:p>
        </w:tc>
        <w:tc>
          <w:tcPr>
            <w:tcW w:w="0" w:type="dxa"/>
            <w:vAlign w:val="bottom"/>
          </w:tcPr>
          <w:p>
            <w:pPr>
              <w:spacing w:after="0"/>
              <w:rPr>
                <w:sz w:val="1"/>
                <w:szCs w:val="1"/>
                <w:color w:val="auto"/>
              </w:rPr>
            </w:pPr>
          </w:p>
        </w:tc>
      </w:tr>
      <w:tr>
        <w:trPr>
          <w:trHeight w:val="188"/>
        </w:trPr>
        <w:tc>
          <w:tcPr>
            <w:tcW w:w="2600" w:type="dxa"/>
            <w:vAlign w:val="bottom"/>
          </w:tcPr>
          <w:p>
            <w:pPr>
              <w:spacing w:after="0"/>
              <w:rPr>
                <w:sz w:val="16"/>
                <w:szCs w:val="16"/>
                <w:color w:val="auto"/>
              </w:rPr>
            </w:pPr>
          </w:p>
        </w:tc>
        <w:tc>
          <w:tcPr>
            <w:tcW w:w="8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LTIP</w:t>
            </w:r>
          </w:p>
        </w:tc>
        <w:tc>
          <w:tcPr>
            <w:tcW w:w="920" w:type="dxa"/>
            <w:vAlign w:val="bottom"/>
            <w:gridSpan w:val="2"/>
            <w:shd w:val="clear" w:color="auto" w:fill="E4E6EF"/>
          </w:tcPr>
          <w:p>
            <w:pPr>
              <w:jc w:val="right"/>
              <w:spacing w:after="0"/>
              <w:rPr>
                <w:sz w:val="20"/>
                <w:szCs w:val="20"/>
                <w:color w:val="auto"/>
              </w:rPr>
            </w:pPr>
            <w:r>
              <w:rPr>
                <w:rFonts w:ascii="Arial" w:cs="Arial" w:eastAsia="Arial" w:hAnsi="Arial"/>
                <w:sz w:val="14"/>
                <w:szCs w:val="14"/>
                <w:color w:val="auto"/>
              </w:rPr>
              <w:t>20,000</w:t>
            </w:r>
          </w:p>
        </w:tc>
        <w:tc>
          <w:tcPr>
            <w:tcW w:w="880" w:type="dxa"/>
            <w:vAlign w:val="bottom"/>
            <w:shd w:val="clear" w:color="auto" w:fill="E4E6EF"/>
          </w:tcPr>
          <w:p>
            <w:pPr>
              <w:jc w:val="right"/>
              <w:ind w:right="9"/>
              <w:spacing w:after="0"/>
              <w:rPr>
                <w:sz w:val="20"/>
                <w:szCs w:val="20"/>
                <w:color w:val="auto"/>
              </w:rPr>
            </w:pPr>
            <w:r>
              <w:rPr>
                <w:rFonts w:ascii="Arial" w:cs="Arial" w:eastAsia="Arial" w:hAnsi="Arial"/>
                <w:sz w:val="14"/>
                <w:szCs w:val="14"/>
                <w:color w:val="auto"/>
              </w:rPr>
              <w:t>320,000</w:t>
            </w:r>
          </w:p>
        </w:tc>
        <w:tc>
          <w:tcPr>
            <w:tcW w:w="860" w:type="dxa"/>
            <w:vAlign w:val="bottom"/>
            <w:shd w:val="clear" w:color="auto" w:fill="E4E6EF"/>
          </w:tcPr>
          <w:p>
            <w:pPr>
              <w:jc w:val="right"/>
              <w:ind w:right="9"/>
              <w:spacing w:after="0"/>
              <w:rPr>
                <w:sz w:val="20"/>
                <w:szCs w:val="20"/>
                <w:color w:val="auto"/>
              </w:rPr>
            </w:pPr>
            <w:r>
              <w:rPr>
                <w:rFonts w:ascii="Arial" w:cs="Arial" w:eastAsia="Arial" w:hAnsi="Arial"/>
                <w:sz w:val="14"/>
                <w:szCs w:val="14"/>
                <w:color w:val="auto"/>
              </w:rPr>
              <w:t>640,000</w:t>
            </w:r>
          </w:p>
        </w:tc>
        <w:tc>
          <w:tcPr>
            <w:tcW w:w="80" w:type="dxa"/>
            <w:vAlign w:val="bottom"/>
            <w:shd w:val="clear" w:color="auto" w:fill="E4E6EF"/>
          </w:tcPr>
          <w:p>
            <w:pPr>
              <w:spacing w:after="0"/>
              <w:rPr>
                <w:sz w:val="16"/>
                <w:szCs w:val="16"/>
                <w:color w:val="auto"/>
              </w:rPr>
            </w:pPr>
          </w:p>
        </w:tc>
        <w:tc>
          <w:tcPr>
            <w:tcW w:w="1000" w:type="dxa"/>
            <w:vAlign w:val="bottom"/>
            <w:shd w:val="clear" w:color="auto" w:fill="E4E6EF"/>
          </w:tcPr>
          <w:p>
            <w:pPr>
              <w:jc w:val="center"/>
              <w:ind w:left="330"/>
              <w:spacing w:after="0"/>
              <w:rPr>
                <w:sz w:val="20"/>
                <w:szCs w:val="20"/>
                <w:color w:val="auto"/>
              </w:rPr>
            </w:pPr>
            <w:r>
              <w:rPr>
                <w:rFonts w:ascii="Arial" w:cs="Arial" w:eastAsia="Arial" w:hAnsi="Arial"/>
                <w:sz w:val="14"/>
                <w:szCs w:val="14"/>
                <w:color w:val="auto"/>
              </w:rPr>
              <w:t>—</w:t>
            </w:r>
          </w:p>
        </w:tc>
        <w:tc>
          <w:tcPr>
            <w:tcW w:w="760" w:type="dxa"/>
            <w:vAlign w:val="bottom"/>
            <w:shd w:val="clear" w:color="auto" w:fill="E4E6EF"/>
          </w:tcPr>
          <w:p>
            <w:pPr>
              <w:jc w:val="right"/>
              <w:ind w:right="129"/>
              <w:spacing w:after="0"/>
              <w:rPr>
                <w:sz w:val="20"/>
                <w:szCs w:val="20"/>
                <w:color w:val="auto"/>
              </w:rPr>
            </w:pPr>
            <w:r>
              <w:rPr>
                <w:rFonts w:ascii="Arial" w:cs="Arial" w:eastAsia="Arial" w:hAnsi="Arial"/>
                <w:sz w:val="14"/>
                <w:szCs w:val="14"/>
                <w:color w:val="auto"/>
              </w:rPr>
              <w:t>—</w:t>
            </w:r>
          </w:p>
        </w:tc>
        <w:tc>
          <w:tcPr>
            <w:tcW w:w="72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4E6EF"/>
          </w:tcPr>
          <w:p>
            <w:pPr>
              <w:jc w:val="right"/>
              <w:ind w:right="11"/>
              <w:spacing w:after="0"/>
              <w:rPr>
                <w:sz w:val="20"/>
                <w:szCs w:val="20"/>
                <w:color w:val="auto"/>
              </w:rPr>
            </w:pPr>
            <w:r>
              <w:rPr>
                <w:rFonts w:ascii="Arial" w:cs="Arial" w:eastAsia="Arial" w:hAnsi="Arial"/>
                <w:sz w:val="14"/>
                <w:szCs w:val="14"/>
                <w:color w:val="auto"/>
              </w:rPr>
              <w:t>—</w:t>
            </w:r>
          </w:p>
        </w:tc>
        <w:tc>
          <w:tcPr>
            <w:tcW w:w="10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600" w:type="dxa"/>
            <w:vAlign w:val="bottom"/>
            <w:tcBorders>
              <w:bottom w:val="single" w:sz="8" w:color="939598"/>
            </w:tcBorders>
          </w:tcPr>
          <w:p>
            <w:pPr>
              <w:spacing w:after="0"/>
              <w:rPr>
                <w:sz w:val="16"/>
                <w:szCs w:val="16"/>
                <w:color w:val="auto"/>
              </w:rPr>
            </w:pP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2/25/2021</w:t>
            </w: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PSU</w:t>
            </w:r>
          </w:p>
        </w:tc>
        <w:tc>
          <w:tcPr>
            <w:tcW w:w="80" w:type="dxa"/>
            <w:vAlign w:val="bottom"/>
            <w:tcBorders>
              <w:bottom w:val="single" w:sz="8" w:color="939598"/>
            </w:tcBorders>
          </w:tcPr>
          <w:p>
            <w:pPr>
              <w:spacing w:after="0"/>
              <w:rPr>
                <w:sz w:val="16"/>
                <w:szCs w:val="16"/>
                <w:color w:val="auto"/>
              </w:rPr>
            </w:pP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39598"/>
            </w:tcBorders>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39598"/>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39598"/>
            </w:tcBorders>
          </w:tcPr>
          <w:p>
            <w:pPr>
              <w:jc w:val="right"/>
              <w:ind w:right="150"/>
              <w:spacing w:after="0"/>
              <w:rPr>
                <w:sz w:val="20"/>
                <w:szCs w:val="20"/>
                <w:color w:val="auto"/>
              </w:rPr>
            </w:pPr>
            <w:r>
              <w:rPr>
                <w:rFonts w:ascii="Arial" w:cs="Arial" w:eastAsia="Arial" w:hAnsi="Arial"/>
                <w:sz w:val="14"/>
                <w:szCs w:val="14"/>
                <w:color w:val="auto"/>
              </w:rPr>
              <w:t>15</w:t>
            </w:r>
          </w:p>
        </w:tc>
        <w:tc>
          <w:tcPr>
            <w:tcW w:w="760" w:type="dxa"/>
            <w:vAlign w:val="bottom"/>
            <w:tcBorders>
              <w:bottom w:val="single" w:sz="8" w:color="939598"/>
            </w:tcBorders>
          </w:tcPr>
          <w:p>
            <w:pPr>
              <w:jc w:val="right"/>
              <w:ind w:right="129"/>
              <w:spacing w:after="0"/>
              <w:rPr>
                <w:sz w:val="20"/>
                <w:szCs w:val="20"/>
                <w:color w:val="auto"/>
              </w:rPr>
            </w:pPr>
            <w:r>
              <w:rPr>
                <w:rFonts w:ascii="Arial" w:cs="Arial" w:eastAsia="Arial" w:hAnsi="Arial"/>
                <w:sz w:val="14"/>
                <w:szCs w:val="14"/>
                <w:color w:val="auto"/>
              </w:rPr>
              <w:t>235</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470</w:t>
            </w:r>
          </w:p>
        </w:tc>
        <w:tc>
          <w:tcPr>
            <w:tcW w:w="880" w:type="dxa"/>
            <w:vAlign w:val="bottom"/>
            <w:tcBorders>
              <w:bottom w:val="single" w:sz="8" w:color="939598"/>
            </w:tcBorders>
          </w:tcPr>
          <w:p>
            <w:pPr>
              <w:jc w:val="right"/>
              <w:ind w:right="1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75,522</w:t>
            </w:r>
          </w:p>
        </w:tc>
        <w:tc>
          <w:tcPr>
            <w:tcW w:w="0" w:type="dxa"/>
            <w:vAlign w:val="bottom"/>
          </w:tcPr>
          <w:p>
            <w:pPr>
              <w:spacing w:after="0"/>
              <w:rPr>
                <w:sz w:val="1"/>
                <w:szCs w:val="1"/>
                <w:color w:val="auto"/>
              </w:rPr>
            </w:pPr>
          </w:p>
        </w:tc>
      </w:tr>
      <w:tr>
        <w:trPr>
          <w:trHeight w:val="182"/>
        </w:trPr>
        <w:tc>
          <w:tcPr>
            <w:tcW w:w="2600" w:type="dxa"/>
            <w:vAlign w:val="bottom"/>
          </w:tcPr>
          <w:p>
            <w:pPr>
              <w:ind w:left="20"/>
              <w:spacing w:after="0"/>
              <w:rPr>
                <w:sz w:val="20"/>
                <w:szCs w:val="20"/>
                <w:color w:val="auto"/>
              </w:rPr>
            </w:pPr>
            <w:r>
              <w:rPr>
                <w:rFonts w:ascii="Arial" w:cs="Arial" w:eastAsia="Arial" w:hAnsi="Arial"/>
                <w:sz w:val="14"/>
                <w:szCs w:val="14"/>
                <w:b w:val="1"/>
                <w:bCs w:val="1"/>
                <w:color w:val="002E6D"/>
              </w:rPr>
              <w:t>Kenneth R. Possenriede*</w:t>
            </w:r>
          </w:p>
        </w:tc>
        <w:tc>
          <w:tcPr>
            <w:tcW w:w="8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MICP</w:t>
            </w:r>
          </w:p>
        </w:tc>
        <w:tc>
          <w:tcPr>
            <w:tcW w:w="920" w:type="dxa"/>
            <w:vAlign w:val="bottom"/>
            <w:gridSpan w:val="2"/>
            <w:shd w:val="clear" w:color="auto" w:fill="E4E6EF"/>
          </w:tcPr>
          <w:p>
            <w:pPr>
              <w:jc w:val="right"/>
              <w:spacing w:after="0"/>
              <w:rPr>
                <w:sz w:val="20"/>
                <w:szCs w:val="20"/>
                <w:color w:val="auto"/>
              </w:rPr>
            </w:pPr>
            <w:r>
              <w:rPr>
                <w:rFonts w:ascii="Arial" w:cs="Arial" w:eastAsia="Arial" w:hAnsi="Arial"/>
                <w:sz w:val="14"/>
                <w:szCs w:val="14"/>
                <w:color w:val="auto"/>
              </w:rPr>
              <w:t>87,500</w:t>
            </w:r>
          </w:p>
        </w:tc>
        <w:tc>
          <w:tcPr>
            <w:tcW w:w="8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1,250,000</w:t>
            </w:r>
          </w:p>
        </w:tc>
        <w:tc>
          <w:tcPr>
            <w:tcW w:w="860" w:type="dxa"/>
            <w:vAlign w:val="bottom"/>
            <w:shd w:val="clear" w:color="auto" w:fill="E4E6EF"/>
          </w:tcPr>
          <w:p>
            <w:pPr>
              <w:jc w:val="right"/>
              <w:spacing w:after="0"/>
              <w:rPr>
                <w:sz w:val="20"/>
                <w:szCs w:val="20"/>
                <w:color w:val="auto"/>
              </w:rPr>
            </w:pPr>
            <w:r>
              <w:rPr>
                <w:rFonts w:ascii="Arial" w:cs="Arial" w:eastAsia="Arial" w:hAnsi="Arial"/>
                <w:sz w:val="14"/>
                <w:szCs w:val="14"/>
                <w:color w:val="auto"/>
              </w:rPr>
              <w:t>2,500,000</w:t>
            </w:r>
          </w:p>
        </w:tc>
        <w:tc>
          <w:tcPr>
            <w:tcW w:w="80" w:type="dxa"/>
            <w:vAlign w:val="bottom"/>
            <w:shd w:val="clear" w:color="auto" w:fill="E4E6EF"/>
          </w:tcPr>
          <w:p>
            <w:pPr>
              <w:spacing w:after="0"/>
              <w:rPr>
                <w:sz w:val="15"/>
                <w:szCs w:val="15"/>
                <w:color w:val="auto"/>
              </w:rPr>
            </w:pPr>
          </w:p>
        </w:tc>
        <w:tc>
          <w:tcPr>
            <w:tcW w:w="1000" w:type="dxa"/>
            <w:vAlign w:val="bottom"/>
            <w:shd w:val="clear" w:color="auto" w:fill="E4E6EF"/>
          </w:tcPr>
          <w:p>
            <w:pPr>
              <w:jc w:val="center"/>
              <w:ind w:left="330"/>
              <w:spacing w:after="0"/>
              <w:rPr>
                <w:sz w:val="20"/>
                <w:szCs w:val="20"/>
                <w:color w:val="auto"/>
              </w:rPr>
            </w:pPr>
            <w:r>
              <w:rPr>
                <w:rFonts w:ascii="Arial" w:cs="Arial" w:eastAsia="Arial" w:hAnsi="Arial"/>
                <w:sz w:val="14"/>
                <w:szCs w:val="14"/>
                <w:color w:val="auto"/>
              </w:rPr>
              <w:t>—</w:t>
            </w:r>
          </w:p>
        </w:tc>
        <w:tc>
          <w:tcPr>
            <w:tcW w:w="760" w:type="dxa"/>
            <w:vAlign w:val="bottom"/>
            <w:shd w:val="clear" w:color="auto" w:fill="E4E6EF"/>
          </w:tcPr>
          <w:p>
            <w:pPr>
              <w:jc w:val="right"/>
              <w:ind w:right="129"/>
              <w:spacing w:after="0"/>
              <w:rPr>
                <w:sz w:val="20"/>
                <w:szCs w:val="20"/>
                <w:color w:val="auto"/>
              </w:rPr>
            </w:pPr>
            <w:r>
              <w:rPr>
                <w:rFonts w:ascii="Arial" w:cs="Arial" w:eastAsia="Arial" w:hAnsi="Arial"/>
                <w:sz w:val="14"/>
                <w:szCs w:val="14"/>
                <w:color w:val="auto"/>
              </w:rPr>
              <w:t>—</w:t>
            </w:r>
          </w:p>
        </w:tc>
        <w:tc>
          <w:tcPr>
            <w:tcW w:w="72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2/25/2021</w:t>
            </w:r>
          </w:p>
        </w:tc>
        <w:tc>
          <w:tcPr>
            <w:tcW w:w="580" w:type="dxa"/>
            <w:vAlign w:val="bottom"/>
          </w:tcPr>
          <w:p>
            <w:pPr>
              <w:jc w:val="right"/>
              <w:spacing w:after="0"/>
              <w:rPr>
                <w:sz w:val="20"/>
                <w:szCs w:val="20"/>
                <w:color w:val="auto"/>
              </w:rPr>
            </w:pPr>
            <w:r>
              <w:rPr>
                <w:rFonts w:ascii="Arial" w:cs="Arial" w:eastAsia="Arial" w:hAnsi="Arial"/>
                <w:sz w:val="14"/>
                <w:szCs w:val="14"/>
                <w:color w:val="auto"/>
              </w:rPr>
              <w:t>RSU</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jc w:val="center"/>
              <w:ind w:left="33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4,828</w:t>
            </w:r>
          </w:p>
        </w:tc>
        <w:tc>
          <w:tcPr>
            <w:tcW w:w="1080" w:type="dxa"/>
            <w:vAlign w:val="bottom"/>
          </w:tcPr>
          <w:p>
            <w:pPr>
              <w:jc w:val="right"/>
              <w:spacing w:after="0"/>
              <w:rPr>
                <w:sz w:val="20"/>
                <w:szCs w:val="20"/>
                <w:color w:val="auto"/>
              </w:rPr>
            </w:pPr>
            <w:r>
              <w:rPr>
                <w:rFonts w:ascii="Arial" w:cs="Arial" w:eastAsia="Arial" w:hAnsi="Arial"/>
                <w:sz w:val="14"/>
                <w:szCs w:val="14"/>
                <w:color w:val="auto"/>
              </w:rPr>
              <w:t>1,648,907</w:t>
            </w:r>
          </w:p>
        </w:tc>
        <w:tc>
          <w:tcPr>
            <w:tcW w:w="0" w:type="dxa"/>
            <w:vAlign w:val="bottom"/>
          </w:tcPr>
          <w:p>
            <w:pPr>
              <w:spacing w:after="0"/>
              <w:rPr>
                <w:sz w:val="1"/>
                <w:szCs w:val="1"/>
                <w:color w:val="auto"/>
              </w:rPr>
            </w:pPr>
          </w:p>
        </w:tc>
      </w:tr>
      <w:tr>
        <w:trPr>
          <w:trHeight w:val="188"/>
        </w:trPr>
        <w:tc>
          <w:tcPr>
            <w:tcW w:w="2600" w:type="dxa"/>
            <w:vAlign w:val="bottom"/>
          </w:tcPr>
          <w:p>
            <w:pPr>
              <w:spacing w:after="0"/>
              <w:rPr>
                <w:sz w:val="16"/>
                <w:szCs w:val="16"/>
                <w:color w:val="auto"/>
              </w:rPr>
            </w:pPr>
          </w:p>
        </w:tc>
        <w:tc>
          <w:tcPr>
            <w:tcW w:w="8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LTIP</w:t>
            </w:r>
          </w:p>
        </w:tc>
        <w:tc>
          <w:tcPr>
            <w:tcW w:w="920" w:type="dxa"/>
            <w:vAlign w:val="bottom"/>
            <w:gridSpan w:val="2"/>
            <w:shd w:val="clear" w:color="auto" w:fill="E4E6EF"/>
          </w:tcPr>
          <w:p>
            <w:pPr>
              <w:jc w:val="right"/>
              <w:spacing w:after="0"/>
              <w:rPr>
                <w:sz w:val="20"/>
                <w:szCs w:val="20"/>
                <w:color w:val="auto"/>
              </w:rPr>
            </w:pPr>
            <w:r>
              <w:rPr>
                <w:rFonts w:ascii="Arial" w:cs="Arial" w:eastAsia="Arial" w:hAnsi="Arial"/>
                <w:sz w:val="14"/>
                <w:szCs w:val="14"/>
                <w:color w:val="auto"/>
              </w:rPr>
              <w:t>68,750</w:t>
            </w:r>
          </w:p>
        </w:tc>
        <w:tc>
          <w:tcPr>
            <w:tcW w:w="8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1,100,000</w:t>
            </w:r>
          </w:p>
        </w:tc>
        <w:tc>
          <w:tcPr>
            <w:tcW w:w="860" w:type="dxa"/>
            <w:vAlign w:val="bottom"/>
            <w:shd w:val="clear" w:color="auto" w:fill="E4E6EF"/>
          </w:tcPr>
          <w:p>
            <w:pPr>
              <w:jc w:val="right"/>
              <w:spacing w:after="0"/>
              <w:rPr>
                <w:sz w:val="20"/>
                <w:szCs w:val="20"/>
                <w:color w:val="auto"/>
              </w:rPr>
            </w:pPr>
            <w:r>
              <w:rPr>
                <w:rFonts w:ascii="Arial" w:cs="Arial" w:eastAsia="Arial" w:hAnsi="Arial"/>
                <w:sz w:val="14"/>
                <w:szCs w:val="14"/>
                <w:color w:val="auto"/>
              </w:rPr>
              <w:t>2,200,000</w:t>
            </w:r>
          </w:p>
        </w:tc>
        <w:tc>
          <w:tcPr>
            <w:tcW w:w="80" w:type="dxa"/>
            <w:vAlign w:val="bottom"/>
            <w:shd w:val="clear" w:color="auto" w:fill="E4E6EF"/>
          </w:tcPr>
          <w:p>
            <w:pPr>
              <w:spacing w:after="0"/>
              <w:rPr>
                <w:sz w:val="16"/>
                <w:szCs w:val="16"/>
                <w:color w:val="auto"/>
              </w:rPr>
            </w:pPr>
          </w:p>
        </w:tc>
        <w:tc>
          <w:tcPr>
            <w:tcW w:w="1000" w:type="dxa"/>
            <w:vAlign w:val="bottom"/>
            <w:shd w:val="clear" w:color="auto" w:fill="E4E6EF"/>
          </w:tcPr>
          <w:p>
            <w:pPr>
              <w:jc w:val="center"/>
              <w:ind w:left="330"/>
              <w:spacing w:after="0"/>
              <w:rPr>
                <w:sz w:val="20"/>
                <w:szCs w:val="20"/>
                <w:color w:val="auto"/>
              </w:rPr>
            </w:pPr>
            <w:r>
              <w:rPr>
                <w:rFonts w:ascii="Arial" w:cs="Arial" w:eastAsia="Arial" w:hAnsi="Arial"/>
                <w:sz w:val="14"/>
                <w:szCs w:val="14"/>
                <w:color w:val="auto"/>
              </w:rPr>
              <w:t>—</w:t>
            </w:r>
          </w:p>
        </w:tc>
        <w:tc>
          <w:tcPr>
            <w:tcW w:w="760" w:type="dxa"/>
            <w:vAlign w:val="bottom"/>
            <w:shd w:val="clear" w:color="auto" w:fill="E4E6EF"/>
          </w:tcPr>
          <w:p>
            <w:pPr>
              <w:jc w:val="right"/>
              <w:ind w:right="129"/>
              <w:spacing w:after="0"/>
              <w:rPr>
                <w:sz w:val="20"/>
                <w:szCs w:val="20"/>
                <w:color w:val="auto"/>
              </w:rPr>
            </w:pPr>
            <w:r>
              <w:rPr>
                <w:rFonts w:ascii="Arial" w:cs="Arial" w:eastAsia="Arial" w:hAnsi="Arial"/>
                <w:sz w:val="14"/>
                <w:szCs w:val="14"/>
                <w:color w:val="auto"/>
              </w:rPr>
              <w:t>—</w:t>
            </w:r>
          </w:p>
        </w:tc>
        <w:tc>
          <w:tcPr>
            <w:tcW w:w="72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600" w:type="dxa"/>
            <w:vAlign w:val="bottom"/>
            <w:tcBorders>
              <w:bottom w:val="single" w:sz="8" w:color="939598"/>
            </w:tcBorders>
          </w:tcPr>
          <w:p>
            <w:pPr>
              <w:spacing w:after="0"/>
              <w:rPr>
                <w:sz w:val="16"/>
                <w:szCs w:val="16"/>
                <w:color w:val="auto"/>
              </w:rPr>
            </w:pP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2/25/2021</w:t>
            </w: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PSU</w:t>
            </w:r>
          </w:p>
        </w:tc>
        <w:tc>
          <w:tcPr>
            <w:tcW w:w="80" w:type="dxa"/>
            <w:vAlign w:val="bottom"/>
            <w:tcBorders>
              <w:bottom w:val="single" w:sz="8" w:color="939598"/>
            </w:tcBorders>
          </w:tcPr>
          <w:p>
            <w:pPr>
              <w:spacing w:after="0"/>
              <w:rPr>
                <w:sz w:val="16"/>
                <w:szCs w:val="16"/>
                <w:color w:val="auto"/>
              </w:rPr>
            </w:pP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39598"/>
            </w:tcBorders>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39598"/>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39598"/>
            </w:tcBorders>
          </w:tcPr>
          <w:p>
            <w:pPr>
              <w:jc w:val="center"/>
              <w:ind w:left="330"/>
              <w:spacing w:after="0"/>
              <w:rPr>
                <w:sz w:val="20"/>
                <w:szCs w:val="20"/>
                <w:color w:val="auto"/>
              </w:rPr>
            </w:pPr>
            <w:r>
              <w:rPr>
                <w:rFonts w:ascii="Arial" w:cs="Arial" w:eastAsia="Arial" w:hAnsi="Arial"/>
                <w:sz w:val="14"/>
                <w:szCs w:val="14"/>
                <w:color w:val="auto"/>
              </w:rPr>
              <w:t>504</w:t>
            </w:r>
          </w:p>
        </w:tc>
        <w:tc>
          <w:tcPr>
            <w:tcW w:w="760" w:type="dxa"/>
            <w:vAlign w:val="bottom"/>
            <w:tcBorders>
              <w:bottom w:val="single" w:sz="8" w:color="939598"/>
            </w:tcBorders>
          </w:tcPr>
          <w:p>
            <w:pPr>
              <w:jc w:val="right"/>
              <w:ind w:right="89"/>
              <w:spacing w:after="0"/>
              <w:rPr>
                <w:sz w:val="20"/>
                <w:szCs w:val="20"/>
                <w:color w:val="auto"/>
              </w:rPr>
            </w:pPr>
            <w:r>
              <w:rPr>
                <w:rFonts w:ascii="Arial" w:cs="Arial" w:eastAsia="Arial" w:hAnsi="Arial"/>
                <w:sz w:val="14"/>
                <w:szCs w:val="14"/>
                <w:color w:val="auto"/>
              </w:rPr>
              <w:t>8,050</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16,100</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2,587,713</w:t>
            </w:r>
          </w:p>
        </w:tc>
        <w:tc>
          <w:tcPr>
            <w:tcW w:w="0" w:type="dxa"/>
            <w:vAlign w:val="bottom"/>
          </w:tcPr>
          <w:p>
            <w:pPr>
              <w:spacing w:after="0"/>
              <w:rPr>
                <w:sz w:val="1"/>
                <w:szCs w:val="1"/>
                <w:color w:val="auto"/>
              </w:rPr>
            </w:pPr>
          </w:p>
        </w:tc>
      </w:tr>
      <w:tr>
        <w:trPr>
          <w:trHeight w:val="182"/>
        </w:trPr>
        <w:tc>
          <w:tcPr>
            <w:tcW w:w="2600" w:type="dxa"/>
            <w:vAlign w:val="bottom"/>
          </w:tcPr>
          <w:p>
            <w:pPr>
              <w:ind w:left="20"/>
              <w:spacing w:after="0"/>
              <w:rPr>
                <w:sz w:val="20"/>
                <w:szCs w:val="20"/>
                <w:color w:val="auto"/>
              </w:rPr>
            </w:pPr>
            <w:r>
              <w:rPr>
                <w:rFonts w:ascii="Arial" w:cs="Arial" w:eastAsia="Arial" w:hAnsi="Arial"/>
                <w:sz w:val="14"/>
                <w:szCs w:val="14"/>
                <w:b w:val="1"/>
                <w:bCs w:val="1"/>
                <w:color w:val="002E6D"/>
              </w:rPr>
              <w:t>Frank A. St. John</w:t>
            </w:r>
          </w:p>
        </w:tc>
        <w:tc>
          <w:tcPr>
            <w:tcW w:w="8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MICP</w:t>
            </w:r>
          </w:p>
        </w:tc>
        <w:tc>
          <w:tcPr>
            <w:tcW w:w="920" w:type="dxa"/>
            <w:vAlign w:val="bottom"/>
            <w:gridSpan w:val="2"/>
            <w:shd w:val="clear" w:color="auto" w:fill="E4E6EF"/>
          </w:tcPr>
          <w:p>
            <w:pPr>
              <w:jc w:val="right"/>
              <w:spacing w:after="0"/>
              <w:rPr>
                <w:sz w:val="20"/>
                <w:szCs w:val="20"/>
                <w:color w:val="auto"/>
              </w:rPr>
            </w:pPr>
            <w:r>
              <w:rPr>
                <w:rFonts w:ascii="Arial" w:cs="Arial" w:eastAsia="Arial" w:hAnsi="Arial"/>
                <w:sz w:val="14"/>
                <w:szCs w:val="14"/>
                <w:color w:val="auto"/>
              </w:rPr>
              <w:t>87,500</w:t>
            </w:r>
          </w:p>
        </w:tc>
        <w:tc>
          <w:tcPr>
            <w:tcW w:w="8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1,250,000</w:t>
            </w:r>
          </w:p>
        </w:tc>
        <w:tc>
          <w:tcPr>
            <w:tcW w:w="860" w:type="dxa"/>
            <w:vAlign w:val="bottom"/>
            <w:shd w:val="clear" w:color="auto" w:fill="E4E6EF"/>
          </w:tcPr>
          <w:p>
            <w:pPr>
              <w:jc w:val="right"/>
              <w:spacing w:after="0"/>
              <w:rPr>
                <w:sz w:val="20"/>
                <w:szCs w:val="20"/>
                <w:color w:val="auto"/>
              </w:rPr>
            </w:pPr>
            <w:r>
              <w:rPr>
                <w:rFonts w:ascii="Arial" w:cs="Arial" w:eastAsia="Arial" w:hAnsi="Arial"/>
                <w:sz w:val="14"/>
                <w:szCs w:val="14"/>
                <w:color w:val="auto"/>
              </w:rPr>
              <w:t>2,500,000</w:t>
            </w:r>
          </w:p>
        </w:tc>
        <w:tc>
          <w:tcPr>
            <w:tcW w:w="80" w:type="dxa"/>
            <w:vAlign w:val="bottom"/>
            <w:shd w:val="clear" w:color="auto" w:fill="E4E6EF"/>
          </w:tcPr>
          <w:p>
            <w:pPr>
              <w:spacing w:after="0"/>
              <w:rPr>
                <w:sz w:val="15"/>
                <w:szCs w:val="15"/>
                <w:color w:val="auto"/>
              </w:rPr>
            </w:pPr>
          </w:p>
        </w:tc>
        <w:tc>
          <w:tcPr>
            <w:tcW w:w="1000" w:type="dxa"/>
            <w:vAlign w:val="bottom"/>
            <w:shd w:val="clear" w:color="auto" w:fill="E4E6EF"/>
          </w:tcPr>
          <w:p>
            <w:pPr>
              <w:jc w:val="center"/>
              <w:ind w:left="330"/>
              <w:spacing w:after="0"/>
              <w:rPr>
                <w:sz w:val="20"/>
                <w:szCs w:val="20"/>
                <w:color w:val="auto"/>
              </w:rPr>
            </w:pPr>
            <w:r>
              <w:rPr>
                <w:rFonts w:ascii="Arial" w:cs="Arial" w:eastAsia="Arial" w:hAnsi="Arial"/>
                <w:sz w:val="14"/>
                <w:szCs w:val="14"/>
                <w:color w:val="auto"/>
              </w:rPr>
              <w:t>—</w:t>
            </w:r>
          </w:p>
        </w:tc>
        <w:tc>
          <w:tcPr>
            <w:tcW w:w="760" w:type="dxa"/>
            <w:vAlign w:val="bottom"/>
            <w:shd w:val="clear" w:color="auto" w:fill="E4E6EF"/>
          </w:tcPr>
          <w:p>
            <w:pPr>
              <w:jc w:val="right"/>
              <w:ind w:right="129"/>
              <w:spacing w:after="0"/>
              <w:rPr>
                <w:sz w:val="20"/>
                <w:szCs w:val="20"/>
                <w:color w:val="auto"/>
              </w:rPr>
            </w:pPr>
            <w:r>
              <w:rPr>
                <w:rFonts w:ascii="Arial" w:cs="Arial" w:eastAsia="Arial" w:hAnsi="Arial"/>
                <w:sz w:val="14"/>
                <w:szCs w:val="14"/>
                <w:color w:val="auto"/>
              </w:rPr>
              <w:t>—</w:t>
            </w:r>
          </w:p>
        </w:tc>
        <w:tc>
          <w:tcPr>
            <w:tcW w:w="72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2/25/2021</w:t>
            </w:r>
          </w:p>
        </w:tc>
        <w:tc>
          <w:tcPr>
            <w:tcW w:w="580" w:type="dxa"/>
            <w:vAlign w:val="bottom"/>
          </w:tcPr>
          <w:p>
            <w:pPr>
              <w:jc w:val="right"/>
              <w:spacing w:after="0"/>
              <w:rPr>
                <w:sz w:val="20"/>
                <w:szCs w:val="20"/>
                <w:color w:val="auto"/>
              </w:rPr>
            </w:pPr>
            <w:r>
              <w:rPr>
                <w:rFonts w:ascii="Arial" w:cs="Arial" w:eastAsia="Arial" w:hAnsi="Arial"/>
                <w:sz w:val="14"/>
                <w:szCs w:val="14"/>
                <w:color w:val="auto"/>
              </w:rPr>
              <w:t>RSU</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jc w:val="center"/>
              <w:ind w:left="33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4,828</w:t>
            </w:r>
          </w:p>
        </w:tc>
        <w:tc>
          <w:tcPr>
            <w:tcW w:w="1080" w:type="dxa"/>
            <w:vAlign w:val="bottom"/>
          </w:tcPr>
          <w:p>
            <w:pPr>
              <w:jc w:val="right"/>
              <w:spacing w:after="0"/>
              <w:rPr>
                <w:sz w:val="20"/>
                <w:szCs w:val="20"/>
                <w:color w:val="auto"/>
              </w:rPr>
            </w:pPr>
            <w:r>
              <w:rPr>
                <w:rFonts w:ascii="Arial" w:cs="Arial" w:eastAsia="Arial" w:hAnsi="Arial"/>
                <w:sz w:val="14"/>
                <w:szCs w:val="14"/>
                <w:color w:val="auto"/>
              </w:rPr>
              <w:t>1,648,907</w:t>
            </w:r>
          </w:p>
        </w:tc>
        <w:tc>
          <w:tcPr>
            <w:tcW w:w="0" w:type="dxa"/>
            <w:vAlign w:val="bottom"/>
          </w:tcPr>
          <w:p>
            <w:pPr>
              <w:spacing w:after="0"/>
              <w:rPr>
                <w:sz w:val="1"/>
                <w:szCs w:val="1"/>
                <w:color w:val="auto"/>
              </w:rPr>
            </w:pPr>
          </w:p>
        </w:tc>
      </w:tr>
      <w:tr>
        <w:trPr>
          <w:trHeight w:val="188"/>
        </w:trPr>
        <w:tc>
          <w:tcPr>
            <w:tcW w:w="2600" w:type="dxa"/>
            <w:vAlign w:val="bottom"/>
          </w:tcPr>
          <w:p>
            <w:pPr>
              <w:spacing w:after="0"/>
              <w:rPr>
                <w:sz w:val="16"/>
                <w:szCs w:val="16"/>
                <w:color w:val="auto"/>
              </w:rPr>
            </w:pPr>
          </w:p>
        </w:tc>
        <w:tc>
          <w:tcPr>
            <w:tcW w:w="8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LTIP</w:t>
            </w:r>
          </w:p>
        </w:tc>
        <w:tc>
          <w:tcPr>
            <w:tcW w:w="920" w:type="dxa"/>
            <w:vAlign w:val="bottom"/>
            <w:gridSpan w:val="2"/>
            <w:shd w:val="clear" w:color="auto" w:fill="E4E6EF"/>
          </w:tcPr>
          <w:p>
            <w:pPr>
              <w:jc w:val="right"/>
              <w:spacing w:after="0"/>
              <w:rPr>
                <w:sz w:val="20"/>
                <w:szCs w:val="20"/>
                <w:color w:val="auto"/>
              </w:rPr>
            </w:pPr>
            <w:r>
              <w:rPr>
                <w:rFonts w:ascii="Arial" w:cs="Arial" w:eastAsia="Arial" w:hAnsi="Arial"/>
                <w:sz w:val="14"/>
                <w:szCs w:val="14"/>
                <w:color w:val="auto"/>
              </w:rPr>
              <w:t>68,750</w:t>
            </w:r>
          </w:p>
        </w:tc>
        <w:tc>
          <w:tcPr>
            <w:tcW w:w="8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1,100,000</w:t>
            </w:r>
          </w:p>
        </w:tc>
        <w:tc>
          <w:tcPr>
            <w:tcW w:w="860" w:type="dxa"/>
            <w:vAlign w:val="bottom"/>
            <w:shd w:val="clear" w:color="auto" w:fill="E4E6EF"/>
          </w:tcPr>
          <w:p>
            <w:pPr>
              <w:jc w:val="right"/>
              <w:spacing w:after="0"/>
              <w:rPr>
                <w:sz w:val="20"/>
                <w:szCs w:val="20"/>
                <w:color w:val="auto"/>
              </w:rPr>
            </w:pPr>
            <w:r>
              <w:rPr>
                <w:rFonts w:ascii="Arial" w:cs="Arial" w:eastAsia="Arial" w:hAnsi="Arial"/>
                <w:sz w:val="14"/>
                <w:szCs w:val="14"/>
                <w:color w:val="auto"/>
              </w:rPr>
              <w:t>2,200,000</w:t>
            </w:r>
          </w:p>
        </w:tc>
        <w:tc>
          <w:tcPr>
            <w:tcW w:w="80" w:type="dxa"/>
            <w:vAlign w:val="bottom"/>
            <w:shd w:val="clear" w:color="auto" w:fill="E4E6EF"/>
          </w:tcPr>
          <w:p>
            <w:pPr>
              <w:spacing w:after="0"/>
              <w:rPr>
                <w:sz w:val="16"/>
                <w:szCs w:val="16"/>
                <w:color w:val="auto"/>
              </w:rPr>
            </w:pPr>
          </w:p>
        </w:tc>
        <w:tc>
          <w:tcPr>
            <w:tcW w:w="1000" w:type="dxa"/>
            <w:vAlign w:val="bottom"/>
            <w:shd w:val="clear" w:color="auto" w:fill="E4E6EF"/>
          </w:tcPr>
          <w:p>
            <w:pPr>
              <w:jc w:val="center"/>
              <w:ind w:left="330"/>
              <w:spacing w:after="0"/>
              <w:rPr>
                <w:sz w:val="20"/>
                <w:szCs w:val="20"/>
                <w:color w:val="auto"/>
              </w:rPr>
            </w:pPr>
            <w:r>
              <w:rPr>
                <w:rFonts w:ascii="Arial" w:cs="Arial" w:eastAsia="Arial" w:hAnsi="Arial"/>
                <w:sz w:val="14"/>
                <w:szCs w:val="14"/>
                <w:color w:val="auto"/>
              </w:rPr>
              <w:t>—</w:t>
            </w:r>
          </w:p>
        </w:tc>
        <w:tc>
          <w:tcPr>
            <w:tcW w:w="760" w:type="dxa"/>
            <w:vAlign w:val="bottom"/>
            <w:shd w:val="clear" w:color="auto" w:fill="E4E6EF"/>
          </w:tcPr>
          <w:p>
            <w:pPr>
              <w:jc w:val="right"/>
              <w:ind w:right="129"/>
              <w:spacing w:after="0"/>
              <w:rPr>
                <w:sz w:val="20"/>
                <w:szCs w:val="20"/>
                <w:color w:val="auto"/>
              </w:rPr>
            </w:pPr>
            <w:r>
              <w:rPr>
                <w:rFonts w:ascii="Arial" w:cs="Arial" w:eastAsia="Arial" w:hAnsi="Arial"/>
                <w:sz w:val="14"/>
                <w:szCs w:val="14"/>
                <w:color w:val="auto"/>
              </w:rPr>
              <w:t>—</w:t>
            </w:r>
          </w:p>
        </w:tc>
        <w:tc>
          <w:tcPr>
            <w:tcW w:w="72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600" w:type="dxa"/>
            <w:vAlign w:val="bottom"/>
            <w:tcBorders>
              <w:bottom w:val="single" w:sz="8" w:color="939598"/>
            </w:tcBorders>
          </w:tcPr>
          <w:p>
            <w:pPr>
              <w:spacing w:after="0"/>
              <w:rPr>
                <w:sz w:val="16"/>
                <w:szCs w:val="16"/>
                <w:color w:val="auto"/>
              </w:rPr>
            </w:pP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2/25/2021</w:t>
            </w: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PSU</w:t>
            </w:r>
          </w:p>
        </w:tc>
        <w:tc>
          <w:tcPr>
            <w:tcW w:w="80" w:type="dxa"/>
            <w:vAlign w:val="bottom"/>
            <w:tcBorders>
              <w:bottom w:val="single" w:sz="8" w:color="939598"/>
            </w:tcBorders>
          </w:tcPr>
          <w:p>
            <w:pPr>
              <w:spacing w:after="0"/>
              <w:rPr>
                <w:sz w:val="16"/>
                <w:szCs w:val="16"/>
                <w:color w:val="auto"/>
              </w:rPr>
            </w:pP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39598"/>
            </w:tcBorders>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39598"/>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39598"/>
            </w:tcBorders>
          </w:tcPr>
          <w:p>
            <w:pPr>
              <w:jc w:val="center"/>
              <w:ind w:left="330"/>
              <w:spacing w:after="0"/>
              <w:rPr>
                <w:sz w:val="20"/>
                <w:szCs w:val="20"/>
                <w:color w:val="auto"/>
              </w:rPr>
            </w:pPr>
            <w:r>
              <w:rPr>
                <w:rFonts w:ascii="Arial" w:cs="Arial" w:eastAsia="Arial" w:hAnsi="Arial"/>
                <w:sz w:val="14"/>
                <w:szCs w:val="14"/>
                <w:color w:val="auto"/>
              </w:rPr>
              <w:t>504</w:t>
            </w:r>
          </w:p>
        </w:tc>
        <w:tc>
          <w:tcPr>
            <w:tcW w:w="760" w:type="dxa"/>
            <w:vAlign w:val="bottom"/>
            <w:tcBorders>
              <w:bottom w:val="single" w:sz="8" w:color="939598"/>
            </w:tcBorders>
          </w:tcPr>
          <w:p>
            <w:pPr>
              <w:jc w:val="right"/>
              <w:ind w:right="89"/>
              <w:spacing w:after="0"/>
              <w:rPr>
                <w:sz w:val="20"/>
                <w:szCs w:val="20"/>
                <w:color w:val="auto"/>
              </w:rPr>
            </w:pPr>
            <w:r>
              <w:rPr>
                <w:rFonts w:ascii="Arial" w:cs="Arial" w:eastAsia="Arial" w:hAnsi="Arial"/>
                <w:sz w:val="14"/>
                <w:szCs w:val="14"/>
                <w:color w:val="auto"/>
              </w:rPr>
              <w:t>8,050</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16,100</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2,587,713</w:t>
            </w:r>
          </w:p>
        </w:tc>
        <w:tc>
          <w:tcPr>
            <w:tcW w:w="0" w:type="dxa"/>
            <w:vAlign w:val="bottom"/>
          </w:tcPr>
          <w:p>
            <w:pPr>
              <w:spacing w:after="0"/>
              <w:rPr>
                <w:sz w:val="1"/>
                <w:szCs w:val="1"/>
                <w:color w:val="auto"/>
              </w:rPr>
            </w:pPr>
          </w:p>
        </w:tc>
      </w:tr>
      <w:tr>
        <w:trPr>
          <w:trHeight w:val="182"/>
        </w:trPr>
        <w:tc>
          <w:tcPr>
            <w:tcW w:w="2600" w:type="dxa"/>
            <w:vAlign w:val="bottom"/>
          </w:tcPr>
          <w:p>
            <w:pPr>
              <w:ind w:left="20"/>
              <w:spacing w:after="0"/>
              <w:rPr>
                <w:sz w:val="20"/>
                <w:szCs w:val="20"/>
                <w:color w:val="auto"/>
              </w:rPr>
            </w:pPr>
            <w:r>
              <w:rPr>
                <w:rFonts w:ascii="Arial" w:cs="Arial" w:eastAsia="Arial" w:hAnsi="Arial"/>
                <w:sz w:val="14"/>
                <w:szCs w:val="14"/>
                <w:b w:val="1"/>
                <w:bCs w:val="1"/>
                <w:color w:val="002E6D"/>
              </w:rPr>
              <w:t>Richard F. Ambrose</w:t>
            </w:r>
          </w:p>
        </w:tc>
        <w:tc>
          <w:tcPr>
            <w:tcW w:w="8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MICP</w:t>
            </w:r>
          </w:p>
        </w:tc>
        <w:tc>
          <w:tcPr>
            <w:tcW w:w="920" w:type="dxa"/>
            <w:vAlign w:val="bottom"/>
            <w:gridSpan w:val="2"/>
            <w:shd w:val="clear" w:color="auto" w:fill="E4E6EF"/>
          </w:tcPr>
          <w:p>
            <w:pPr>
              <w:jc w:val="right"/>
              <w:spacing w:after="0"/>
              <w:rPr>
                <w:sz w:val="20"/>
                <w:szCs w:val="20"/>
                <w:color w:val="auto"/>
              </w:rPr>
            </w:pPr>
            <w:r>
              <w:rPr>
                <w:rFonts w:ascii="Arial" w:cs="Arial" w:eastAsia="Arial" w:hAnsi="Arial"/>
                <w:sz w:val="14"/>
                <w:szCs w:val="14"/>
                <w:color w:val="auto"/>
              </w:rPr>
              <w:t>74,305</w:t>
            </w:r>
          </w:p>
        </w:tc>
        <w:tc>
          <w:tcPr>
            <w:tcW w:w="8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1,061,500</w:t>
            </w:r>
          </w:p>
        </w:tc>
        <w:tc>
          <w:tcPr>
            <w:tcW w:w="860" w:type="dxa"/>
            <w:vAlign w:val="bottom"/>
            <w:shd w:val="clear" w:color="auto" w:fill="E4E6EF"/>
          </w:tcPr>
          <w:p>
            <w:pPr>
              <w:jc w:val="right"/>
              <w:spacing w:after="0"/>
              <w:rPr>
                <w:sz w:val="20"/>
                <w:szCs w:val="20"/>
                <w:color w:val="auto"/>
              </w:rPr>
            </w:pPr>
            <w:r>
              <w:rPr>
                <w:rFonts w:ascii="Arial" w:cs="Arial" w:eastAsia="Arial" w:hAnsi="Arial"/>
                <w:sz w:val="14"/>
                <w:szCs w:val="14"/>
                <w:color w:val="auto"/>
              </w:rPr>
              <w:t>2,123,000</w:t>
            </w:r>
          </w:p>
        </w:tc>
        <w:tc>
          <w:tcPr>
            <w:tcW w:w="80" w:type="dxa"/>
            <w:vAlign w:val="bottom"/>
            <w:shd w:val="clear" w:color="auto" w:fill="E4E6EF"/>
          </w:tcPr>
          <w:p>
            <w:pPr>
              <w:spacing w:after="0"/>
              <w:rPr>
                <w:sz w:val="15"/>
                <w:szCs w:val="15"/>
                <w:color w:val="auto"/>
              </w:rPr>
            </w:pPr>
          </w:p>
        </w:tc>
        <w:tc>
          <w:tcPr>
            <w:tcW w:w="1000" w:type="dxa"/>
            <w:vAlign w:val="bottom"/>
            <w:shd w:val="clear" w:color="auto" w:fill="E4E6EF"/>
          </w:tcPr>
          <w:p>
            <w:pPr>
              <w:jc w:val="center"/>
              <w:ind w:left="330"/>
              <w:spacing w:after="0"/>
              <w:rPr>
                <w:sz w:val="20"/>
                <w:szCs w:val="20"/>
                <w:color w:val="auto"/>
              </w:rPr>
            </w:pPr>
            <w:r>
              <w:rPr>
                <w:rFonts w:ascii="Arial" w:cs="Arial" w:eastAsia="Arial" w:hAnsi="Arial"/>
                <w:sz w:val="14"/>
                <w:szCs w:val="14"/>
                <w:color w:val="auto"/>
              </w:rPr>
              <w:t>—</w:t>
            </w:r>
          </w:p>
        </w:tc>
        <w:tc>
          <w:tcPr>
            <w:tcW w:w="760" w:type="dxa"/>
            <w:vAlign w:val="bottom"/>
            <w:shd w:val="clear" w:color="auto" w:fill="E4E6EF"/>
          </w:tcPr>
          <w:p>
            <w:pPr>
              <w:jc w:val="right"/>
              <w:ind w:right="129"/>
              <w:spacing w:after="0"/>
              <w:rPr>
                <w:sz w:val="20"/>
                <w:szCs w:val="20"/>
                <w:color w:val="auto"/>
              </w:rPr>
            </w:pPr>
            <w:r>
              <w:rPr>
                <w:rFonts w:ascii="Arial" w:cs="Arial" w:eastAsia="Arial" w:hAnsi="Arial"/>
                <w:sz w:val="14"/>
                <w:szCs w:val="14"/>
                <w:color w:val="auto"/>
              </w:rPr>
              <w:t>—</w:t>
            </w:r>
          </w:p>
        </w:tc>
        <w:tc>
          <w:tcPr>
            <w:tcW w:w="72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2/25/2021</w:t>
            </w:r>
          </w:p>
        </w:tc>
        <w:tc>
          <w:tcPr>
            <w:tcW w:w="580" w:type="dxa"/>
            <w:vAlign w:val="bottom"/>
          </w:tcPr>
          <w:p>
            <w:pPr>
              <w:jc w:val="right"/>
              <w:spacing w:after="0"/>
              <w:rPr>
                <w:sz w:val="20"/>
                <w:szCs w:val="20"/>
                <w:color w:val="auto"/>
              </w:rPr>
            </w:pPr>
            <w:r>
              <w:rPr>
                <w:rFonts w:ascii="Arial" w:cs="Arial" w:eastAsia="Arial" w:hAnsi="Arial"/>
                <w:sz w:val="14"/>
                <w:szCs w:val="14"/>
                <w:color w:val="auto"/>
              </w:rPr>
              <w:t>RSU</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jc w:val="center"/>
              <w:ind w:left="33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3,511</w:t>
            </w:r>
          </w:p>
        </w:tc>
        <w:tc>
          <w:tcPr>
            <w:tcW w:w="1080" w:type="dxa"/>
            <w:vAlign w:val="bottom"/>
          </w:tcPr>
          <w:p>
            <w:pPr>
              <w:jc w:val="right"/>
              <w:spacing w:after="0"/>
              <w:rPr>
                <w:sz w:val="20"/>
                <w:szCs w:val="20"/>
                <w:color w:val="auto"/>
              </w:rPr>
            </w:pPr>
            <w:r>
              <w:rPr>
                <w:rFonts w:ascii="Arial" w:cs="Arial" w:eastAsia="Arial" w:hAnsi="Arial"/>
                <w:sz w:val="14"/>
                <w:szCs w:val="14"/>
                <w:color w:val="auto"/>
              </w:rPr>
              <w:t>1,199,112</w:t>
            </w:r>
          </w:p>
        </w:tc>
        <w:tc>
          <w:tcPr>
            <w:tcW w:w="0" w:type="dxa"/>
            <w:vAlign w:val="bottom"/>
          </w:tcPr>
          <w:p>
            <w:pPr>
              <w:spacing w:after="0"/>
              <w:rPr>
                <w:sz w:val="1"/>
                <w:szCs w:val="1"/>
                <w:color w:val="auto"/>
              </w:rPr>
            </w:pPr>
          </w:p>
        </w:tc>
      </w:tr>
      <w:tr>
        <w:trPr>
          <w:trHeight w:val="188"/>
        </w:trPr>
        <w:tc>
          <w:tcPr>
            <w:tcW w:w="2600" w:type="dxa"/>
            <w:vAlign w:val="bottom"/>
          </w:tcPr>
          <w:p>
            <w:pPr>
              <w:spacing w:after="0"/>
              <w:rPr>
                <w:sz w:val="16"/>
                <w:szCs w:val="16"/>
                <w:color w:val="auto"/>
              </w:rPr>
            </w:pPr>
          </w:p>
        </w:tc>
        <w:tc>
          <w:tcPr>
            <w:tcW w:w="8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LTIP</w:t>
            </w:r>
          </w:p>
        </w:tc>
        <w:tc>
          <w:tcPr>
            <w:tcW w:w="920" w:type="dxa"/>
            <w:vAlign w:val="bottom"/>
            <w:gridSpan w:val="2"/>
            <w:shd w:val="clear" w:color="auto" w:fill="E4E6EF"/>
          </w:tcPr>
          <w:p>
            <w:pPr>
              <w:jc w:val="right"/>
              <w:spacing w:after="0"/>
              <w:rPr>
                <w:sz w:val="20"/>
                <w:szCs w:val="20"/>
                <w:color w:val="auto"/>
              </w:rPr>
            </w:pPr>
            <w:r>
              <w:rPr>
                <w:rFonts w:ascii="Arial" w:cs="Arial" w:eastAsia="Arial" w:hAnsi="Arial"/>
                <w:sz w:val="14"/>
                <w:szCs w:val="14"/>
                <w:color w:val="auto"/>
              </w:rPr>
              <w:t>49,600</w:t>
            </w:r>
          </w:p>
        </w:tc>
        <w:tc>
          <w:tcPr>
            <w:tcW w:w="8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800,000</w:t>
            </w:r>
          </w:p>
        </w:tc>
        <w:tc>
          <w:tcPr>
            <w:tcW w:w="860" w:type="dxa"/>
            <w:vAlign w:val="bottom"/>
            <w:shd w:val="clear" w:color="auto" w:fill="E4E6EF"/>
          </w:tcPr>
          <w:p>
            <w:pPr>
              <w:jc w:val="right"/>
              <w:spacing w:after="0"/>
              <w:rPr>
                <w:sz w:val="20"/>
                <w:szCs w:val="20"/>
                <w:color w:val="auto"/>
              </w:rPr>
            </w:pPr>
            <w:r>
              <w:rPr>
                <w:rFonts w:ascii="Arial" w:cs="Arial" w:eastAsia="Arial" w:hAnsi="Arial"/>
                <w:sz w:val="14"/>
                <w:szCs w:val="14"/>
                <w:color w:val="auto"/>
              </w:rPr>
              <w:t>1,600,000</w:t>
            </w:r>
          </w:p>
        </w:tc>
        <w:tc>
          <w:tcPr>
            <w:tcW w:w="80" w:type="dxa"/>
            <w:vAlign w:val="bottom"/>
            <w:shd w:val="clear" w:color="auto" w:fill="E4E6EF"/>
          </w:tcPr>
          <w:p>
            <w:pPr>
              <w:spacing w:after="0"/>
              <w:rPr>
                <w:sz w:val="16"/>
                <w:szCs w:val="16"/>
                <w:color w:val="auto"/>
              </w:rPr>
            </w:pPr>
          </w:p>
        </w:tc>
        <w:tc>
          <w:tcPr>
            <w:tcW w:w="1000" w:type="dxa"/>
            <w:vAlign w:val="bottom"/>
            <w:shd w:val="clear" w:color="auto" w:fill="E4E6EF"/>
          </w:tcPr>
          <w:p>
            <w:pPr>
              <w:jc w:val="center"/>
              <w:ind w:left="330"/>
              <w:spacing w:after="0"/>
              <w:rPr>
                <w:sz w:val="20"/>
                <w:szCs w:val="20"/>
                <w:color w:val="auto"/>
              </w:rPr>
            </w:pPr>
            <w:r>
              <w:rPr>
                <w:rFonts w:ascii="Arial" w:cs="Arial" w:eastAsia="Arial" w:hAnsi="Arial"/>
                <w:sz w:val="14"/>
                <w:szCs w:val="14"/>
                <w:color w:val="auto"/>
              </w:rPr>
              <w:t>—</w:t>
            </w:r>
          </w:p>
        </w:tc>
        <w:tc>
          <w:tcPr>
            <w:tcW w:w="760" w:type="dxa"/>
            <w:vAlign w:val="bottom"/>
            <w:shd w:val="clear" w:color="auto" w:fill="E4E6EF"/>
          </w:tcPr>
          <w:p>
            <w:pPr>
              <w:jc w:val="right"/>
              <w:ind w:right="129"/>
              <w:spacing w:after="0"/>
              <w:rPr>
                <w:sz w:val="20"/>
                <w:szCs w:val="20"/>
                <w:color w:val="auto"/>
              </w:rPr>
            </w:pPr>
            <w:r>
              <w:rPr>
                <w:rFonts w:ascii="Arial" w:cs="Arial" w:eastAsia="Arial" w:hAnsi="Arial"/>
                <w:sz w:val="14"/>
                <w:szCs w:val="14"/>
                <w:color w:val="auto"/>
              </w:rPr>
              <w:t>—</w:t>
            </w:r>
          </w:p>
        </w:tc>
        <w:tc>
          <w:tcPr>
            <w:tcW w:w="72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600" w:type="dxa"/>
            <w:vAlign w:val="bottom"/>
            <w:tcBorders>
              <w:bottom w:val="single" w:sz="8" w:color="939598"/>
            </w:tcBorders>
          </w:tcPr>
          <w:p>
            <w:pPr>
              <w:spacing w:after="0"/>
              <w:rPr>
                <w:sz w:val="16"/>
                <w:szCs w:val="16"/>
                <w:color w:val="auto"/>
              </w:rPr>
            </w:pP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2/25/2021</w:t>
            </w: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PSU</w:t>
            </w:r>
          </w:p>
        </w:tc>
        <w:tc>
          <w:tcPr>
            <w:tcW w:w="80" w:type="dxa"/>
            <w:vAlign w:val="bottom"/>
            <w:tcBorders>
              <w:bottom w:val="single" w:sz="8" w:color="939598"/>
            </w:tcBorders>
          </w:tcPr>
          <w:p>
            <w:pPr>
              <w:spacing w:after="0"/>
              <w:rPr>
                <w:sz w:val="16"/>
                <w:szCs w:val="16"/>
                <w:color w:val="auto"/>
              </w:rPr>
            </w:pP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39598"/>
            </w:tcBorders>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39598"/>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39598"/>
            </w:tcBorders>
          </w:tcPr>
          <w:p>
            <w:pPr>
              <w:jc w:val="center"/>
              <w:ind w:left="330"/>
              <w:spacing w:after="0"/>
              <w:rPr>
                <w:sz w:val="20"/>
                <w:szCs w:val="20"/>
                <w:color w:val="auto"/>
              </w:rPr>
            </w:pPr>
            <w:r>
              <w:rPr>
                <w:rFonts w:ascii="Arial" w:cs="Arial" w:eastAsia="Arial" w:hAnsi="Arial"/>
                <w:sz w:val="14"/>
                <w:szCs w:val="14"/>
                <w:color w:val="auto"/>
              </w:rPr>
              <w:t>366</w:t>
            </w:r>
          </w:p>
        </w:tc>
        <w:tc>
          <w:tcPr>
            <w:tcW w:w="760" w:type="dxa"/>
            <w:vAlign w:val="bottom"/>
            <w:tcBorders>
              <w:bottom w:val="single" w:sz="8" w:color="939598"/>
            </w:tcBorders>
          </w:tcPr>
          <w:p>
            <w:pPr>
              <w:jc w:val="right"/>
              <w:ind w:right="89"/>
              <w:spacing w:after="0"/>
              <w:rPr>
                <w:sz w:val="20"/>
                <w:szCs w:val="20"/>
                <w:color w:val="auto"/>
              </w:rPr>
            </w:pPr>
            <w:r>
              <w:rPr>
                <w:rFonts w:ascii="Arial" w:cs="Arial" w:eastAsia="Arial" w:hAnsi="Arial"/>
                <w:sz w:val="14"/>
                <w:szCs w:val="14"/>
                <w:color w:val="auto"/>
              </w:rPr>
              <w:t>5,855</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11,710</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1,882,099</w:t>
            </w:r>
          </w:p>
        </w:tc>
        <w:tc>
          <w:tcPr>
            <w:tcW w:w="0" w:type="dxa"/>
            <w:vAlign w:val="bottom"/>
          </w:tcPr>
          <w:p>
            <w:pPr>
              <w:spacing w:after="0"/>
              <w:rPr>
                <w:sz w:val="1"/>
                <w:szCs w:val="1"/>
                <w:color w:val="auto"/>
              </w:rPr>
            </w:pPr>
          </w:p>
        </w:tc>
      </w:tr>
      <w:tr>
        <w:trPr>
          <w:trHeight w:val="182"/>
        </w:trPr>
        <w:tc>
          <w:tcPr>
            <w:tcW w:w="2600" w:type="dxa"/>
            <w:vAlign w:val="bottom"/>
          </w:tcPr>
          <w:p>
            <w:pPr>
              <w:ind w:left="20"/>
              <w:spacing w:after="0"/>
              <w:rPr>
                <w:sz w:val="20"/>
                <w:szCs w:val="20"/>
                <w:color w:val="auto"/>
              </w:rPr>
            </w:pPr>
            <w:r>
              <w:rPr>
                <w:rFonts w:ascii="Arial" w:cs="Arial" w:eastAsia="Arial" w:hAnsi="Arial"/>
                <w:sz w:val="14"/>
                <w:szCs w:val="14"/>
                <w:b w:val="1"/>
                <w:bCs w:val="1"/>
                <w:color w:val="002E6D"/>
              </w:rPr>
              <w:t>Stephanie C. Hill</w:t>
            </w:r>
          </w:p>
        </w:tc>
        <w:tc>
          <w:tcPr>
            <w:tcW w:w="8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MICP</w:t>
            </w:r>
          </w:p>
        </w:tc>
        <w:tc>
          <w:tcPr>
            <w:tcW w:w="920" w:type="dxa"/>
            <w:vAlign w:val="bottom"/>
            <w:gridSpan w:val="2"/>
            <w:shd w:val="clear" w:color="auto" w:fill="E4E6EF"/>
          </w:tcPr>
          <w:p>
            <w:pPr>
              <w:jc w:val="right"/>
              <w:spacing w:after="0"/>
              <w:rPr>
                <w:sz w:val="20"/>
                <w:szCs w:val="20"/>
                <w:color w:val="auto"/>
              </w:rPr>
            </w:pPr>
            <w:r>
              <w:rPr>
                <w:rFonts w:ascii="Arial" w:cs="Arial" w:eastAsia="Arial" w:hAnsi="Arial"/>
                <w:sz w:val="14"/>
                <w:szCs w:val="14"/>
                <w:color w:val="auto"/>
              </w:rPr>
              <w:t>74,305</w:t>
            </w:r>
          </w:p>
        </w:tc>
        <w:tc>
          <w:tcPr>
            <w:tcW w:w="880" w:type="dxa"/>
            <w:vAlign w:val="bottom"/>
            <w:shd w:val="clear" w:color="auto" w:fill="E4E6EF"/>
          </w:tcPr>
          <w:p>
            <w:pPr>
              <w:jc w:val="right"/>
              <w:ind w:right="9"/>
              <w:spacing w:after="0"/>
              <w:rPr>
                <w:sz w:val="20"/>
                <w:szCs w:val="20"/>
                <w:color w:val="auto"/>
              </w:rPr>
            </w:pPr>
            <w:r>
              <w:rPr>
                <w:rFonts w:ascii="Arial" w:cs="Arial" w:eastAsia="Arial" w:hAnsi="Arial"/>
                <w:sz w:val="14"/>
                <w:szCs w:val="14"/>
                <w:color w:val="auto"/>
              </w:rPr>
              <w:t>1,061,500</w:t>
            </w:r>
          </w:p>
        </w:tc>
        <w:tc>
          <w:tcPr>
            <w:tcW w:w="860" w:type="dxa"/>
            <w:vAlign w:val="bottom"/>
            <w:shd w:val="clear" w:color="auto" w:fill="E4E6EF"/>
          </w:tcPr>
          <w:p>
            <w:pPr>
              <w:jc w:val="right"/>
              <w:ind w:right="9"/>
              <w:spacing w:after="0"/>
              <w:rPr>
                <w:sz w:val="20"/>
                <w:szCs w:val="20"/>
                <w:color w:val="auto"/>
              </w:rPr>
            </w:pPr>
            <w:r>
              <w:rPr>
                <w:rFonts w:ascii="Arial" w:cs="Arial" w:eastAsia="Arial" w:hAnsi="Arial"/>
                <w:sz w:val="14"/>
                <w:szCs w:val="14"/>
                <w:color w:val="auto"/>
              </w:rPr>
              <w:t>2,123,000</w:t>
            </w:r>
          </w:p>
        </w:tc>
        <w:tc>
          <w:tcPr>
            <w:tcW w:w="80" w:type="dxa"/>
            <w:vAlign w:val="bottom"/>
            <w:shd w:val="clear" w:color="auto" w:fill="E4E6EF"/>
          </w:tcPr>
          <w:p>
            <w:pPr>
              <w:spacing w:after="0"/>
              <w:rPr>
                <w:sz w:val="15"/>
                <w:szCs w:val="15"/>
                <w:color w:val="auto"/>
              </w:rPr>
            </w:pPr>
          </w:p>
        </w:tc>
        <w:tc>
          <w:tcPr>
            <w:tcW w:w="1000" w:type="dxa"/>
            <w:vAlign w:val="bottom"/>
            <w:shd w:val="clear" w:color="auto" w:fill="E4E6EF"/>
          </w:tcPr>
          <w:p>
            <w:pPr>
              <w:jc w:val="center"/>
              <w:ind w:left="330"/>
              <w:spacing w:after="0"/>
              <w:rPr>
                <w:sz w:val="20"/>
                <w:szCs w:val="20"/>
                <w:color w:val="auto"/>
              </w:rPr>
            </w:pPr>
            <w:r>
              <w:rPr>
                <w:rFonts w:ascii="Arial" w:cs="Arial" w:eastAsia="Arial" w:hAnsi="Arial"/>
                <w:sz w:val="14"/>
                <w:szCs w:val="14"/>
                <w:color w:val="auto"/>
              </w:rPr>
              <w:t>—</w:t>
            </w:r>
          </w:p>
        </w:tc>
        <w:tc>
          <w:tcPr>
            <w:tcW w:w="760" w:type="dxa"/>
            <w:vAlign w:val="bottom"/>
            <w:shd w:val="clear" w:color="auto" w:fill="E4E6EF"/>
          </w:tcPr>
          <w:p>
            <w:pPr>
              <w:jc w:val="right"/>
              <w:ind w:right="129"/>
              <w:spacing w:after="0"/>
              <w:rPr>
                <w:sz w:val="20"/>
                <w:szCs w:val="20"/>
                <w:color w:val="auto"/>
              </w:rPr>
            </w:pPr>
            <w:r>
              <w:rPr>
                <w:rFonts w:ascii="Arial" w:cs="Arial" w:eastAsia="Arial" w:hAnsi="Arial"/>
                <w:sz w:val="14"/>
                <w:szCs w:val="14"/>
                <w:color w:val="auto"/>
              </w:rPr>
              <w:t>—</w:t>
            </w:r>
          </w:p>
        </w:tc>
        <w:tc>
          <w:tcPr>
            <w:tcW w:w="72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6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2/25/2021</w:t>
            </w:r>
          </w:p>
        </w:tc>
        <w:tc>
          <w:tcPr>
            <w:tcW w:w="580" w:type="dxa"/>
            <w:vAlign w:val="bottom"/>
          </w:tcPr>
          <w:p>
            <w:pPr>
              <w:jc w:val="right"/>
              <w:spacing w:after="0"/>
              <w:rPr>
                <w:sz w:val="20"/>
                <w:szCs w:val="20"/>
                <w:color w:val="auto"/>
              </w:rPr>
            </w:pPr>
            <w:r>
              <w:rPr>
                <w:rFonts w:ascii="Arial" w:cs="Arial" w:eastAsia="Arial" w:hAnsi="Arial"/>
                <w:sz w:val="14"/>
                <w:szCs w:val="14"/>
                <w:color w:val="auto"/>
              </w:rPr>
              <w:t>RSU</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jc w:val="center"/>
              <w:ind w:left="33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1"/>
              <w:spacing w:after="0"/>
              <w:rPr>
                <w:sz w:val="20"/>
                <w:szCs w:val="20"/>
                <w:color w:val="auto"/>
              </w:rPr>
            </w:pPr>
            <w:r>
              <w:rPr>
                <w:rFonts w:ascii="Arial" w:cs="Arial" w:eastAsia="Arial" w:hAnsi="Arial"/>
                <w:sz w:val="14"/>
                <w:szCs w:val="14"/>
                <w:color w:val="auto"/>
              </w:rPr>
              <w:t>3,511</w:t>
            </w:r>
          </w:p>
        </w:tc>
        <w:tc>
          <w:tcPr>
            <w:tcW w:w="1080" w:type="dxa"/>
            <w:vAlign w:val="bottom"/>
          </w:tcPr>
          <w:p>
            <w:pPr>
              <w:jc w:val="right"/>
              <w:spacing w:after="0"/>
              <w:rPr>
                <w:sz w:val="20"/>
                <w:szCs w:val="20"/>
                <w:color w:val="auto"/>
              </w:rPr>
            </w:pPr>
            <w:r>
              <w:rPr>
                <w:rFonts w:ascii="Arial" w:cs="Arial" w:eastAsia="Arial" w:hAnsi="Arial"/>
                <w:sz w:val="14"/>
                <w:szCs w:val="14"/>
                <w:color w:val="auto"/>
              </w:rPr>
              <w:t>1,199,112</w:t>
            </w:r>
          </w:p>
        </w:tc>
        <w:tc>
          <w:tcPr>
            <w:tcW w:w="0" w:type="dxa"/>
            <w:vAlign w:val="bottom"/>
          </w:tcPr>
          <w:p>
            <w:pPr>
              <w:spacing w:after="0"/>
              <w:rPr>
                <w:sz w:val="1"/>
                <w:szCs w:val="1"/>
                <w:color w:val="auto"/>
              </w:rPr>
            </w:pPr>
          </w:p>
        </w:tc>
      </w:tr>
      <w:tr>
        <w:trPr>
          <w:trHeight w:val="188"/>
        </w:trPr>
        <w:tc>
          <w:tcPr>
            <w:tcW w:w="2600" w:type="dxa"/>
            <w:vAlign w:val="bottom"/>
          </w:tcPr>
          <w:p>
            <w:pPr>
              <w:spacing w:after="0"/>
              <w:rPr>
                <w:sz w:val="16"/>
                <w:szCs w:val="16"/>
                <w:color w:val="auto"/>
              </w:rPr>
            </w:pPr>
          </w:p>
        </w:tc>
        <w:tc>
          <w:tcPr>
            <w:tcW w:w="8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LTIP</w:t>
            </w:r>
          </w:p>
        </w:tc>
        <w:tc>
          <w:tcPr>
            <w:tcW w:w="920" w:type="dxa"/>
            <w:vAlign w:val="bottom"/>
            <w:gridSpan w:val="2"/>
            <w:shd w:val="clear" w:color="auto" w:fill="E4E6EF"/>
          </w:tcPr>
          <w:p>
            <w:pPr>
              <w:jc w:val="right"/>
              <w:spacing w:after="0"/>
              <w:rPr>
                <w:sz w:val="20"/>
                <w:szCs w:val="20"/>
                <w:color w:val="auto"/>
              </w:rPr>
            </w:pPr>
            <w:r>
              <w:rPr>
                <w:rFonts w:ascii="Arial" w:cs="Arial" w:eastAsia="Arial" w:hAnsi="Arial"/>
                <w:sz w:val="14"/>
                <w:szCs w:val="14"/>
                <w:color w:val="auto"/>
              </w:rPr>
              <w:t>50,000</w:t>
            </w:r>
          </w:p>
        </w:tc>
        <w:tc>
          <w:tcPr>
            <w:tcW w:w="880" w:type="dxa"/>
            <w:vAlign w:val="bottom"/>
            <w:shd w:val="clear" w:color="auto" w:fill="E4E6EF"/>
          </w:tcPr>
          <w:p>
            <w:pPr>
              <w:jc w:val="right"/>
              <w:ind w:right="9"/>
              <w:spacing w:after="0"/>
              <w:rPr>
                <w:sz w:val="20"/>
                <w:szCs w:val="20"/>
                <w:color w:val="auto"/>
              </w:rPr>
            </w:pPr>
            <w:r>
              <w:rPr>
                <w:rFonts w:ascii="Arial" w:cs="Arial" w:eastAsia="Arial" w:hAnsi="Arial"/>
                <w:sz w:val="14"/>
                <w:szCs w:val="14"/>
                <w:color w:val="auto"/>
              </w:rPr>
              <w:t>800,000</w:t>
            </w:r>
          </w:p>
        </w:tc>
        <w:tc>
          <w:tcPr>
            <w:tcW w:w="860" w:type="dxa"/>
            <w:vAlign w:val="bottom"/>
            <w:shd w:val="clear" w:color="auto" w:fill="E4E6EF"/>
          </w:tcPr>
          <w:p>
            <w:pPr>
              <w:jc w:val="right"/>
              <w:ind w:right="9"/>
              <w:spacing w:after="0"/>
              <w:rPr>
                <w:sz w:val="20"/>
                <w:szCs w:val="20"/>
                <w:color w:val="auto"/>
              </w:rPr>
            </w:pPr>
            <w:r>
              <w:rPr>
                <w:rFonts w:ascii="Arial" w:cs="Arial" w:eastAsia="Arial" w:hAnsi="Arial"/>
                <w:sz w:val="14"/>
                <w:szCs w:val="14"/>
                <w:color w:val="auto"/>
              </w:rPr>
              <w:t>1,600,000</w:t>
            </w:r>
          </w:p>
        </w:tc>
        <w:tc>
          <w:tcPr>
            <w:tcW w:w="80" w:type="dxa"/>
            <w:vAlign w:val="bottom"/>
            <w:shd w:val="clear" w:color="auto" w:fill="E4E6EF"/>
          </w:tcPr>
          <w:p>
            <w:pPr>
              <w:spacing w:after="0"/>
              <w:rPr>
                <w:sz w:val="16"/>
                <w:szCs w:val="16"/>
                <w:color w:val="auto"/>
              </w:rPr>
            </w:pPr>
          </w:p>
        </w:tc>
        <w:tc>
          <w:tcPr>
            <w:tcW w:w="1000" w:type="dxa"/>
            <w:vAlign w:val="bottom"/>
            <w:shd w:val="clear" w:color="auto" w:fill="E4E6EF"/>
          </w:tcPr>
          <w:p>
            <w:pPr>
              <w:jc w:val="center"/>
              <w:ind w:left="330"/>
              <w:spacing w:after="0"/>
              <w:rPr>
                <w:sz w:val="20"/>
                <w:szCs w:val="20"/>
                <w:color w:val="auto"/>
              </w:rPr>
            </w:pPr>
            <w:r>
              <w:rPr>
                <w:rFonts w:ascii="Arial" w:cs="Arial" w:eastAsia="Arial" w:hAnsi="Arial"/>
                <w:sz w:val="14"/>
                <w:szCs w:val="14"/>
                <w:color w:val="auto"/>
              </w:rPr>
              <w:t>—</w:t>
            </w:r>
          </w:p>
        </w:tc>
        <w:tc>
          <w:tcPr>
            <w:tcW w:w="760" w:type="dxa"/>
            <w:vAlign w:val="bottom"/>
            <w:shd w:val="clear" w:color="auto" w:fill="E4E6EF"/>
          </w:tcPr>
          <w:p>
            <w:pPr>
              <w:jc w:val="right"/>
              <w:ind w:right="129"/>
              <w:spacing w:after="0"/>
              <w:rPr>
                <w:sz w:val="20"/>
                <w:szCs w:val="20"/>
                <w:color w:val="auto"/>
              </w:rPr>
            </w:pPr>
            <w:r>
              <w:rPr>
                <w:rFonts w:ascii="Arial" w:cs="Arial" w:eastAsia="Arial" w:hAnsi="Arial"/>
                <w:sz w:val="14"/>
                <w:szCs w:val="14"/>
                <w:color w:val="auto"/>
              </w:rPr>
              <w:t>—</w:t>
            </w:r>
          </w:p>
        </w:tc>
        <w:tc>
          <w:tcPr>
            <w:tcW w:w="72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4E6EF"/>
          </w:tcPr>
          <w:p>
            <w:pPr>
              <w:jc w:val="right"/>
              <w:ind w:right="11"/>
              <w:spacing w:after="0"/>
              <w:rPr>
                <w:sz w:val="20"/>
                <w:szCs w:val="20"/>
                <w:color w:val="auto"/>
              </w:rPr>
            </w:pPr>
            <w:r>
              <w:rPr>
                <w:rFonts w:ascii="Arial" w:cs="Arial" w:eastAsia="Arial" w:hAnsi="Arial"/>
                <w:sz w:val="14"/>
                <w:szCs w:val="14"/>
                <w:color w:val="auto"/>
              </w:rPr>
              <w:t>—</w:t>
            </w:r>
          </w:p>
        </w:tc>
        <w:tc>
          <w:tcPr>
            <w:tcW w:w="10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2600" w:type="dxa"/>
            <w:vAlign w:val="bottom"/>
            <w:tcBorders>
              <w:bottom w:val="single" w:sz="8" w:color="939598"/>
            </w:tcBorders>
          </w:tcPr>
          <w:p>
            <w:pPr>
              <w:spacing w:after="0"/>
              <w:rPr>
                <w:sz w:val="16"/>
                <w:szCs w:val="16"/>
                <w:color w:val="auto"/>
              </w:rPr>
            </w:pP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2/25/2021</w:t>
            </w:r>
          </w:p>
        </w:tc>
        <w:tc>
          <w:tcPr>
            <w:tcW w:w="5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PSU</w:t>
            </w:r>
          </w:p>
        </w:tc>
        <w:tc>
          <w:tcPr>
            <w:tcW w:w="80" w:type="dxa"/>
            <w:vAlign w:val="bottom"/>
            <w:tcBorders>
              <w:bottom w:val="single" w:sz="8" w:color="939598"/>
            </w:tcBorders>
          </w:tcPr>
          <w:p>
            <w:pPr>
              <w:spacing w:after="0"/>
              <w:rPr>
                <w:sz w:val="16"/>
                <w:szCs w:val="16"/>
                <w:color w:val="auto"/>
              </w:rPr>
            </w:pP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39598"/>
            </w:tcBorders>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39598"/>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39598"/>
            </w:tcBorders>
          </w:tcPr>
          <w:p>
            <w:pPr>
              <w:jc w:val="right"/>
              <w:ind w:right="150"/>
              <w:spacing w:after="0"/>
              <w:rPr>
                <w:sz w:val="20"/>
                <w:szCs w:val="20"/>
                <w:color w:val="auto"/>
              </w:rPr>
            </w:pPr>
            <w:r>
              <w:rPr>
                <w:rFonts w:ascii="Arial" w:cs="Arial" w:eastAsia="Arial" w:hAnsi="Arial"/>
                <w:sz w:val="14"/>
                <w:szCs w:val="14"/>
                <w:color w:val="auto"/>
              </w:rPr>
              <w:t>366</w:t>
            </w:r>
          </w:p>
        </w:tc>
        <w:tc>
          <w:tcPr>
            <w:tcW w:w="760" w:type="dxa"/>
            <w:vAlign w:val="bottom"/>
            <w:tcBorders>
              <w:bottom w:val="single" w:sz="8" w:color="939598"/>
            </w:tcBorders>
          </w:tcPr>
          <w:p>
            <w:pPr>
              <w:jc w:val="right"/>
              <w:ind w:right="129"/>
              <w:spacing w:after="0"/>
              <w:rPr>
                <w:sz w:val="20"/>
                <w:szCs w:val="20"/>
                <w:color w:val="auto"/>
              </w:rPr>
            </w:pPr>
            <w:r>
              <w:rPr>
                <w:rFonts w:ascii="Arial" w:cs="Arial" w:eastAsia="Arial" w:hAnsi="Arial"/>
                <w:sz w:val="14"/>
                <w:szCs w:val="14"/>
                <w:color w:val="auto"/>
              </w:rPr>
              <w:t>5,855</w:t>
            </w:r>
          </w:p>
        </w:tc>
        <w:tc>
          <w:tcPr>
            <w:tcW w:w="72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11,710</w:t>
            </w:r>
          </w:p>
        </w:tc>
        <w:tc>
          <w:tcPr>
            <w:tcW w:w="880" w:type="dxa"/>
            <w:vAlign w:val="bottom"/>
            <w:tcBorders>
              <w:bottom w:val="single" w:sz="8" w:color="939598"/>
            </w:tcBorders>
          </w:tcPr>
          <w:p>
            <w:pPr>
              <w:jc w:val="right"/>
              <w:ind w:right="1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1,882,099</w:t>
            </w:r>
          </w:p>
        </w:tc>
        <w:tc>
          <w:tcPr>
            <w:tcW w:w="0" w:type="dxa"/>
            <w:vAlign w:val="bottom"/>
          </w:tcPr>
          <w:p>
            <w:pPr>
              <w:spacing w:after="0"/>
              <w:rPr>
                <w:sz w:val="1"/>
                <w:szCs w:val="1"/>
                <w:color w:val="auto"/>
              </w:rPr>
            </w:pPr>
          </w:p>
        </w:tc>
      </w:tr>
      <w:tr>
        <w:trPr>
          <w:trHeight w:val="182"/>
        </w:trPr>
        <w:tc>
          <w:tcPr>
            <w:tcW w:w="2600" w:type="dxa"/>
            <w:vAlign w:val="bottom"/>
            <w:tcBorders>
              <w:bottom w:val="single" w:sz="8" w:color="9D9D9C"/>
            </w:tcBorders>
          </w:tcPr>
          <w:p>
            <w:pPr>
              <w:ind w:left="20"/>
              <w:spacing w:after="0"/>
              <w:rPr>
                <w:sz w:val="20"/>
                <w:szCs w:val="20"/>
                <w:color w:val="auto"/>
              </w:rPr>
            </w:pPr>
            <w:r>
              <w:rPr>
                <w:rFonts w:ascii="Arial" w:cs="Arial" w:eastAsia="Arial" w:hAnsi="Arial"/>
                <w:sz w:val="14"/>
                <w:szCs w:val="14"/>
                <w:b w:val="1"/>
                <w:bCs w:val="1"/>
                <w:color w:val="003478"/>
              </w:rPr>
              <w:t>Marillyn A. Hewson</w:t>
            </w:r>
          </w:p>
        </w:tc>
        <w:tc>
          <w:tcPr>
            <w:tcW w:w="880" w:type="dxa"/>
            <w:vAlign w:val="bottom"/>
            <w:tcBorders>
              <w:bottom w:val="single" w:sz="8" w:color="9D9D9C"/>
            </w:tcBorders>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9D9D9C"/>
            </w:tcBorders>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9D9D9C"/>
            </w:tcBorders>
            <w:shd w:val="clear" w:color="auto" w:fill="E4E6EF"/>
          </w:tcPr>
          <w:p>
            <w:pPr>
              <w:spacing w:after="0"/>
              <w:rPr>
                <w:sz w:val="15"/>
                <w:szCs w:val="15"/>
                <w:color w:val="auto"/>
              </w:rPr>
            </w:pPr>
          </w:p>
        </w:tc>
        <w:tc>
          <w:tcPr>
            <w:tcW w:w="840" w:type="dxa"/>
            <w:vAlign w:val="bottom"/>
            <w:tcBorders>
              <w:bottom w:val="single" w:sz="8" w:color="9D9D9C"/>
            </w:tcBorders>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D9D9C"/>
            </w:tcBorders>
            <w:shd w:val="clear" w:color="auto" w:fill="E4E6EF"/>
          </w:tcPr>
          <w:p>
            <w:pPr>
              <w:jc w:val="right"/>
              <w:ind w:right="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9D9D9C"/>
            </w:tcBorders>
            <w:gridSpan w:val="2"/>
            <w:shd w:val="clear" w:color="auto" w:fill="E4E6EF"/>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9D9D9C"/>
            </w:tcBorders>
            <w:shd w:val="clear" w:color="auto" w:fill="E4E6EF"/>
          </w:tcPr>
          <w:p>
            <w:pPr>
              <w:jc w:val="center"/>
              <w:ind w:left="330"/>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9D9D9C"/>
            </w:tcBorders>
            <w:shd w:val="clear" w:color="auto" w:fill="E4E6EF"/>
          </w:tcPr>
          <w:p>
            <w:pPr>
              <w:jc w:val="right"/>
              <w:ind w:right="129"/>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9D9D9C"/>
            </w:tcBorders>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D9D9C"/>
            </w:tcBorders>
            <w:shd w:val="clear" w:color="auto" w:fill="E4E6EF"/>
          </w:tcPr>
          <w:p>
            <w:pPr>
              <w:jc w:val="right"/>
              <w:ind w:right="1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9D9D9C"/>
            </w:tcBorders>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40" w:right="80" w:hanging="233"/>
        <w:spacing w:after="0" w:line="276" w:lineRule="auto"/>
        <w:tabs>
          <w:tab w:leader="none" w:pos="213" w:val="left"/>
        </w:tabs>
        <w:numPr>
          <w:ilvl w:val="0"/>
          <w:numId w:val="98"/>
        </w:numPr>
        <w:rPr>
          <w:rFonts w:ascii="Arial" w:cs="Arial" w:eastAsia="Arial" w:hAnsi="Arial"/>
          <w:sz w:val="14"/>
          <w:szCs w:val="14"/>
          <w:color w:val="auto"/>
        </w:rPr>
      </w:pPr>
      <w:r>
        <w:rPr>
          <w:rFonts w:ascii="Arial" w:cs="Arial" w:eastAsia="Arial" w:hAnsi="Arial"/>
          <w:sz w:val="14"/>
          <w:szCs w:val="14"/>
          <w:color w:val="auto"/>
        </w:rPr>
        <w:t>Mr. Possenriede’s MICP payout was prorated based on time served during fiscal year 2021; All 2021 RSU, LTIP and PSU grants were forfeited upon his retirement in August 2021.</w:t>
      </w:r>
    </w:p>
    <w:p>
      <w:pPr>
        <w:spacing w:after="0" w:line="122" w:lineRule="exact"/>
        <w:rPr>
          <w:sz w:val="20"/>
          <w:szCs w:val="20"/>
          <w:color w:val="auto"/>
        </w:rPr>
      </w:pPr>
    </w:p>
    <w:p>
      <w:pPr>
        <w:ind w:left="240" w:right="340" w:hanging="233"/>
        <w:spacing w:after="0" w:line="230" w:lineRule="auto"/>
        <w:tabs>
          <w:tab w:leader="none" w:pos="215" w:val="left"/>
        </w:tabs>
        <w:numPr>
          <w:ilvl w:val="0"/>
          <w:numId w:val="99"/>
        </w:numPr>
        <w:rPr>
          <w:rFonts w:ascii="Arial" w:cs="Arial" w:eastAsia="Arial" w:hAnsi="Arial"/>
          <w:sz w:val="19"/>
          <w:szCs w:val="19"/>
          <w:color w:val="auto"/>
          <w:vertAlign w:val="superscript"/>
        </w:rPr>
      </w:pPr>
      <w:r>
        <w:rPr>
          <w:rFonts w:ascii="Arial" w:cs="Arial" w:eastAsia="Arial" w:hAnsi="Arial"/>
          <w:sz w:val="14"/>
          <w:szCs w:val="14"/>
          <w:color w:val="auto"/>
        </w:rPr>
        <w:t xml:space="preserve">The amounts reported in the </w:t>
      </w:r>
      <w:r>
        <w:rPr>
          <w:rFonts w:ascii="Arial" w:cs="Arial" w:eastAsia="Arial" w:hAnsi="Arial"/>
          <w:sz w:val="14"/>
          <w:szCs w:val="14"/>
          <w:b w:val="1"/>
          <w:bCs w:val="1"/>
          <w:color w:val="auto"/>
        </w:rPr>
        <w:t>Estimated Future Payouts Under Non-Equity Incentive Plan Awards</w:t>
      </w:r>
      <w:r>
        <w:rPr>
          <w:rFonts w:ascii="Arial" w:cs="Arial" w:eastAsia="Arial" w:hAnsi="Arial"/>
          <w:sz w:val="14"/>
          <w:szCs w:val="14"/>
          <w:color w:val="auto"/>
        </w:rPr>
        <w:t xml:space="preserve"> columns include annual incentive grants (MICP) for 2021 and LTIP grants for the 2021-2023 performance period ending December 31, 2023.</w:t>
      </w:r>
    </w:p>
    <w:p>
      <w:pPr>
        <w:spacing w:after="0" w:line="57" w:lineRule="exact"/>
        <w:rPr>
          <w:sz w:val="20"/>
          <w:szCs w:val="20"/>
          <w:color w:val="auto"/>
        </w:rPr>
      </w:pPr>
    </w:p>
    <w:p>
      <w:pPr>
        <w:ind w:left="240" w:right="640"/>
        <w:spacing w:after="0" w:line="276" w:lineRule="auto"/>
        <w:rPr>
          <w:sz w:val="20"/>
          <w:szCs w:val="20"/>
          <w:color w:val="auto"/>
        </w:rPr>
      </w:pPr>
      <w:r>
        <w:rPr>
          <w:rFonts w:ascii="Arial" w:cs="Arial" w:eastAsia="Arial" w:hAnsi="Arial"/>
          <w:sz w:val="14"/>
          <w:szCs w:val="14"/>
          <w:color w:val="auto"/>
        </w:rPr>
        <w:t>The MICP measures performance over a one-year period and is described under “2021 Annual Incentive” in the CD&amp;A. The threshold, or minimum amount payable (assuming an award is earned), is 7% of target while the maximum is 200% of target.</w:t>
      </w:r>
    </w:p>
    <w:p>
      <w:pPr>
        <w:spacing w:after="0" w:line="33" w:lineRule="exact"/>
        <w:rPr>
          <w:sz w:val="20"/>
          <w:szCs w:val="20"/>
          <w:color w:val="auto"/>
        </w:rPr>
      </w:pPr>
    </w:p>
    <w:p>
      <w:pPr>
        <w:ind w:left="240" w:right="20"/>
        <w:spacing w:after="0" w:line="263" w:lineRule="auto"/>
        <w:rPr>
          <w:sz w:val="20"/>
          <w:szCs w:val="20"/>
          <w:color w:val="auto"/>
        </w:rPr>
      </w:pPr>
      <w:r>
        <w:rPr>
          <w:rFonts w:ascii="Arial" w:cs="Arial" w:eastAsia="Arial" w:hAnsi="Arial"/>
          <w:sz w:val="14"/>
          <w:szCs w:val="14"/>
          <w:color w:val="auto"/>
        </w:rPr>
        <w:t>The LTIP award measures performance against three separate metrics described under “2021 Long-Term Incentive Compensation” in the CD&amp;A. The threshold is the minimum amount payable for a specified level of performance stated in the LTIP award agreement. For the 2021-2023 award, the threshold amount payable is 6.25% of the target award. The maximum award payable under the LTIP award is 200% of target value. Awards are subject to forfeiture upon termination of employment prior to the end of the performance period, except in the event of retirement or layoff occurring after six months from the date of grant or in the event of death, disability, or divestiture. In any of these events, LTIP awards are paid at the end of the performance period on a prorated basis. Following a change in control, the 2021-2023 LTIP awards vest at the target amount upon involuntary termination without cause or voluntary termination with good reason or if the successor does not assume the LTIP awards.</w:t>
      </w:r>
    </w:p>
    <w:p>
      <w:pPr>
        <w:spacing w:after="0" w:line="25" w:lineRule="exact"/>
        <w:rPr>
          <w:sz w:val="20"/>
          <w:szCs w:val="20"/>
          <w:color w:val="auto"/>
        </w:rPr>
      </w:pPr>
    </w:p>
    <w:p>
      <w:pPr>
        <w:ind w:left="240" w:right="40" w:hanging="233"/>
        <w:spacing w:after="0" w:line="251" w:lineRule="auto"/>
        <w:tabs>
          <w:tab w:leader="none" w:pos="268" w:val="left"/>
        </w:tabs>
        <w:numPr>
          <w:ilvl w:val="0"/>
          <w:numId w:val="100"/>
        </w:numPr>
        <w:rPr>
          <w:rFonts w:ascii="Arial" w:cs="Arial" w:eastAsia="Arial" w:hAnsi="Arial"/>
          <w:sz w:val="19"/>
          <w:szCs w:val="19"/>
          <w:color w:val="auto"/>
          <w:vertAlign w:val="superscript"/>
        </w:rPr>
      </w:pPr>
      <w:r>
        <w:rPr>
          <w:rFonts w:ascii="Arial" w:cs="Arial" w:eastAsia="Arial" w:hAnsi="Arial"/>
          <w:sz w:val="14"/>
          <w:szCs w:val="14"/>
          <w:color w:val="auto"/>
        </w:rPr>
        <w:t xml:space="preserve">The amounts reported in the </w:t>
      </w:r>
      <w:r>
        <w:rPr>
          <w:rFonts w:ascii="Arial" w:cs="Arial" w:eastAsia="Arial" w:hAnsi="Arial"/>
          <w:sz w:val="14"/>
          <w:szCs w:val="14"/>
          <w:b w:val="1"/>
          <w:bCs w:val="1"/>
          <w:color w:val="auto"/>
        </w:rPr>
        <w:t>Estimated Future Payouts Under Equity Incentive Plan Awards</w:t>
      </w:r>
      <w:r>
        <w:rPr>
          <w:rFonts w:ascii="Arial" w:cs="Arial" w:eastAsia="Arial" w:hAnsi="Arial"/>
          <w:sz w:val="14"/>
          <w:szCs w:val="14"/>
          <w:color w:val="auto"/>
        </w:rPr>
        <w:t xml:space="preserve"> columns of the table include PSU awards for the 2021-2023 performance period ending December 31, 2023. PSU awards typically have a three-year vesting period ending on the third anniversary of the date of grant (i.e., February 25, 2024 for the February 25, 2021 grants). At the end of the vesting period, the amount earned is payable in shares of stock and cash representing deferred dividend equivalents accrued on the earned shares during the three-year performance period. PSU awards are subject to forfeiture upon termination of employment prior to the end of the vesting period, except in the event of retirement or layoff occurring after six months from the date of grant or in the event of death, disability or divestiture. In any of these events, PSU awards are paid out at the end of the vesting period on a prorated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233045</wp:posOffset>
            </wp:positionV>
            <wp:extent cx="963930" cy="2216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57</w:t>
      </w:r>
    </w:p>
    <w:p>
      <w:pPr>
        <w:sectPr>
          <w:pgSz w:w="11900" w:h="16838" w:orient="portrait"/>
          <w:cols w:equalWidth="0" w:num="1">
            <w:col w:w="11240"/>
          </w:cols>
          <w:pgMar w:left="320" w:top="254" w:right="339" w:bottom="1440" w:gutter="0" w:footer="0" w:header="0"/>
        </w:sectPr>
      </w:pPr>
    </w:p>
    <w:bookmarkStart w:id="63" w:name="page64"/>
    <w:bookmarkEnd w:id="63"/>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5" w:lineRule="exact"/>
        <w:rPr>
          <w:sz w:val="20"/>
          <w:szCs w:val="20"/>
          <w:color w:val="auto"/>
        </w:rPr>
      </w:pPr>
    </w:p>
    <w:p>
      <w:pPr>
        <w:ind w:left="240" w:right="480"/>
        <w:spacing w:after="0" w:line="276" w:lineRule="auto"/>
        <w:rPr>
          <w:sz w:val="20"/>
          <w:szCs w:val="20"/>
          <w:color w:val="auto"/>
        </w:rPr>
      </w:pPr>
      <w:r>
        <w:rPr>
          <w:rFonts w:ascii="Arial" w:cs="Arial" w:eastAsia="Arial" w:hAnsi="Arial"/>
          <w:sz w:val="14"/>
          <w:szCs w:val="14"/>
          <w:color w:val="auto"/>
        </w:rPr>
        <w:t>basis. Following a change in control, the PSUs vest at the target amount upon involuntary termination without cause or voluntary termination with good reason or if the successor does not assume the PSUs.</w:t>
      </w:r>
    </w:p>
    <w:p>
      <w:pPr>
        <w:spacing w:after="0" w:line="33" w:lineRule="exact"/>
        <w:rPr>
          <w:sz w:val="20"/>
          <w:szCs w:val="20"/>
          <w:color w:val="auto"/>
        </w:rPr>
      </w:pPr>
    </w:p>
    <w:p>
      <w:pPr>
        <w:ind w:left="240" w:right="60"/>
        <w:spacing w:after="0" w:line="268" w:lineRule="auto"/>
        <w:rPr>
          <w:sz w:val="20"/>
          <w:szCs w:val="20"/>
          <w:color w:val="auto"/>
        </w:rPr>
      </w:pPr>
      <w:r>
        <w:rPr>
          <w:rFonts w:ascii="Arial" w:cs="Arial" w:eastAsia="Arial" w:hAnsi="Arial"/>
          <w:sz w:val="14"/>
          <w:szCs w:val="14"/>
          <w:color w:val="auto"/>
        </w:rPr>
        <w:t>Shares are earned under the PSU awards based upon performance against three separate metrics described under “PSU Awards” in the CD&amp;A. If performance falls below the threshold level of performance, no shares would be earned. Assuming any payment is earned, the minimum amount payable under the PSU award is 6.25% of the target shares, the lowest level payable under any of these metrics. The maximum number of shares payable under the PSU is 200% of the number of target shares.</w:t>
      </w:r>
    </w:p>
    <w:p>
      <w:pPr>
        <w:spacing w:after="0" w:line="20" w:lineRule="exact"/>
        <w:rPr>
          <w:sz w:val="20"/>
          <w:szCs w:val="20"/>
          <w:color w:val="auto"/>
        </w:rPr>
      </w:pPr>
    </w:p>
    <w:p>
      <w:pPr>
        <w:ind w:left="240" w:right="140" w:hanging="233"/>
        <w:spacing w:after="0" w:line="251" w:lineRule="auto"/>
        <w:tabs>
          <w:tab w:leader="none" w:pos="268" w:val="left"/>
        </w:tabs>
        <w:numPr>
          <w:ilvl w:val="0"/>
          <w:numId w:val="101"/>
        </w:numPr>
        <w:rPr>
          <w:rFonts w:ascii="Arial" w:cs="Arial" w:eastAsia="Arial" w:hAnsi="Arial"/>
          <w:sz w:val="19"/>
          <w:szCs w:val="19"/>
          <w:color w:val="auto"/>
          <w:vertAlign w:val="superscript"/>
        </w:rPr>
      </w:pPr>
      <w:r>
        <w:rPr>
          <w:rFonts w:ascii="Arial" w:cs="Arial" w:eastAsia="Arial" w:hAnsi="Arial"/>
          <w:sz w:val="14"/>
          <w:szCs w:val="14"/>
          <w:color w:val="auto"/>
        </w:rPr>
        <w:t xml:space="preserve">The amounts reported in the </w:t>
      </w:r>
      <w:r>
        <w:rPr>
          <w:rFonts w:ascii="Arial" w:cs="Arial" w:eastAsia="Arial" w:hAnsi="Arial"/>
          <w:sz w:val="14"/>
          <w:szCs w:val="14"/>
          <w:b w:val="1"/>
          <w:bCs w:val="1"/>
          <w:color w:val="auto"/>
        </w:rPr>
        <w:t>All Other Stock Awards: Number of Shares of Stock or Units</w:t>
      </w:r>
      <w:r>
        <w:rPr>
          <w:rFonts w:ascii="Arial" w:cs="Arial" w:eastAsia="Arial" w:hAnsi="Arial"/>
          <w:sz w:val="14"/>
          <w:szCs w:val="14"/>
          <w:color w:val="auto"/>
        </w:rPr>
        <w:t xml:space="preserve"> column show the number of RSUs granted on February 25, 2021. All RSU awards vest on the third anniversary of the date of grant. RSU awards are subject to forfeiture upon termination of employment prior to the end of the vesting period, except in the event of retirement or layoff occurring after six months from the date of grant or death, disability or divestiture. RSU awards vest immediately upon death or disability. RSU awards are prorated upon divestiture if not assumed by the successor. Following a change in control, the RSUs vest upon involuntary termination without cause or voluntary termination for good reason or if the successor does not assume the RSUs. If the employee retires or is laid off after six months from the date of grant, but prior to the third anniversary of the date of grant, the RSUs become nonforfeitable and are paid at the end of the vesting period.</w:t>
      </w:r>
    </w:p>
    <w:p>
      <w:pPr>
        <w:spacing w:after="0" w:line="49" w:lineRule="exact"/>
        <w:rPr>
          <w:sz w:val="20"/>
          <w:szCs w:val="20"/>
          <w:color w:val="auto"/>
        </w:rPr>
      </w:pPr>
    </w:p>
    <w:p>
      <w:pPr>
        <w:ind w:left="240" w:right="100"/>
        <w:spacing w:after="0" w:line="264" w:lineRule="auto"/>
        <w:rPr>
          <w:sz w:val="20"/>
          <w:szCs w:val="20"/>
          <w:color w:val="auto"/>
        </w:rPr>
      </w:pPr>
      <w:r>
        <w:rPr>
          <w:rFonts w:ascii="Arial" w:cs="Arial" w:eastAsia="Arial" w:hAnsi="Arial"/>
          <w:sz w:val="14"/>
          <w:szCs w:val="14"/>
          <w:color w:val="auto"/>
        </w:rPr>
        <w:t>During the vesting period, deferred dividend equivalents are accrued and subject to the same vesting schedule as the underlying RSUs. At the end of the vesting period, the RSUs are paid in shares of stock and the deferred dividend equivalents are paid in cash. If any tax withholding is required on the RSUs and deferred dividend equivalents during the vesting period (for example, on account of retirement eligibility), the RSUs provide for accelerated vesting of the number of shares and deferred dividend equivalents required to satisfy the tax withholding. The award is then reduced by the number of shares and deferred dividend equivalents subject to acceleration of vesting for tax withholding.</w:t>
      </w:r>
    </w:p>
    <w:p>
      <w:pPr>
        <w:spacing w:after="0" w:line="24" w:lineRule="exact"/>
        <w:rPr>
          <w:sz w:val="20"/>
          <w:szCs w:val="20"/>
          <w:color w:val="auto"/>
        </w:rPr>
      </w:pPr>
    </w:p>
    <w:p>
      <w:pPr>
        <w:ind w:left="240" w:right="20" w:hanging="233"/>
        <w:spacing w:after="0" w:line="230" w:lineRule="auto"/>
        <w:tabs>
          <w:tab w:leader="none" w:pos="268" w:val="left"/>
        </w:tabs>
        <w:numPr>
          <w:ilvl w:val="0"/>
          <w:numId w:val="102"/>
        </w:numPr>
        <w:rPr>
          <w:rFonts w:ascii="Arial" w:cs="Arial" w:eastAsia="Arial" w:hAnsi="Arial"/>
          <w:sz w:val="19"/>
          <w:szCs w:val="19"/>
          <w:color w:val="auto"/>
          <w:vertAlign w:val="superscript"/>
        </w:rPr>
      </w:pPr>
      <w:r>
        <w:rPr>
          <w:rFonts w:ascii="Arial" w:cs="Arial" w:eastAsia="Arial" w:hAnsi="Arial"/>
          <w:sz w:val="14"/>
          <w:szCs w:val="14"/>
          <w:color w:val="auto"/>
        </w:rPr>
        <w:t xml:space="preserve">The amounts reported in the </w:t>
      </w:r>
      <w:r>
        <w:rPr>
          <w:rFonts w:ascii="Arial" w:cs="Arial" w:eastAsia="Arial" w:hAnsi="Arial"/>
          <w:sz w:val="14"/>
          <w:szCs w:val="14"/>
          <w:b w:val="1"/>
          <w:bCs w:val="1"/>
          <w:color w:val="auto"/>
        </w:rPr>
        <w:t>Grant Date Fair Value of Stock Awards</w:t>
      </w:r>
      <w:r>
        <w:rPr>
          <w:rFonts w:ascii="Arial" w:cs="Arial" w:eastAsia="Arial" w:hAnsi="Arial"/>
          <w:sz w:val="14"/>
          <w:szCs w:val="14"/>
          <w:color w:val="auto"/>
        </w:rPr>
        <w:t xml:space="preserve"> column represent the aggregate grant date fair value computed in accordance with FASB ASC 718 for RSUs and PSUs granted in 2021, disregarding potential forfeitures based on service requirements.</w:t>
      </w:r>
    </w:p>
    <w:p>
      <w:pPr>
        <w:spacing w:after="0" w:line="57" w:lineRule="exact"/>
        <w:rPr>
          <w:sz w:val="20"/>
          <w:szCs w:val="20"/>
          <w:color w:val="auto"/>
        </w:rPr>
      </w:pPr>
    </w:p>
    <w:p>
      <w:pPr>
        <w:ind w:left="240" w:right="400"/>
        <w:spacing w:after="0" w:line="276" w:lineRule="auto"/>
        <w:rPr>
          <w:sz w:val="20"/>
          <w:szCs w:val="20"/>
          <w:color w:val="auto"/>
        </w:rPr>
      </w:pPr>
      <w:r>
        <w:rPr>
          <w:rFonts w:ascii="Arial" w:cs="Arial" w:eastAsia="Arial" w:hAnsi="Arial"/>
          <w:sz w:val="14"/>
          <w:szCs w:val="14"/>
          <w:color w:val="auto"/>
        </w:rPr>
        <w:t>The grant date fair value of the 2021 RSU grant is $341.53 per RSU, which is based on the closing price of one share of our common stock on the NYSE on the date of grant, discounted to take into account the deferred dividend equivalents accrued until vesting.</w:t>
      </w:r>
    </w:p>
    <w:p>
      <w:pPr>
        <w:spacing w:after="0" w:line="33" w:lineRule="exact"/>
        <w:rPr>
          <w:sz w:val="20"/>
          <w:szCs w:val="20"/>
          <w:color w:val="auto"/>
        </w:rPr>
      </w:pPr>
    </w:p>
    <w:p>
      <w:pPr>
        <w:ind w:left="240" w:right="60"/>
        <w:spacing w:after="0" w:line="265" w:lineRule="auto"/>
        <w:rPr>
          <w:sz w:val="20"/>
          <w:szCs w:val="20"/>
          <w:color w:val="auto"/>
        </w:rPr>
      </w:pPr>
      <w:r>
        <w:rPr>
          <w:rFonts w:ascii="Arial" w:cs="Arial" w:eastAsia="Arial" w:hAnsi="Arial"/>
          <w:sz w:val="14"/>
          <w:szCs w:val="14"/>
          <w:color w:val="auto"/>
        </w:rPr>
        <w:t>The grant date fair value for the PSUs, which are subject to performance conditions, is based on the probable outcome of each of the three performance conditions. The grant date fair value of $301.38 for the Relative TSR portion of the award is determined using a Monte Carlo simulation model. The grant date fair value of $341.53 for the Performance Cash and ROIC portions of the awards is based on the closing price of one share of our stock on the date of grant, discounted to take into account the deferred dividend equivalents accrued until vesting.</w:t>
      </w:r>
    </w:p>
    <w:p>
      <w:pPr>
        <w:spacing w:after="0" w:line="41"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As described in the CD&amp;A, in determining 2021 awards of RSUs and PSUs, the closing stock price of Lockheed Martin common stock on the NYSE on the date of grant</w:t>
      </w:r>
    </w:p>
    <w:p>
      <w:pPr>
        <w:spacing w:after="0" w:line="14" w:lineRule="exact"/>
        <w:rPr>
          <w:sz w:val="20"/>
          <w:szCs w:val="20"/>
          <w:color w:val="auto"/>
        </w:rPr>
      </w:pPr>
    </w:p>
    <w:p>
      <w:pPr>
        <w:ind w:left="240" w:right="240"/>
        <w:spacing w:after="0" w:line="276" w:lineRule="auto"/>
        <w:rPr>
          <w:sz w:val="20"/>
          <w:szCs w:val="20"/>
          <w:color w:val="auto"/>
        </w:rPr>
      </w:pPr>
      <w:r>
        <w:rPr>
          <w:rFonts w:ascii="Arial" w:cs="Arial" w:eastAsia="Arial" w:hAnsi="Arial"/>
          <w:sz w:val="14"/>
          <w:szCs w:val="14"/>
          <w:color w:val="auto"/>
        </w:rPr>
        <w:t>($341.69 on February 25, 2021) was used as opposed to the grant date fair value. The use of the closing stock price versus the grant date fair value results in a difference between the amounts described in the CD&amp;A and the amount reported in this column.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58</w:t>
      </w:r>
    </w:p>
    <w:p>
      <w:pPr>
        <w:sectPr>
          <w:pgSz w:w="11900" w:h="16838" w:orient="portrait"/>
          <w:cols w:equalWidth="0" w:num="1">
            <w:col w:w="11240"/>
          </w:cols>
          <w:pgMar w:left="320" w:top="254" w:right="339" w:bottom="1440" w:gutter="0" w:footer="0" w:header="0"/>
        </w:sectPr>
      </w:pPr>
    </w:p>
    <w:bookmarkStart w:id="64" w:name="page65"/>
    <w:bookmarkEnd w:id="64"/>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9"/>
          <w:szCs w:val="29"/>
          <w:color w:val="003478"/>
        </w:rPr>
        <w:t>Outstanding Equity Awards at 2021 Fiscal Year-End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Borders>
              <w:bottom w:val="single" w:sz="8" w:color="E5E7EF"/>
            </w:tcBorders>
            <w:shd w:val="clear" w:color="auto" w:fill="E5E7EF"/>
          </w:tcPr>
          <w:p>
            <w:pPr>
              <w:spacing w:after="0"/>
              <w:rPr>
                <w:sz w:val="17"/>
                <w:szCs w:val="17"/>
                <w:color w:val="auto"/>
              </w:rPr>
            </w:pPr>
          </w:p>
        </w:tc>
        <w:tc>
          <w:tcPr>
            <w:tcW w:w="1380" w:type="dxa"/>
            <w:vAlign w:val="bottom"/>
            <w:tcBorders>
              <w:bottom w:val="single" w:sz="8" w:color="E5E7EF"/>
            </w:tcBorders>
            <w:shd w:val="clear" w:color="auto" w:fill="E5E7EF"/>
          </w:tcPr>
          <w:p>
            <w:pPr>
              <w:spacing w:after="0"/>
              <w:rPr>
                <w:sz w:val="17"/>
                <w:szCs w:val="17"/>
                <w:color w:val="auto"/>
              </w:rPr>
            </w:pPr>
          </w:p>
        </w:tc>
        <w:tc>
          <w:tcPr>
            <w:tcW w:w="360" w:type="dxa"/>
            <w:vAlign w:val="bottom"/>
            <w:tcBorders>
              <w:bottom w:val="single" w:sz="8" w:color="E5E7EF"/>
            </w:tcBorders>
            <w:shd w:val="clear" w:color="auto" w:fill="E5E7EF"/>
          </w:tcPr>
          <w:p>
            <w:pPr>
              <w:spacing w:after="0"/>
              <w:rPr>
                <w:sz w:val="17"/>
                <w:szCs w:val="17"/>
                <w:color w:val="auto"/>
              </w:rPr>
            </w:pPr>
          </w:p>
        </w:tc>
        <w:tc>
          <w:tcPr>
            <w:tcW w:w="1960" w:type="dxa"/>
            <w:vAlign w:val="bottom"/>
            <w:tcBorders>
              <w:bottom w:val="single" w:sz="8" w:color="E5E7EF"/>
            </w:tcBorders>
            <w:shd w:val="clear" w:color="auto" w:fill="E5E7EF"/>
          </w:tcPr>
          <w:p>
            <w:pPr>
              <w:jc w:val="right"/>
              <w:ind w:right="70"/>
              <w:spacing w:after="0"/>
              <w:rPr>
                <w:sz w:val="20"/>
                <w:szCs w:val="20"/>
                <w:color w:val="auto"/>
              </w:rPr>
            </w:pPr>
            <w:r>
              <w:rPr>
                <w:rFonts w:ascii="Arial" w:cs="Arial" w:eastAsia="Arial" w:hAnsi="Arial"/>
                <w:sz w:val="13"/>
                <w:szCs w:val="13"/>
                <w:color w:val="auto"/>
              </w:rPr>
              <w:t>Stock Awards</w:t>
            </w:r>
          </w:p>
        </w:tc>
        <w:tc>
          <w:tcPr>
            <w:tcW w:w="840" w:type="dxa"/>
            <w:vAlign w:val="bottom"/>
            <w:tcBorders>
              <w:bottom w:val="single" w:sz="8" w:color="E5E7EF"/>
            </w:tcBorders>
            <w:shd w:val="clear" w:color="auto" w:fill="E5E7EF"/>
          </w:tcPr>
          <w:p>
            <w:pPr>
              <w:spacing w:after="0"/>
              <w:rPr>
                <w:sz w:val="17"/>
                <w:szCs w:val="17"/>
                <w:color w:val="auto"/>
              </w:rPr>
            </w:pPr>
          </w:p>
        </w:tc>
        <w:tc>
          <w:tcPr>
            <w:tcW w:w="540" w:type="dxa"/>
            <w:vAlign w:val="bottom"/>
            <w:tcBorders>
              <w:bottom w:val="single" w:sz="8" w:color="E5E7EF"/>
            </w:tcBorders>
            <w:shd w:val="clear" w:color="auto" w:fill="E5E7EF"/>
          </w:tcPr>
          <w:p>
            <w:pPr>
              <w:spacing w:after="0"/>
              <w:rPr>
                <w:sz w:val="17"/>
                <w:szCs w:val="17"/>
                <w:color w:val="auto"/>
              </w:rPr>
            </w:pPr>
          </w:p>
        </w:tc>
        <w:tc>
          <w:tcPr>
            <w:tcW w:w="1260" w:type="dxa"/>
            <w:vAlign w:val="bottom"/>
            <w:tcBorders>
              <w:bottom w:val="single" w:sz="8" w:color="E5E7EF"/>
            </w:tcBorders>
            <w:shd w:val="clear" w:color="auto" w:fill="E5E7EF"/>
          </w:tcPr>
          <w:p>
            <w:pPr>
              <w:spacing w:after="0"/>
              <w:rPr>
                <w:sz w:val="17"/>
                <w:szCs w:val="17"/>
                <w:color w:val="auto"/>
              </w:rPr>
            </w:pPr>
          </w:p>
        </w:tc>
      </w:tr>
      <w:tr>
        <w:trPr>
          <w:trHeight w:val="189"/>
        </w:trPr>
        <w:tc>
          <w:tcPr>
            <w:tcW w:w="4900" w:type="dxa"/>
            <w:vAlign w:val="bottom"/>
            <w:tcBorders>
              <w:top w:val="single" w:sz="8" w:color="E5E7EF"/>
            </w:tcBorders>
            <w:shd w:val="clear" w:color="auto" w:fill="E5E7EF"/>
          </w:tcPr>
          <w:p>
            <w:pPr>
              <w:spacing w:after="0"/>
              <w:rPr>
                <w:sz w:val="16"/>
                <w:szCs w:val="16"/>
                <w:color w:val="auto"/>
              </w:rPr>
            </w:pPr>
          </w:p>
        </w:tc>
        <w:tc>
          <w:tcPr>
            <w:tcW w:w="1380" w:type="dxa"/>
            <w:vAlign w:val="bottom"/>
            <w:tcBorders>
              <w:top w:val="single" w:sz="8" w:color="002E6D"/>
            </w:tcBorders>
            <w:shd w:val="clear" w:color="auto" w:fill="E5E7EF"/>
          </w:tcPr>
          <w:p>
            <w:pPr>
              <w:spacing w:after="0"/>
              <w:rPr>
                <w:sz w:val="16"/>
                <w:szCs w:val="16"/>
                <w:color w:val="auto"/>
              </w:rPr>
            </w:pPr>
          </w:p>
        </w:tc>
        <w:tc>
          <w:tcPr>
            <w:tcW w:w="360" w:type="dxa"/>
            <w:vAlign w:val="bottom"/>
            <w:tcBorders>
              <w:top w:val="single" w:sz="8" w:color="002E6D"/>
            </w:tcBorders>
            <w:shd w:val="clear" w:color="auto" w:fill="E5E7EF"/>
          </w:tcPr>
          <w:p>
            <w:pPr>
              <w:spacing w:after="0"/>
              <w:rPr>
                <w:sz w:val="16"/>
                <w:szCs w:val="16"/>
                <w:color w:val="auto"/>
              </w:rPr>
            </w:pPr>
          </w:p>
        </w:tc>
        <w:tc>
          <w:tcPr>
            <w:tcW w:w="1960" w:type="dxa"/>
            <w:vAlign w:val="bottom"/>
            <w:tcBorders>
              <w:top w:val="single" w:sz="8" w:color="002E6D"/>
            </w:tcBorders>
            <w:shd w:val="clear" w:color="auto" w:fill="E5E7EF"/>
          </w:tcPr>
          <w:p>
            <w:pPr>
              <w:spacing w:after="0"/>
              <w:rPr>
                <w:sz w:val="16"/>
                <w:szCs w:val="16"/>
                <w:color w:val="auto"/>
              </w:rPr>
            </w:pPr>
          </w:p>
        </w:tc>
        <w:tc>
          <w:tcPr>
            <w:tcW w:w="1380" w:type="dxa"/>
            <w:vAlign w:val="bottom"/>
            <w:tcBorders>
              <w:top w:val="single" w:sz="8" w:color="002E6D"/>
            </w:tcBorders>
            <w:gridSpan w:val="2"/>
            <w:shd w:val="clear" w:color="auto" w:fill="E5E7EF"/>
          </w:tcPr>
          <w:p>
            <w:pPr>
              <w:jc w:val="right"/>
              <w:ind w:right="145"/>
              <w:spacing w:after="0"/>
              <w:rPr>
                <w:sz w:val="20"/>
                <w:szCs w:val="20"/>
                <w:color w:val="auto"/>
              </w:rPr>
            </w:pPr>
            <w:r>
              <w:rPr>
                <w:rFonts w:ascii="Arial" w:cs="Arial" w:eastAsia="Arial" w:hAnsi="Arial"/>
                <w:sz w:val="13"/>
                <w:szCs w:val="13"/>
                <w:color w:val="auto"/>
              </w:rPr>
              <w:t>Equity Incentive</w:t>
            </w:r>
          </w:p>
        </w:tc>
        <w:tc>
          <w:tcPr>
            <w:tcW w:w="1260" w:type="dxa"/>
            <w:vAlign w:val="bottom"/>
            <w:tcBorders>
              <w:top w:val="single" w:sz="8" w:color="002E6D"/>
            </w:tcBorders>
            <w:shd w:val="clear" w:color="auto" w:fill="E5E7EF"/>
          </w:tcPr>
          <w:p>
            <w:pPr>
              <w:jc w:val="right"/>
              <w:spacing w:after="0"/>
              <w:rPr>
                <w:sz w:val="20"/>
                <w:szCs w:val="20"/>
                <w:color w:val="auto"/>
              </w:rPr>
            </w:pPr>
            <w:r>
              <w:rPr>
                <w:rFonts w:ascii="Arial" w:cs="Arial" w:eastAsia="Arial" w:hAnsi="Arial"/>
                <w:sz w:val="13"/>
                <w:szCs w:val="13"/>
                <w:color w:val="auto"/>
              </w:rPr>
              <w:t>Equity Incentive</w:t>
            </w:r>
          </w:p>
        </w:tc>
      </w:tr>
      <w:tr>
        <w:trPr>
          <w:trHeight w:val="148"/>
        </w:trPr>
        <w:tc>
          <w:tcPr>
            <w:tcW w:w="4900" w:type="dxa"/>
            <w:vAlign w:val="bottom"/>
            <w:shd w:val="clear" w:color="auto" w:fill="E5E7EF"/>
          </w:tcPr>
          <w:p>
            <w:pPr>
              <w:spacing w:after="0"/>
              <w:rPr>
                <w:sz w:val="12"/>
                <w:szCs w:val="12"/>
                <w:color w:val="auto"/>
              </w:rPr>
            </w:pPr>
          </w:p>
        </w:tc>
        <w:tc>
          <w:tcPr>
            <w:tcW w:w="1380" w:type="dxa"/>
            <w:vAlign w:val="bottom"/>
            <w:shd w:val="clear" w:color="auto" w:fill="E5E7EF"/>
          </w:tcPr>
          <w:p>
            <w:pPr>
              <w:spacing w:after="0"/>
              <w:rPr>
                <w:sz w:val="12"/>
                <w:szCs w:val="12"/>
                <w:color w:val="auto"/>
              </w:rPr>
            </w:pPr>
          </w:p>
        </w:tc>
        <w:tc>
          <w:tcPr>
            <w:tcW w:w="360" w:type="dxa"/>
            <w:vAlign w:val="bottom"/>
            <w:shd w:val="clear" w:color="auto" w:fill="E5E7EF"/>
          </w:tcPr>
          <w:p>
            <w:pPr>
              <w:spacing w:after="0"/>
              <w:rPr>
                <w:sz w:val="12"/>
                <w:szCs w:val="12"/>
                <w:color w:val="auto"/>
              </w:rPr>
            </w:pPr>
          </w:p>
        </w:tc>
        <w:tc>
          <w:tcPr>
            <w:tcW w:w="1960" w:type="dxa"/>
            <w:vAlign w:val="bottom"/>
            <w:shd w:val="clear" w:color="auto" w:fill="E5E7EF"/>
          </w:tcPr>
          <w:p>
            <w:pPr>
              <w:spacing w:after="0"/>
              <w:rPr>
                <w:sz w:val="12"/>
                <w:szCs w:val="12"/>
                <w:color w:val="auto"/>
              </w:rPr>
            </w:pPr>
          </w:p>
        </w:tc>
        <w:tc>
          <w:tcPr>
            <w:tcW w:w="1380" w:type="dxa"/>
            <w:vAlign w:val="bottom"/>
            <w:gridSpan w:val="2"/>
            <w:shd w:val="clear" w:color="auto" w:fill="E5E7EF"/>
          </w:tcPr>
          <w:p>
            <w:pPr>
              <w:jc w:val="right"/>
              <w:ind w:right="145"/>
              <w:spacing w:after="0" w:line="148" w:lineRule="exact"/>
              <w:rPr>
                <w:sz w:val="20"/>
                <w:szCs w:val="20"/>
                <w:color w:val="auto"/>
              </w:rPr>
            </w:pPr>
            <w:r>
              <w:rPr>
                <w:rFonts w:ascii="Arial" w:cs="Arial" w:eastAsia="Arial" w:hAnsi="Arial"/>
                <w:sz w:val="13"/>
                <w:szCs w:val="13"/>
                <w:color w:val="auto"/>
              </w:rPr>
              <w:t>Plan Awards:</w:t>
            </w:r>
          </w:p>
        </w:tc>
        <w:tc>
          <w:tcPr>
            <w:tcW w:w="1260" w:type="dxa"/>
            <w:vAlign w:val="bottom"/>
            <w:shd w:val="clear" w:color="auto" w:fill="E5E7EF"/>
          </w:tcPr>
          <w:p>
            <w:pPr>
              <w:jc w:val="right"/>
              <w:spacing w:after="0" w:line="148" w:lineRule="exact"/>
              <w:rPr>
                <w:sz w:val="20"/>
                <w:szCs w:val="20"/>
                <w:color w:val="auto"/>
              </w:rPr>
            </w:pPr>
            <w:r>
              <w:rPr>
                <w:rFonts w:ascii="Arial" w:cs="Arial" w:eastAsia="Arial" w:hAnsi="Arial"/>
                <w:sz w:val="13"/>
                <w:szCs w:val="13"/>
                <w:color w:val="auto"/>
              </w:rPr>
              <w:t>Plan Awards:</w:t>
            </w:r>
          </w:p>
        </w:tc>
      </w:tr>
      <w:tr>
        <w:trPr>
          <w:trHeight w:val="148"/>
        </w:trPr>
        <w:tc>
          <w:tcPr>
            <w:tcW w:w="4900" w:type="dxa"/>
            <w:vAlign w:val="bottom"/>
            <w:shd w:val="clear" w:color="auto" w:fill="E5E7EF"/>
          </w:tcPr>
          <w:p>
            <w:pPr>
              <w:spacing w:after="0"/>
              <w:rPr>
                <w:sz w:val="12"/>
                <w:szCs w:val="12"/>
                <w:color w:val="auto"/>
              </w:rPr>
            </w:pPr>
          </w:p>
        </w:tc>
        <w:tc>
          <w:tcPr>
            <w:tcW w:w="1380" w:type="dxa"/>
            <w:vAlign w:val="bottom"/>
            <w:shd w:val="clear" w:color="auto" w:fill="E5E7EF"/>
          </w:tcPr>
          <w:p>
            <w:pPr>
              <w:spacing w:after="0"/>
              <w:rPr>
                <w:sz w:val="12"/>
                <w:szCs w:val="12"/>
                <w:color w:val="auto"/>
              </w:rPr>
            </w:pPr>
          </w:p>
        </w:tc>
        <w:tc>
          <w:tcPr>
            <w:tcW w:w="360" w:type="dxa"/>
            <w:vAlign w:val="bottom"/>
            <w:shd w:val="clear" w:color="auto" w:fill="E5E7EF"/>
          </w:tcPr>
          <w:p>
            <w:pPr>
              <w:spacing w:after="0"/>
              <w:rPr>
                <w:sz w:val="12"/>
                <w:szCs w:val="12"/>
                <w:color w:val="auto"/>
              </w:rPr>
            </w:pPr>
          </w:p>
        </w:tc>
        <w:tc>
          <w:tcPr>
            <w:tcW w:w="1960" w:type="dxa"/>
            <w:vAlign w:val="bottom"/>
            <w:shd w:val="clear" w:color="auto" w:fill="E5E7EF"/>
          </w:tcPr>
          <w:p>
            <w:pPr>
              <w:jc w:val="right"/>
              <w:ind w:right="490"/>
              <w:spacing w:after="0" w:line="148" w:lineRule="exact"/>
              <w:rPr>
                <w:sz w:val="20"/>
                <w:szCs w:val="20"/>
                <w:color w:val="auto"/>
              </w:rPr>
            </w:pPr>
            <w:r>
              <w:rPr>
                <w:rFonts w:ascii="Arial" w:cs="Arial" w:eastAsia="Arial" w:hAnsi="Arial"/>
                <w:sz w:val="13"/>
                <w:szCs w:val="13"/>
                <w:color w:val="auto"/>
              </w:rPr>
              <w:t>Market Value</w:t>
            </w:r>
          </w:p>
        </w:tc>
        <w:tc>
          <w:tcPr>
            <w:tcW w:w="1380" w:type="dxa"/>
            <w:vAlign w:val="bottom"/>
            <w:gridSpan w:val="2"/>
            <w:shd w:val="clear" w:color="auto" w:fill="E5E7EF"/>
          </w:tcPr>
          <w:p>
            <w:pPr>
              <w:jc w:val="right"/>
              <w:ind w:right="145"/>
              <w:spacing w:after="0" w:line="148" w:lineRule="exact"/>
              <w:rPr>
                <w:sz w:val="20"/>
                <w:szCs w:val="20"/>
                <w:color w:val="auto"/>
              </w:rPr>
            </w:pPr>
            <w:r>
              <w:rPr>
                <w:rFonts w:ascii="Arial" w:cs="Arial" w:eastAsia="Arial" w:hAnsi="Arial"/>
                <w:sz w:val="13"/>
                <w:szCs w:val="13"/>
                <w:color w:val="auto"/>
              </w:rPr>
              <w:t>Number of</w:t>
            </w:r>
          </w:p>
        </w:tc>
        <w:tc>
          <w:tcPr>
            <w:tcW w:w="1260" w:type="dxa"/>
            <w:vAlign w:val="bottom"/>
            <w:shd w:val="clear" w:color="auto" w:fill="E5E7EF"/>
          </w:tcPr>
          <w:p>
            <w:pPr>
              <w:jc w:val="right"/>
              <w:spacing w:after="0" w:line="148" w:lineRule="exact"/>
              <w:rPr>
                <w:sz w:val="20"/>
                <w:szCs w:val="20"/>
                <w:color w:val="auto"/>
              </w:rPr>
            </w:pPr>
            <w:r>
              <w:rPr>
                <w:rFonts w:ascii="Arial" w:cs="Arial" w:eastAsia="Arial" w:hAnsi="Arial"/>
                <w:sz w:val="13"/>
                <w:szCs w:val="13"/>
                <w:color w:val="auto"/>
              </w:rPr>
              <w:t>Market or Payout</w:t>
            </w:r>
          </w:p>
        </w:tc>
      </w:tr>
      <w:tr>
        <w:trPr>
          <w:trHeight w:val="148"/>
        </w:trPr>
        <w:tc>
          <w:tcPr>
            <w:tcW w:w="4900" w:type="dxa"/>
            <w:vAlign w:val="bottom"/>
            <w:shd w:val="clear" w:color="auto" w:fill="E5E7EF"/>
          </w:tcPr>
          <w:p>
            <w:pPr>
              <w:spacing w:after="0"/>
              <w:rPr>
                <w:sz w:val="12"/>
                <w:szCs w:val="12"/>
                <w:color w:val="auto"/>
              </w:rPr>
            </w:pPr>
          </w:p>
        </w:tc>
        <w:tc>
          <w:tcPr>
            <w:tcW w:w="1740" w:type="dxa"/>
            <w:vAlign w:val="bottom"/>
            <w:gridSpan w:val="2"/>
            <w:shd w:val="clear" w:color="auto" w:fill="E5E7EF"/>
          </w:tcPr>
          <w:p>
            <w:pPr>
              <w:jc w:val="right"/>
              <w:spacing w:after="0" w:line="148" w:lineRule="exact"/>
              <w:rPr>
                <w:sz w:val="20"/>
                <w:szCs w:val="20"/>
                <w:color w:val="auto"/>
              </w:rPr>
            </w:pPr>
            <w:r>
              <w:rPr>
                <w:rFonts w:ascii="Arial" w:cs="Arial" w:eastAsia="Arial" w:hAnsi="Arial"/>
                <w:sz w:val="13"/>
                <w:szCs w:val="13"/>
                <w:color w:val="auto"/>
              </w:rPr>
              <w:t>Number of</w:t>
            </w:r>
          </w:p>
        </w:tc>
        <w:tc>
          <w:tcPr>
            <w:tcW w:w="1960" w:type="dxa"/>
            <w:vAlign w:val="bottom"/>
            <w:shd w:val="clear" w:color="auto" w:fill="E5E7EF"/>
          </w:tcPr>
          <w:p>
            <w:pPr>
              <w:jc w:val="right"/>
              <w:ind w:right="490"/>
              <w:spacing w:after="0" w:line="148" w:lineRule="exact"/>
              <w:rPr>
                <w:sz w:val="20"/>
                <w:szCs w:val="20"/>
                <w:color w:val="auto"/>
              </w:rPr>
            </w:pPr>
            <w:r>
              <w:rPr>
                <w:rFonts w:ascii="Arial" w:cs="Arial" w:eastAsia="Arial" w:hAnsi="Arial"/>
                <w:sz w:val="13"/>
                <w:szCs w:val="13"/>
                <w:color w:val="auto"/>
              </w:rPr>
              <w:t>of Shares or</w:t>
            </w:r>
          </w:p>
        </w:tc>
        <w:tc>
          <w:tcPr>
            <w:tcW w:w="1380" w:type="dxa"/>
            <w:vAlign w:val="bottom"/>
            <w:gridSpan w:val="2"/>
            <w:shd w:val="clear" w:color="auto" w:fill="E5E7EF"/>
          </w:tcPr>
          <w:p>
            <w:pPr>
              <w:jc w:val="right"/>
              <w:ind w:right="145"/>
              <w:spacing w:after="0" w:line="148" w:lineRule="exact"/>
              <w:rPr>
                <w:sz w:val="20"/>
                <w:szCs w:val="20"/>
                <w:color w:val="auto"/>
              </w:rPr>
            </w:pPr>
            <w:r>
              <w:rPr>
                <w:rFonts w:ascii="Arial" w:cs="Arial" w:eastAsia="Arial" w:hAnsi="Arial"/>
                <w:sz w:val="13"/>
                <w:szCs w:val="13"/>
                <w:color w:val="auto"/>
              </w:rPr>
              <w:t>Unearned Shares,</w:t>
            </w:r>
          </w:p>
        </w:tc>
        <w:tc>
          <w:tcPr>
            <w:tcW w:w="1260" w:type="dxa"/>
            <w:vAlign w:val="bottom"/>
            <w:shd w:val="clear" w:color="auto" w:fill="E5E7EF"/>
          </w:tcPr>
          <w:p>
            <w:pPr>
              <w:jc w:val="right"/>
              <w:spacing w:after="0" w:line="148" w:lineRule="exact"/>
              <w:rPr>
                <w:sz w:val="20"/>
                <w:szCs w:val="20"/>
                <w:color w:val="auto"/>
              </w:rPr>
            </w:pPr>
            <w:r>
              <w:rPr>
                <w:rFonts w:ascii="Arial" w:cs="Arial" w:eastAsia="Arial" w:hAnsi="Arial"/>
                <w:sz w:val="13"/>
                <w:szCs w:val="13"/>
                <w:color w:val="auto"/>
              </w:rPr>
              <w:t>Value of Unearned</w:t>
            </w:r>
          </w:p>
        </w:tc>
      </w:tr>
      <w:tr>
        <w:trPr>
          <w:trHeight w:val="148"/>
        </w:trPr>
        <w:tc>
          <w:tcPr>
            <w:tcW w:w="4900" w:type="dxa"/>
            <w:vAlign w:val="bottom"/>
            <w:shd w:val="clear" w:color="auto" w:fill="E5E7EF"/>
          </w:tcPr>
          <w:p>
            <w:pPr>
              <w:spacing w:after="0"/>
              <w:rPr>
                <w:sz w:val="12"/>
                <w:szCs w:val="12"/>
                <w:color w:val="auto"/>
              </w:rPr>
            </w:pPr>
          </w:p>
        </w:tc>
        <w:tc>
          <w:tcPr>
            <w:tcW w:w="1740" w:type="dxa"/>
            <w:vAlign w:val="bottom"/>
            <w:gridSpan w:val="2"/>
            <w:shd w:val="clear" w:color="auto" w:fill="E5E7EF"/>
          </w:tcPr>
          <w:p>
            <w:pPr>
              <w:jc w:val="right"/>
              <w:spacing w:after="0" w:line="148" w:lineRule="exact"/>
              <w:rPr>
                <w:sz w:val="20"/>
                <w:szCs w:val="20"/>
                <w:color w:val="auto"/>
              </w:rPr>
            </w:pPr>
            <w:r>
              <w:rPr>
                <w:rFonts w:ascii="Arial" w:cs="Arial" w:eastAsia="Arial" w:hAnsi="Arial"/>
                <w:sz w:val="13"/>
                <w:szCs w:val="13"/>
                <w:color w:val="auto"/>
              </w:rPr>
              <w:t>Shares or Units</w:t>
            </w:r>
          </w:p>
        </w:tc>
        <w:tc>
          <w:tcPr>
            <w:tcW w:w="1960" w:type="dxa"/>
            <w:vAlign w:val="bottom"/>
            <w:shd w:val="clear" w:color="auto" w:fill="E5E7EF"/>
          </w:tcPr>
          <w:p>
            <w:pPr>
              <w:jc w:val="right"/>
              <w:ind w:right="490"/>
              <w:spacing w:after="0" w:line="148" w:lineRule="exact"/>
              <w:rPr>
                <w:sz w:val="20"/>
                <w:szCs w:val="20"/>
                <w:color w:val="auto"/>
              </w:rPr>
            </w:pPr>
            <w:r>
              <w:rPr>
                <w:rFonts w:ascii="Arial" w:cs="Arial" w:eastAsia="Arial" w:hAnsi="Arial"/>
                <w:sz w:val="13"/>
                <w:szCs w:val="13"/>
                <w:color w:val="auto"/>
              </w:rPr>
              <w:t>Units of Stock</w:t>
            </w:r>
          </w:p>
        </w:tc>
        <w:tc>
          <w:tcPr>
            <w:tcW w:w="1380" w:type="dxa"/>
            <w:vAlign w:val="bottom"/>
            <w:gridSpan w:val="2"/>
            <w:shd w:val="clear" w:color="auto" w:fill="E5E7EF"/>
          </w:tcPr>
          <w:p>
            <w:pPr>
              <w:jc w:val="right"/>
              <w:ind w:right="145"/>
              <w:spacing w:after="0" w:line="148" w:lineRule="exact"/>
              <w:rPr>
                <w:sz w:val="20"/>
                <w:szCs w:val="20"/>
                <w:color w:val="auto"/>
              </w:rPr>
            </w:pPr>
            <w:r>
              <w:rPr>
                <w:rFonts w:ascii="Arial" w:cs="Arial" w:eastAsia="Arial" w:hAnsi="Arial"/>
                <w:sz w:val="13"/>
                <w:szCs w:val="13"/>
                <w:color w:val="auto"/>
              </w:rPr>
              <w:t>Units or Other</w:t>
            </w:r>
          </w:p>
        </w:tc>
        <w:tc>
          <w:tcPr>
            <w:tcW w:w="1260" w:type="dxa"/>
            <w:vAlign w:val="bottom"/>
            <w:shd w:val="clear" w:color="auto" w:fill="E5E7EF"/>
          </w:tcPr>
          <w:p>
            <w:pPr>
              <w:jc w:val="right"/>
              <w:spacing w:after="0" w:line="148" w:lineRule="exact"/>
              <w:rPr>
                <w:sz w:val="20"/>
                <w:szCs w:val="20"/>
                <w:color w:val="auto"/>
              </w:rPr>
            </w:pPr>
            <w:r>
              <w:rPr>
                <w:rFonts w:ascii="Arial" w:cs="Arial" w:eastAsia="Arial" w:hAnsi="Arial"/>
                <w:sz w:val="13"/>
                <w:szCs w:val="13"/>
                <w:color w:val="auto"/>
              </w:rPr>
              <w:t>Shares, Units or</w:t>
            </w:r>
          </w:p>
        </w:tc>
      </w:tr>
      <w:tr>
        <w:trPr>
          <w:trHeight w:val="147"/>
        </w:trPr>
        <w:tc>
          <w:tcPr>
            <w:tcW w:w="4900" w:type="dxa"/>
            <w:vAlign w:val="bottom"/>
            <w:shd w:val="clear" w:color="auto" w:fill="E5E7EF"/>
          </w:tcPr>
          <w:p>
            <w:pPr>
              <w:spacing w:after="0"/>
              <w:rPr>
                <w:sz w:val="12"/>
                <w:szCs w:val="12"/>
                <w:color w:val="auto"/>
              </w:rPr>
            </w:pPr>
          </w:p>
        </w:tc>
        <w:tc>
          <w:tcPr>
            <w:tcW w:w="1740" w:type="dxa"/>
            <w:vAlign w:val="bottom"/>
            <w:gridSpan w:val="2"/>
            <w:shd w:val="clear" w:color="auto" w:fill="E5E7EF"/>
          </w:tcPr>
          <w:p>
            <w:pPr>
              <w:jc w:val="right"/>
              <w:spacing w:after="0" w:line="148" w:lineRule="exact"/>
              <w:rPr>
                <w:sz w:val="20"/>
                <w:szCs w:val="20"/>
                <w:color w:val="auto"/>
              </w:rPr>
            </w:pPr>
            <w:r>
              <w:rPr>
                <w:rFonts w:ascii="Arial" w:cs="Arial" w:eastAsia="Arial" w:hAnsi="Arial"/>
                <w:sz w:val="13"/>
                <w:szCs w:val="13"/>
                <w:color w:val="auto"/>
              </w:rPr>
              <w:t>of Stock That</w:t>
            </w:r>
          </w:p>
        </w:tc>
        <w:tc>
          <w:tcPr>
            <w:tcW w:w="1960" w:type="dxa"/>
            <w:vAlign w:val="bottom"/>
            <w:shd w:val="clear" w:color="auto" w:fill="E5E7EF"/>
          </w:tcPr>
          <w:p>
            <w:pPr>
              <w:jc w:val="right"/>
              <w:ind w:right="490"/>
              <w:spacing w:after="0" w:line="148" w:lineRule="exact"/>
              <w:rPr>
                <w:sz w:val="20"/>
                <w:szCs w:val="20"/>
                <w:color w:val="auto"/>
              </w:rPr>
            </w:pPr>
            <w:r>
              <w:rPr>
                <w:rFonts w:ascii="Arial" w:cs="Arial" w:eastAsia="Arial" w:hAnsi="Arial"/>
                <w:sz w:val="13"/>
                <w:szCs w:val="13"/>
                <w:color w:val="auto"/>
              </w:rPr>
              <w:t>That Have</w:t>
            </w:r>
          </w:p>
        </w:tc>
        <w:tc>
          <w:tcPr>
            <w:tcW w:w="1380" w:type="dxa"/>
            <w:vAlign w:val="bottom"/>
            <w:gridSpan w:val="2"/>
            <w:shd w:val="clear" w:color="auto" w:fill="E5E7EF"/>
          </w:tcPr>
          <w:p>
            <w:pPr>
              <w:jc w:val="right"/>
              <w:ind w:right="145"/>
              <w:spacing w:after="0" w:line="148" w:lineRule="exact"/>
              <w:rPr>
                <w:sz w:val="20"/>
                <w:szCs w:val="20"/>
                <w:color w:val="auto"/>
              </w:rPr>
            </w:pPr>
            <w:r>
              <w:rPr>
                <w:rFonts w:ascii="Arial" w:cs="Arial" w:eastAsia="Arial" w:hAnsi="Arial"/>
                <w:sz w:val="13"/>
                <w:szCs w:val="13"/>
                <w:color w:val="auto"/>
              </w:rPr>
              <w:t>Rights That Have</w:t>
            </w:r>
          </w:p>
        </w:tc>
        <w:tc>
          <w:tcPr>
            <w:tcW w:w="1260" w:type="dxa"/>
            <w:vAlign w:val="bottom"/>
            <w:shd w:val="clear" w:color="auto" w:fill="E5E7EF"/>
          </w:tcPr>
          <w:p>
            <w:pPr>
              <w:jc w:val="right"/>
              <w:spacing w:after="0" w:line="148" w:lineRule="exact"/>
              <w:rPr>
                <w:sz w:val="20"/>
                <w:szCs w:val="20"/>
                <w:color w:val="auto"/>
              </w:rPr>
            </w:pPr>
            <w:r>
              <w:rPr>
                <w:rFonts w:ascii="Arial" w:cs="Arial" w:eastAsia="Arial" w:hAnsi="Arial"/>
                <w:sz w:val="13"/>
                <w:szCs w:val="13"/>
                <w:color w:val="auto"/>
              </w:rPr>
              <w:t>Other Rights That</w:t>
            </w:r>
          </w:p>
        </w:tc>
      </w:tr>
      <w:tr>
        <w:trPr>
          <w:trHeight w:val="181"/>
        </w:trPr>
        <w:tc>
          <w:tcPr>
            <w:tcW w:w="4900" w:type="dxa"/>
            <w:vAlign w:val="bottom"/>
            <w:shd w:val="clear" w:color="auto" w:fill="E5E7EF"/>
          </w:tcPr>
          <w:p>
            <w:pPr>
              <w:spacing w:after="0"/>
              <w:rPr>
                <w:sz w:val="15"/>
                <w:szCs w:val="15"/>
                <w:color w:val="auto"/>
              </w:rPr>
            </w:pPr>
          </w:p>
        </w:tc>
        <w:tc>
          <w:tcPr>
            <w:tcW w:w="1740" w:type="dxa"/>
            <w:vAlign w:val="bottom"/>
            <w:gridSpan w:val="2"/>
            <w:shd w:val="clear" w:color="auto" w:fill="E5E7EF"/>
          </w:tcPr>
          <w:p>
            <w:pPr>
              <w:jc w:val="right"/>
              <w:spacing w:after="0" w:line="181" w:lineRule="exact"/>
              <w:rPr>
                <w:sz w:val="20"/>
                <w:szCs w:val="20"/>
                <w:color w:val="auto"/>
              </w:rPr>
            </w:pPr>
            <w:r>
              <w:rPr>
                <w:rFonts w:ascii="Arial" w:cs="Arial" w:eastAsia="Arial" w:hAnsi="Arial"/>
                <w:sz w:val="13"/>
                <w:szCs w:val="13"/>
                <w:color w:val="auto"/>
              </w:rPr>
              <w:t>Have Not Vested</w:t>
            </w:r>
            <w:r>
              <w:rPr>
                <w:rFonts w:ascii="Arial" w:cs="Arial" w:eastAsia="Arial" w:hAnsi="Arial"/>
                <w:sz w:val="16"/>
                <w:szCs w:val="16"/>
                <w:color w:val="auto"/>
                <w:vertAlign w:val="superscript"/>
              </w:rPr>
              <w:t>(1)</w:t>
            </w:r>
          </w:p>
        </w:tc>
        <w:tc>
          <w:tcPr>
            <w:tcW w:w="1960" w:type="dxa"/>
            <w:vAlign w:val="bottom"/>
            <w:shd w:val="clear" w:color="auto" w:fill="E5E7EF"/>
          </w:tcPr>
          <w:p>
            <w:pPr>
              <w:jc w:val="right"/>
              <w:ind w:right="490"/>
              <w:spacing w:after="0" w:line="181" w:lineRule="exact"/>
              <w:rPr>
                <w:sz w:val="20"/>
                <w:szCs w:val="20"/>
                <w:color w:val="auto"/>
              </w:rPr>
            </w:pPr>
            <w:r>
              <w:rPr>
                <w:rFonts w:ascii="Arial" w:cs="Arial" w:eastAsia="Arial" w:hAnsi="Arial"/>
                <w:sz w:val="13"/>
                <w:szCs w:val="13"/>
                <w:color w:val="auto"/>
              </w:rPr>
              <w:t>Not Vested</w:t>
            </w:r>
            <w:r>
              <w:rPr>
                <w:rFonts w:ascii="Arial" w:cs="Arial" w:eastAsia="Arial" w:hAnsi="Arial"/>
                <w:sz w:val="16"/>
                <w:szCs w:val="16"/>
                <w:color w:val="auto"/>
                <w:vertAlign w:val="superscript"/>
              </w:rPr>
              <w:t>(2)</w:t>
            </w:r>
          </w:p>
        </w:tc>
        <w:tc>
          <w:tcPr>
            <w:tcW w:w="1380" w:type="dxa"/>
            <w:vAlign w:val="bottom"/>
            <w:gridSpan w:val="2"/>
            <w:shd w:val="clear" w:color="auto" w:fill="E5E7EF"/>
          </w:tcPr>
          <w:p>
            <w:pPr>
              <w:jc w:val="right"/>
              <w:ind w:right="145"/>
              <w:spacing w:after="0" w:line="181" w:lineRule="exact"/>
              <w:rPr>
                <w:sz w:val="20"/>
                <w:szCs w:val="20"/>
                <w:color w:val="auto"/>
              </w:rPr>
            </w:pPr>
            <w:r>
              <w:rPr>
                <w:rFonts w:ascii="Arial" w:cs="Arial" w:eastAsia="Arial" w:hAnsi="Arial"/>
                <w:sz w:val="13"/>
                <w:szCs w:val="13"/>
                <w:color w:val="auto"/>
              </w:rPr>
              <w:t>Not Vested</w:t>
            </w:r>
            <w:r>
              <w:rPr>
                <w:rFonts w:ascii="Arial" w:cs="Arial" w:eastAsia="Arial" w:hAnsi="Arial"/>
                <w:sz w:val="16"/>
                <w:szCs w:val="16"/>
                <w:color w:val="auto"/>
                <w:vertAlign w:val="superscript"/>
              </w:rPr>
              <w:t>(3)</w:t>
            </w:r>
          </w:p>
        </w:tc>
        <w:tc>
          <w:tcPr>
            <w:tcW w:w="1260" w:type="dxa"/>
            <w:vAlign w:val="bottom"/>
            <w:shd w:val="clear" w:color="auto" w:fill="E5E7EF"/>
          </w:tcPr>
          <w:p>
            <w:pPr>
              <w:jc w:val="right"/>
              <w:spacing w:after="0" w:line="181" w:lineRule="exact"/>
              <w:rPr>
                <w:sz w:val="20"/>
                <w:szCs w:val="20"/>
                <w:color w:val="auto"/>
              </w:rPr>
            </w:pPr>
            <w:r>
              <w:rPr>
                <w:rFonts w:ascii="Arial" w:cs="Arial" w:eastAsia="Arial" w:hAnsi="Arial"/>
                <w:sz w:val="13"/>
                <w:szCs w:val="13"/>
                <w:color w:val="auto"/>
              </w:rPr>
              <w:t>Have Not Vested</w:t>
            </w:r>
            <w:r>
              <w:rPr>
                <w:rFonts w:ascii="Arial" w:cs="Arial" w:eastAsia="Arial" w:hAnsi="Arial"/>
                <w:sz w:val="16"/>
                <w:szCs w:val="16"/>
                <w:color w:val="auto"/>
                <w:vertAlign w:val="superscript"/>
              </w:rPr>
              <w:t>(4)</w:t>
            </w:r>
          </w:p>
        </w:tc>
      </w:tr>
      <w:tr>
        <w:trPr>
          <w:trHeight w:val="207"/>
        </w:trPr>
        <w:tc>
          <w:tcPr>
            <w:tcW w:w="490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Name</w:t>
            </w:r>
          </w:p>
        </w:tc>
        <w:tc>
          <w:tcPr>
            <w:tcW w:w="1380" w:type="dxa"/>
            <w:vAlign w:val="bottom"/>
            <w:tcBorders>
              <w:bottom w:val="single" w:sz="8" w:color="E5E7EF"/>
            </w:tcBorders>
            <w:shd w:val="clear" w:color="auto" w:fill="E5E7EF"/>
          </w:tcPr>
          <w:p>
            <w:pPr>
              <w:spacing w:after="0"/>
              <w:rPr>
                <w:sz w:val="17"/>
                <w:szCs w:val="17"/>
                <w:color w:val="auto"/>
              </w:rPr>
            </w:pPr>
          </w:p>
        </w:tc>
        <w:tc>
          <w:tcPr>
            <w:tcW w:w="36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960" w:type="dxa"/>
            <w:vAlign w:val="bottom"/>
            <w:tcBorders>
              <w:bottom w:val="single" w:sz="8" w:color="E5E7EF"/>
            </w:tcBorders>
            <w:shd w:val="clear" w:color="auto" w:fill="E5E7EF"/>
          </w:tcPr>
          <w:p>
            <w:pPr>
              <w:jc w:val="right"/>
              <w:ind w:right="490"/>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5E7EF"/>
            </w:tcBorders>
            <w:shd w:val="clear" w:color="auto" w:fill="E5E7EF"/>
          </w:tcPr>
          <w:p>
            <w:pPr>
              <w:spacing w:after="0"/>
              <w:rPr>
                <w:sz w:val="17"/>
                <w:szCs w:val="17"/>
                <w:color w:val="auto"/>
              </w:rPr>
            </w:pPr>
          </w:p>
        </w:tc>
        <w:tc>
          <w:tcPr>
            <w:tcW w:w="540" w:type="dxa"/>
            <w:vAlign w:val="bottom"/>
            <w:tcBorders>
              <w:bottom w:val="single" w:sz="8" w:color="E5E7EF"/>
            </w:tcBorders>
            <w:shd w:val="clear" w:color="auto" w:fill="E5E7EF"/>
          </w:tcPr>
          <w:p>
            <w:pPr>
              <w:jc w:val="right"/>
              <w:ind w:right="145"/>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200"/>
        </w:trPr>
        <w:tc>
          <w:tcPr>
            <w:tcW w:w="4900" w:type="dxa"/>
            <w:vAlign w:val="bottom"/>
            <w:tcBorders>
              <w:top w:val="single" w:sz="8" w:color="002E6D"/>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(a)</w:t>
            </w:r>
          </w:p>
        </w:tc>
        <w:tc>
          <w:tcPr>
            <w:tcW w:w="1380" w:type="dxa"/>
            <w:vAlign w:val="bottom"/>
            <w:tcBorders>
              <w:top w:val="single" w:sz="8" w:color="002E6D"/>
              <w:bottom w:val="single" w:sz="8" w:color="E5E7EF"/>
            </w:tcBorders>
            <w:shd w:val="clear" w:color="auto" w:fill="E5E7EF"/>
          </w:tcPr>
          <w:p>
            <w:pPr>
              <w:spacing w:after="0"/>
              <w:rPr>
                <w:sz w:val="16"/>
                <w:szCs w:val="16"/>
                <w:color w:val="auto"/>
              </w:rPr>
            </w:pPr>
          </w:p>
        </w:tc>
        <w:tc>
          <w:tcPr>
            <w:tcW w:w="360" w:type="dxa"/>
            <w:vAlign w:val="bottom"/>
            <w:tcBorders>
              <w:top w:val="single" w:sz="8" w:color="002E6D"/>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(g)</w:t>
            </w:r>
          </w:p>
        </w:tc>
        <w:tc>
          <w:tcPr>
            <w:tcW w:w="1960" w:type="dxa"/>
            <w:vAlign w:val="bottom"/>
            <w:tcBorders>
              <w:top w:val="single" w:sz="8" w:color="002E6D"/>
              <w:bottom w:val="single" w:sz="8" w:color="E5E7EF"/>
            </w:tcBorders>
            <w:shd w:val="clear" w:color="auto" w:fill="E5E7EF"/>
          </w:tcPr>
          <w:p>
            <w:pPr>
              <w:jc w:val="right"/>
              <w:ind w:right="490"/>
              <w:spacing w:after="0"/>
              <w:rPr>
                <w:sz w:val="20"/>
                <w:szCs w:val="20"/>
                <w:color w:val="auto"/>
              </w:rPr>
            </w:pPr>
            <w:r>
              <w:rPr>
                <w:rFonts w:ascii="Arial" w:cs="Arial" w:eastAsia="Arial" w:hAnsi="Arial"/>
                <w:sz w:val="13"/>
                <w:szCs w:val="13"/>
                <w:color w:val="auto"/>
              </w:rPr>
              <w:t>(h)</w:t>
            </w:r>
          </w:p>
        </w:tc>
        <w:tc>
          <w:tcPr>
            <w:tcW w:w="840" w:type="dxa"/>
            <w:vAlign w:val="bottom"/>
            <w:tcBorders>
              <w:top w:val="single" w:sz="8" w:color="002E6D"/>
              <w:bottom w:val="single" w:sz="8" w:color="E5E7EF"/>
            </w:tcBorders>
            <w:shd w:val="clear" w:color="auto" w:fill="E5E7EF"/>
          </w:tcPr>
          <w:p>
            <w:pPr>
              <w:spacing w:after="0"/>
              <w:rPr>
                <w:sz w:val="16"/>
                <w:szCs w:val="16"/>
                <w:color w:val="auto"/>
              </w:rPr>
            </w:pPr>
          </w:p>
        </w:tc>
        <w:tc>
          <w:tcPr>
            <w:tcW w:w="540" w:type="dxa"/>
            <w:vAlign w:val="bottom"/>
            <w:tcBorders>
              <w:top w:val="single" w:sz="8" w:color="002E6D"/>
              <w:bottom w:val="single" w:sz="8" w:color="E5E7EF"/>
            </w:tcBorders>
            <w:shd w:val="clear" w:color="auto" w:fill="E5E7EF"/>
          </w:tcPr>
          <w:p>
            <w:pPr>
              <w:jc w:val="right"/>
              <w:ind w:right="145"/>
              <w:spacing w:after="0"/>
              <w:rPr>
                <w:sz w:val="20"/>
                <w:szCs w:val="20"/>
                <w:color w:val="auto"/>
              </w:rPr>
            </w:pPr>
            <w:r>
              <w:rPr>
                <w:rFonts w:ascii="Arial" w:cs="Arial" w:eastAsia="Arial" w:hAnsi="Arial"/>
                <w:sz w:val="13"/>
                <w:szCs w:val="13"/>
                <w:color w:val="auto"/>
              </w:rPr>
              <w:t>(i)</w:t>
            </w:r>
          </w:p>
        </w:tc>
        <w:tc>
          <w:tcPr>
            <w:tcW w:w="1260" w:type="dxa"/>
            <w:vAlign w:val="bottom"/>
            <w:tcBorders>
              <w:top w:val="single" w:sz="8" w:color="002E6D"/>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(j)</w:t>
            </w:r>
          </w:p>
        </w:tc>
      </w:tr>
      <w:tr>
        <w:trPr>
          <w:trHeight w:val="182"/>
        </w:trPr>
        <w:tc>
          <w:tcPr>
            <w:tcW w:w="4900" w:type="dxa"/>
            <w:vAlign w:val="bottom"/>
            <w:tcBorders>
              <w:top w:val="single" w:sz="8" w:color="002E6D"/>
            </w:tcBorders>
          </w:tcPr>
          <w:p>
            <w:pPr>
              <w:ind w:left="20"/>
              <w:spacing w:after="0"/>
              <w:rPr>
                <w:sz w:val="20"/>
                <w:szCs w:val="20"/>
                <w:color w:val="auto"/>
              </w:rPr>
            </w:pPr>
            <w:r>
              <w:rPr>
                <w:rFonts w:ascii="Arial" w:cs="Arial" w:eastAsia="Arial" w:hAnsi="Arial"/>
                <w:sz w:val="14"/>
                <w:szCs w:val="14"/>
                <w:b w:val="1"/>
                <w:bCs w:val="1"/>
                <w:color w:val="002E6D"/>
              </w:rPr>
              <w:t>James D. Taiclet</w:t>
            </w:r>
          </w:p>
        </w:tc>
        <w:tc>
          <w:tcPr>
            <w:tcW w:w="1380" w:type="dxa"/>
            <w:vAlign w:val="bottom"/>
            <w:tcBorders>
              <w:top w:val="single" w:sz="8" w:color="002E6D"/>
            </w:tcBorders>
            <w:shd w:val="clear" w:color="auto" w:fill="E5E7EF"/>
          </w:tcPr>
          <w:p>
            <w:pPr>
              <w:jc w:val="right"/>
              <w:spacing w:after="0"/>
              <w:rPr>
                <w:sz w:val="20"/>
                <w:szCs w:val="20"/>
                <w:color w:val="auto"/>
              </w:rPr>
            </w:pPr>
            <w:r>
              <w:rPr>
                <w:rFonts w:ascii="Arial" w:cs="Arial" w:eastAsia="Arial" w:hAnsi="Arial"/>
                <w:sz w:val="14"/>
                <w:szCs w:val="14"/>
                <w:color w:val="auto"/>
              </w:rPr>
              <w:t>10,992</w:t>
            </w:r>
          </w:p>
        </w:tc>
        <w:tc>
          <w:tcPr>
            <w:tcW w:w="360" w:type="dxa"/>
            <w:vAlign w:val="bottom"/>
            <w:tcBorders>
              <w:top w:val="single" w:sz="8" w:color="002E6D"/>
            </w:tcBorders>
            <w:shd w:val="clear" w:color="auto" w:fill="E5E7EF"/>
          </w:tcPr>
          <w:p>
            <w:pPr>
              <w:ind w:left="40"/>
              <w:spacing w:after="0"/>
              <w:rPr>
                <w:sz w:val="20"/>
                <w:szCs w:val="20"/>
                <w:color w:val="auto"/>
              </w:rPr>
            </w:pPr>
            <w:r>
              <w:rPr>
                <w:rFonts w:ascii="Arial" w:cs="Arial" w:eastAsia="Arial" w:hAnsi="Arial"/>
                <w:sz w:val="11"/>
                <w:szCs w:val="11"/>
                <w:color w:val="auto"/>
              </w:rPr>
              <w:t>5</w:t>
            </w:r>
          </w:p>
        </w:tc>
        <w:tc>
          <w:tcPr>
            <w:tcW w:w="1960" w:type="dxa"/>
            <w:vAlign w:val="bottom"/>
            <w:tcBorders>
              <w:top w:val="single" w:sz="8" w:color="002E6D"/>
            </w:tcBorders>
            <w:shd w:val="clear" w:color="auto" w:fill="E5E7EF"/>
          </w:tcPr>
          <w:p>
            <w:pPr>
              <w:jc w:val="right"/>
              <w:ind w:right="550"/>
              <w:spacing w:after="0"/>
              <w:rPr>
                <w:sz w:val="20"/>
                <w:szCs w:val="20"/>
                <w:color w:val="auto"/>
              </w:rPr>
            </w:pPr>
            <w:r>
              <w:rPr>
                <w:rFonts w:ascii="Arial" w:cs="Arial" w:eastAsia="Arial" w:hAnsi="Arial"/>
                <w:sz w:val="14"/>
                <w:szCs w:val="14"/>
                <w:color w:val="auto"/>
              </w:rPr>
              <w:t>3,906,667</w:t>
            </w:r>
          </w:p>
        </w:tc>
        <w:tc>
          <w:tcPr>
            <w:tcW w:w="840" w:type="dxa"/>
            <w:vAlign w:val="bottom"/>
            <w:tcBorders>
              <w:top w:val="single" w:sz="8" w:color="002E6D"/>
            </w:tcBorders>
            <w:shd w:val="clear" w:color="auto" w:fill="E5E7EF"/>
          </w:tcPr>
          <w:p>
            <w:pPr>
              <w:jc w:val="right"/>
              <w:spacing w:after="0"/>
              <w:rPr>
                <w:sz w:val="20"/>
                <w:szCs w:val="20"/>
                <w:color w:val="auto"/>
              </w:rPr>
            </w:pPr>
            <w:r>
              <w:rPr>
                <w:rFonts w:ascii="Arial" w:cs="Arial" w:eastAsia="Arial" w:hAnsi="Arial"/>
                <w:sz w:val="14"/>
                <w:szCs w:val="14"/>
                <w:color w:val="auto"/>
              </w:rPr>
              <w:t>20,566</w:t>
            </w:r>
          </w:p>
        </w:tc>
        <w:tc>
          <w:tcPr>
            <w:tcW w:w="540" w:type="dxa"/>
            <w:vAlign w:val="bottom"/>
            <w:tcBorders>
              <w:top w:val="single" w:sz="8" w:color="002E6D"/>
            </w:tcBorders>
            <w:shd w:val="clear" w:color="auto" w:fill="E5E7EF"/>
          </w:tcPr>
          <w:p>
            <w:pPr>
              <w:ind w:left="40"/>
              <w:spacing w:after="0"/>
              <w:rPr>
                <w:sz w:val="20"/>
                <w:szCs w:val="20"/>
                <w:color w:val="auto"/>
              </w:rPr>
            </w:pPr>
            <w:r>
              <w:rPr>
                <w:rFonts w:ascii="Arial" w:cs="Arial" w:eastAsia="Arial" w:hAnsi="Arial"/>
                <w:sz w:val="11"/>
                <w:szCs w:val="11"/>
                <w:color w:val="auto"/>
              </w:rPr>
              <w:t>6</w:t>
            </w:r>
          </w:p>
        </w:tc>
        <w:tc>
          <w:tcPr>
            <w:tcW w:w="1260" w:type="dxa"/>
            <w:vAlign w:val="bottom"/>
            <w:tcBorders>
              <w:top w:val="single" w:sz="8" w:color="002E6D"/>
            </w:tcBorders>
            <w:shd w:val="clear" w:color="auto" w:fill="E5E7EF"/>
          </w:tcPr>
          <w:p>
            <w:pPr>
              <w:jc w:val="right"/>
              <w:spacing w:after="0"/>
              <w:rPr>
                <w:sz w:val="20"/>
                <w:szCs w:val="20"/>
                <w:color w:val="auto"/>
              </w:rPr>
            </w:pPr>
            <w:r>
              <w:rPr>
                <w:rFonts w:ascii="Arial" w:cs="Arial" w:eastAsia="Arial" w:hAnsi="Arial"/>
                <w:sz w:val="14"/>
                <w:szCs w:val="14"/>
                <w:color w:val="auto"/>
              </w:rPr>
              <w:t>7,309,362</w:t>
            </w:r>
          </w:p>
        </w:tc>
      </w:tr>
      <w:tr>
        <w:trPr>
          <w:trHeight w:val="188"/>
        </w:trPr>
        <w:tc>
          <w:tcPr>
            <w:tcW w:w="49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7,180</w:t>
            </w:r>
          </w:p>
        </w:tc>
        <w:tc>
          <w:tcPr>
            <w:tcW w:w="360" w:type="dxa"/>
            <w:vAlign w:val="bottom"/>
          </w:tcPr>
          <w:p>
            <w:pPr>
              <w:ind w:left="40"/>
              <w:spacing w:after="0"/>
              <w:rPr>
                <w:sz w:val="20"/>
                <w:szCs w:val="20"/>
                <w:color w:val="auto"/>
              </w:rPr>
            </w:pPr>
            <w:r>
              <w:rPr>
                <w:rFonts w:ascii="Arial" w:cs="Arial" w:eastAsia="Arial" w:hAnsi="Arial"/>
                <w:sz w:val="11"/>
                <w:szCs w:val="11"/>
                <w:color w:val="auto"/>
              </w:rPr>
              <w:t>7</w:t>
            </w:r>
          </w:p>
        </w:tc>
        <w:tc>
          <w:tcPr>
            <w:tcW w:w="1960" w:type="dxa"/>
            <w:vAlign w:val="bottom"/>
          </w:tcPr>
          <w:p>
            <w:pPr>
              <w:jc w:val="right"/>
              <w:ind w:right="550"/>
              <w:spacing w:after="0"/>
              <w:rPr>
                <w:sz w:val="20"/>
                <w:szCs w:val="20"/>
                <w:color w:val="auto"/>
              </w:rPr>
            </w:pPr>
            <w:r>
              <w:rPr>
                <w:rFonts w:ascii="Arial" w:cs="Arial" w:eastAsia="Arial" w:hAnsi="Arial"/>
                <w:sz w:val="14"/>
                <w:szCs w:val="14"/>
                <w:color w:val="auto"/>
              </w:rPr>
              <w:t>2,551,844</w:t>
            </w:r>
          </w:p>
        </w:tc>
        <w:tc>
          <w:tcPr>
            <w:tcW w:w="840" w:type="dxa"/>
            <w:vAlign w:val="bottom"/>
          </w:tcPr>
          <w:p>
            <w:pPr>
              <w:jc w:val="right"/>
              <w:spacing w:after="0"/>
              <w:rPr>
                <w:sz w:val="20"/>
                <w:szCs w:val="20"/>
                <w:color w:val="auto"/>
              </w:rPr>
            </w:pPr>
            <w:r>
              <w:rPr>
                <w:rFonts w:ascii="Arial" w:cs="Arial" w:eastAsia="Arial" w:hAnsi="Arial"/>
                <w:sz w:val="14"/>
                <w:szCs w:val="14"/>
                <w:color w:val="auto"/>
              </w:rPr>
              <w:t>15,689</w:t>
            </w:r>
          </w:p>
        </w:tc>
        <w:tc>
          <w:tcPr>
            <w:tcW w:w="540" w:type="dxa"/>
            <w:vAlign w:val="bottom"/>
          </w:tcPr>
          <w:p>
            <w:pPr>
              <w:ind w:left="40"/>
              <w:spacing w:after="0"/>
              <w:rPr>
                <w:sz w:val="20"/>
                <w:szCs w:val="20"/>
                <w:color w:val="auto"/>
              </w:rPr>
            </w:pPr>
            <w:r>
              <w:rPr>
                <w:rFonts w:ascii="Arial" w:cs="Arial" w:eastAsia="Arial" w:hAnsi="Arial"/>
                <w:sz w:val="11"/>
                <w:szCs w:val="11"/>
                <w:color w:val="auto"/>
              </w:rPr>
              <w:t>9</w:t>
            </w:r>
          </w:p>
        </w:tc>
        <w:tc>
          <w:tcPr>
            <w:tcW w:w="1260" w:type="dxa"/>
            <w:vAlign w:val="bottom"/>
          </w:tcPr>
          <w:p>
            <w:pPr>
              <w:jc w:val="right"/>
              <w:spacing w:after="0"/>
              <w:rPr>
                <w:sz w:val="20"/>
                <w:szCs w:val="20"/>
                <w:color w:val="auto"/>
              </w:rPr>
            </w:pPr>
            <w:r>
              <w:rPr>
                <w:rFonts w:ascii="Arial" w:cs="Arial" w:eastAsia="Arial" w:hAnsi="Arial"/>
                <w:sz w:val="14"/>
                <w:szCs w:val="14"/>
                <w:color w:val="auto"/>
              </w:rPr>
              <w:t>5,576,027</w:t>
            </w:r>
          </w:p>
        </w:tc>
      </w:tr>
      <w:tr>
        <w:trPr>
          <w:trHeight w:val="188"/>
        </w:trPr>
        <w:tc>
          <w:tcPr>
            <w:tcW w:w="4900" w:type="dxa"/>
            <w:vAlign w:val="bottom"/>
            <w:tcBorders>
              <w:bottom w:val="single" w:sz="8" w:color="939598"/>
            </w:tcBorders>
          </w:tcPr>
          <w:p>
            <w:pPr>
              <w:spacing w:after="0"/>
              <w:rPr>
                <w:sz w:val="16"/>
                <w:szCs w:val="16"/>
                <w:color w:val="auto"/>
              </w:rPr>
            </w:pPr>
          </w:p>
        </w:tc>
        <w:tc>
          <w:tcPr>
            <w:tcW w:w="1380" w:type="dxa"/>
            <w:vAlign w:val="bottom"/>
            <w:tcBorders>
              <w:bottom w:val="single" w:sz="8" w:color="939598"/>
            </w:tcBorders>
            <w:shd w:val="clear" w:color="auto" w:fill="E5E7EF"/>
          </w:tcPr>
          <w:p>
            <w:pPr>
              <w:jc w:val="right"/>
              <w:spacing w:after="0"/>
              <w:rPr>
                <w:sz w:val="20"/>
                <w:szCs w:val="20"/>
                <w:color w:val="auto"/>
              </w:rPr>
            </w:pPr>
            <w:r>
              <w:rPr>
                <w:rFonts w:ascii="Arial" w:cs="Arial" w:eastAsia="Arial" w:hAnsi="Arial"/>
                <w:sz w:val="14"/>
                <w:szCs w:val="14"/>
                <w:color w:val="auto"/>
              </w:rPr>
              <w:t>12,291</w:t>
            </w:r>
          </w:p>
        </w:tc>
        <w:tc>
          <w:tcPr>
            <w:tcW w:w="360" w:type="dxa"/>
            <w:vAlign w:val="bottom"/>
            <w:tcBorders>
              <w:bottom w:val="single" w:sz="8" w:color="939598"/>
            </w:tcBorders>
            <w:shd w:val="clear" w:color="auto" w:fill="E5E7EF"/>
          </w:tcPr>
          <w:p>
            <w:pPr>
              <w:ind w:left="40"/>
              <w:spacing w:after="0"/>
              <w:rPr>
                <w:sz w:val="20"/>
                <w:szCs w:val="20"/>
                <w:color w:val="auto"/>
              </w:rPr>
            </w:pPr>
            <w:r>
              <w:rPr>
                <w:rFonts w:ascii="Arial" w:cs="Arial" w:eastAsia="Arial" w:hAnsi="Arial"/>
                <w:sz w:val="11"/>
                <w:szCs w:val="11"/>
                <w:color w:val="auto"/>
              </w:rPr>
              <w:t>8</w:t>
            </w:r>
          </w:p>
        </w:tc>
        <w:tc>
          <w:tcPr>
            <w:tcW w:w="1960" w:type="dxa"/>
            <w:vAlign w:val="bottom"/>
            <w:tcBorders>
              <w:bottom w:val="single" w:sz="8" w:color="939598"/>
            </w:tcBorders>
            <w:shd w:val="clear" w:color="auto" w:fill="E5E7EF"/>
          </w:tcPr>
          <w:p>
            <w:pPr>
              <w:jc w:val="right"/>
              <w:ind w:right="550"/>
              <w:spacing w:after="0"/>
              <w:rPr>
                <w:sz w:val="20"/>
                <w:szCs w:val="20"/>
                <w:color w:val="auto"/>
              </w:rPr>
            </w:pPr>
            <w:r>
              <w:rPr>
                <w:rFonts w:ascii="Arial" w:cs="Arial" w:eastAsia="Arial" w:hAnsi="Arial"/>
                <w:sz w:val="14"/>
                <w:szCs w:val="14"/>
                <w:color w:val="auto"/>
              </w:rPr>
              <w:t>4,368,344</w:t>
            </w:r>
          </w:p>
        </w:tc>
        <w:tc>
          <w:tcPr>
            <w:tcW w:w="840" w:type="dxa"/>
            <w:vAlign w:val="bottom"/>
            <w:tcBorders>
              <w:bottom w:val="single" w:sz="8" w:color="939598"/>
            </w:tcBorders>
            <w:shd w:val="clear" w:color="auto" w:fill="E5E7E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39598"/>
            </w:tcBorders>
            <w:shd w:val="clear" w:color="auto" w:fill="E5E7EF"/>
          </w:tcPr>
          <w:p>
            <w:pPr>
              <w:spacing w:after="0"/>
              <w:rPr>
                <w:sz w:val="16"/>
                <w:szCs w:val="16"/>
                <w:color w:val="auto"/>
              </w:rPr>
            </w:pPr>
          </w:p>
        </w:tc>
        <w:tc>
          <w:tcPr>
            <w:tcW w:w="1260" w:type="dxa"/>
            <w:vAlign w:val="bottom"/>
            <w:tcBorders>
              <w:bottom w:val="single" w:sz="8" w:color="939598"/>
            </w:tcBorders>
            <w:shd w:val="clear" w:color="auto" w:fill="E5E7E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4900" w:type="dxa"/>
            <w:vAlign w:val="bottom"/>
          </w:tcPr>
          <w:p>
            <w:pPr>
              <w:ind w:left="20"/>
              <w:spacing w:after="0"/>
              <w:rPr>
                <w:sz w:val="20"/>
                <w:szCs w:val="20"/>
                <w:color w:val="auto"/>
              </w:rPr>
            </w:pPr>
            <w:r>
              <w:rPr>
                <w:rFonts w:ascii="Arial" w:cs="Arial" w:eastAsia="Arial" w:hAnsi="Arial"/>
                <w:sz w:val="14"/>
                <w:szCs w:val="14"/>
                <w:b w:val="1"/>
                <w:bCs w:val="1"/>
                <w:color w:val="002E6D"/>
              </w:rPr>
              <w:t>John W. Mollard</w:t>
            </w:r>
          </w:p>
        </w:tc>
        <w:tc>
          <w:tcPr>
            <w:tcW w:w="1380" w:type="dxa"/>
            <w:vAlign w:val="bottom"/>
          </w:tcPr>
          <w:p>
            <w:pPr>
              <w:jc w:val="right"/>
              <w:spacing w:after="0"/>
              <w:rPr>
                <w:sz w:val="20"/>
                <w:szCs w:val="20"/>
                <w:color w:val="auto"/>
              </w:rPr>
            </w:pPr>
            <w:r>
              <w:rPr>
                <w:rFonts w:ascii="Arial" w:cs="Arial" w:eastAsia="Arial" w:hAnsi="Arial"/>
                <w:sz w:val="14"/>
                <w:szCs w:val="14"/>
                <w:color w:val="auto"/>
              </w:rPr>
              <w:t>1,131</w:t>
            </w:r>
          </w:p>
        </w:tc>
        <w:tc>
          <w:tcPr>
            <w:tcW w:w="360" w:type="dxa"/>
            <w:vAlign w:val="bottom"/>
          </w:tcPr>
          <w:p>
            <w:pPr>
              <w:ind w:left="40"/>
              <w:spacing w:after="0"/>
              <w:rPr>
                <w:sz w:val="20"/>
                <w:szCs w:val="20"/>
                <w:color w:val="auto"/>
              </w:rPr>
            </w:pPr>
            <w:r>
              <w:rPr>
                <w:rFonts w:ascii="Arial" w:cs="Arial" w:eastAsia="Arial" w:hAnsi="Arial"/>
                <w:sz w:val="11"/>
                <w:szCs w:val="11"/>
                <w:color w:val="auto"/>
              </w:rPr>
              <w:t>8</w:t>
            </w:r>
          </w:p>
        </w:tc>
        <w:tc>
          <w:tcPr>
            <w:tcW w:w="1960" w:type="dxa"/>
            <w:vAlign w:val="bottom"/>
          </w:tcPr>
          <w:p>
            <w:pPr>
              <w:jc w:val="right"/>
              <w:ind w:right="550"/>
              <w:spacing w:after="0"/>
              <w:rPr>
                <w:sz w:val="20"/>
                <w:szCs w:val="20"/>
                <w:color w:val="auto"/>
              </w:rPr>
            </w:pPr>
            <w:r>
              <w:rPr>
                <w:rFonts w:ascii="Arial" w:cs="Arial" w:eastAsia="Arial" w:hAnsi="Arial"/>
                <w:sz w:val="14"/>
                <w:szCs w:val="14"/>
                <w:color w:val="auto"/>
              </w:rPr>
              <w:t>401,969</w:t>
            </w:r>
          </w:p>
        </w:tc>
        <w:tc>
          <w:tcPr>
            <w:tcW w:w="840" w:type="dxa"/>
            <w:vAlign w:val="bottom"/>
          </w:tcPr>
          <w:p>
            <w:pPr>
              <w:jc w:val="right"/>
              <w:spacing w:after="0"/>
              <w:rPr>
                <w:sz w:val="20"/>
                <w:szCs w:val="20"/>
                <w:color w:val="auto"/>
              </w:rPr>
            </w:pPr>
            <w:r>
              <w:rPr>
                <w:rFonts w:ascii="Arial" w:cs="Arial" w:eastAsia="Arial" w:hAnsi="Arial"/>
                <w:sz w:val="14"/>
                <w:szCs w:val="14"/>
                <w:color w:val="auto"/>
              </w:rPr>
              <w:t>180</w:t>
            </w:r>
          </w:p>
        </w:tc>
        <w:tc>
          <w:tcPr>
            <w:tcW w:w="540" w:type="dxa"/>
            <w:vAlign w:val="bottom"/>
          </w:tcPr>
          <w:p>
            <w:pPr>
              <w:ind w:left="40"/>
              <w:spacing w:after="0"/>
              <w:rPr>
                <w:sz w:val="20"/>
                <w:szCs w:val="20"/>
                <w:color w:val="auto"/>
              </w:rPr>
            </w:pPr>
            <w:r>
              <w:rPr>
                <w:rFonts w:ascii="Arial" w:cs="Arial" w:eastAsia="Arial" w:hAnsi="Arial"/>
                <w:sz w:val="11"/>
                <w:szCs w:val="11"/>
                <w:color w:val="auto"/>
              </w:rPr>
              <w:t>9</w:t>
            </w:r>
          </w:p>
        </w:tc>
        <w:tc>
          <w:tcPr>
            <w:tcW w:w="1260" w:type="dxa"/>
            <w:vAlign w:val="bottom"/>
          </w:tcPr>
          <w:p>
            <w:pPr>
              <w:jc w:val="right"/>
              <w:spacing w:after="0"/>
              <w:rPr>
                <w:sz w:val="20"/>
                <w:szCs w:val="20"/>
                <w:color w:val="auto"/>
              </w:rPr>
            </w:pPr>
            <w:r>
              <w:rPr>
                <w:rFonts w:ascii="Arial" w:cs="Arial" w:eastAsia="Arial" w:hAnsi="Arial"/>
                <w:sz w:val="14"/>
                <w:szCs w:val="14"/>
                <w:color w:val="auto"/>
              </w:rPr>
              <w:t>63,974</w:t>
            </w:r>
          </w:p>
        </w:tc>
      </w:tr>
      <w:tr>
        <w:trPr>
          <w:trHeight w:val="188"/>
        </w:trPr>
        <w:tc>
          <w:tcPr>
            <w:tcW w:w="4900" w:type="dxa"/>
            <w:vAlign w:val="bottom"/>
          </w:tcPr>
          <w:p>
            <w:pPr>
              <w:spacing w:after="0"/>
              <w:rPr>
                <w:sz w:val="16"/>
                <w:szCs w:val="16"/>
                <w:color w:val="auto"/>
              </w:rPr>
            </w:pPr>
          </w:p>
        </w:tc>
        <w:tc>
          <w:tcPr>
            <w:tcW w:w="13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943</w:t>
            </w:r>
          </w:p>
        </w:tc>
        <w:tc>
          <w:tcPr>
            <w:tcW w:w="360" w:type="dxa"/>
            <w:vAlign w:val="bottom"/>
            <w:shd w:val="clear" w:color="auto" w:fill="E4E6EF"/>
          </w:tcPr>
          <w:p>
            <w:pPr>
              <w:ind w:left="40"/>
              <w:spacing w:after="0"/>
              <w:rPr>
                <w:sz w:val="20"/>
                <w:szCs w:val="20"/>
                <w:color w:val="auto"/>
              </w:rPr>
            </w:pPr>
            <w:r>
              <w:rPr>
                <w:rFonts w:ascii="Arial" w:cs="Arial" w:eastAsia="Arial" w:hAnsi="Arial"/>
                <w:sz w:val="11"/>
                <w:szCs w:val="11"/>
                <w:color w:val="auto"/>
              </w:rPr>
              <w:t>10</w:t>
            </w:r>
          </w:p>
        </w:tc>
        <w:tc>
          <w:tcPr>
            <w:tcW w:w="1960" w:type="dxa"/>
            <w:vAlign w:val="bottom"/>
            <w:shd w:val="clear" w:color="auto" w:fill="E4E6EF"/>
          </w:tcPr>
          <w:p>
            <w:pPr>
              <w:jc w:val="right"/>
              <w:ind w:right="550"/>
              <w:spacing w:after="0"/>
              <w:rPr>
                <w:sz w:val="20"/>
                <w:szCs w:val="20"/>
                <w:color w:val="auto"/>
              </w:rPr>
            </w:pPr>
            <w:r>
              <w:rPr>
                <w:rFonts w:ascii="Arial" w:cs="Arial" w:eastAsia="Arial" w:hAnsi="Arial"/>
                <w:sz w:val="14"/>
                <w:szCs w:val="14"/>
                <w:color w:val="auto"/>
              </w:rPr>
              <w:t>335,152</w:t>
            </w:r>
          </w:p>
        </w:tc>
        <w:tc>
          <w:tcPr>
            <w:tcW w:w="840" w:type="dxa"/>
            <w:vAlign w:val="bottom"/>
            <w:shd w:val="clear" w:color="auto" w:fill="E4E6EF"/>
          </w:tcPr>
          <w:p>
            <w:pPr>
              <w:jc w:val="right"/>
              <w:spacing w:after="0"/>
              <w:rPr>
                <w:sz w:val="20"/>
                <w:szCs w:val="20"/>
                <w:color w:val="auto"/>
              </w:rPr>
            </w:pPr>
            <w:r>
              <w:rPr>
                <w:rFonts w:ascii="Arial" w:cs="Arial" w:eastAsia="Arial" w:hAnsi="Arial"/>
                <w:sz w:val="14"/>
                <w:szCs w:val="14"/>
                <w:color w:val="auto"/>
              </w:rPr>
              <w:t>221</w:t>
            </w:r>
          </w:p>
        </w:tc>
        <w:tc>
          <w:tcPr>
            <w:tcW w:w="540" w:type="dxa"/>
            <w:vAlign w:val="bottom"/>
            <w:shd w:val="clear" w:color="auto" w:fill="E4E6EF"/>
          </w:tcPr>
          <w:p>
            <w:pPr>
              <w:ind w:left="40"/>
              <w:spacing w:after="0"/>
              <w:rPr>
                <w:sz w:val="20"/>
                <w:szCs w:val="20"/>
                <w:color w:val="auto"/>
              </w:rPr>
            </w:pPr>
            <w:r>
              <w:rPr>
                <w:rFonts w:ascii="Arial" w:cs="Arial" w:eastAsia="Arial" w:hAnsi="Arial"/>
                <w:sz w:val="11"/>
                <w:szCs w:val="11"/>
                <w:color w:val="auto"/>
              </w:rPr>
              <w:t>11</w:t>
            </w:r>
          </w:p>
        </w:tc>
        <w:tc>
          <w:tcPr>
            <w:tcW w:w="1260" w:type="dxa"/>
            <w:vAlign w:val="bottom"/>
            <w:shd w:val="clear" w:color="auto" w:fill="E4E6EF"/>
          </w:tcPr>
          <w:p>
            <w:pPr>
              <w:jc w:val="right"/>
              <w:spacing w:after="0"/>
              <w:rPr>
                <w:sz w:val="20"/>
                <w:szCs w:val="20"/>
                <w:color w:val="auto"/>
              </w:rPr>
            </w:pPr>
            <w:r>
              <w:rPr>
                <w:rFonts w:ascii="Arial" w:cs="Arial" w:eastAsia="Arial" w:hAnsi="Arial"/>
                <w:sz w:val="14"/>
                <w:szCs w:val="14"/>
                <w:color w:val="auto"/>
              </w:rPr>
              <w:t>78,546</w:t>
            </w:r>
          </w:p>
        </w:tc>
      </w:tr>
      <w:tr>
        <w:trPr>
          <w:trHeight w:val="188"/>
        </w:trPr>
        <w:tc>
          <w:tcPr>
            <w:tcW w:w="49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1,190</w:t>
            </w:r>
          </w:p>
        </w:tc>
        <w:tc>
          <w:tcPr>
            <w:tcW w:w="360" w:type="dxa"/>
            <w:vAlign w:val="bottom"/>
          </w:tcPr>
          <w:p>
            <w:pPr>
              <w:ind w:left="40"/>
              <w:spacing w:after="0"/>
              <w:rPr>
                <w:sz w:val="20"/>
                <w:szCs w:val="20"/>
                <w:color w:val="auto"/>
              </w:rPr>
            </w:pPr>
            <w:r>
              <w:rPr>
                <w:rFonts w:ascii="Arial" w:cs="Arial" w:eastAsia="Arial" w:hAnsi="Arial"/>
                <w:sz w:val="11"/>
                <w:szCs w:val="11"/>
                <w:color w:val="auto"/>
              </w:rPr>
              <w:t>13</w:t>
            </w:r>
          </w:p>
        </w:tc>
        <w:tc>
          <w:tcPr>
            <w:tcW w:w="1960" w:type="dxa"/>
            <w:vAlign w:val="bottom"/>
          </w:tcPr>
          <w:p>
            <w:pPr>
              <w:jc w:val="right"/>
              <w:ind w:right="550"/>
              <w:spacing w:after="0"/>
              <w:rPr>
                <w:sz w:val="20"/>
                <w:szCs w:val="20"/>
                <w:color w:val="auto"/>
              </w:rPr>
            </w:pPr>
            <w:r>
              <w:rPr>
                <w:rFonts w:ascii="Arial" w:cs="Arial" w:eastAsia="Arial" w:hAnsi="Arial"/>
                <w:sz w:val="14"/>
                <w:szCs w:val="14"/>
                <w:color w:val="auto"/>
              </w:rPr>
              <w:t>422,938</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4900" w:type="dxa"/>
            <w:vAlign w:val="bottom"/>
            <w:tcBorders>
              <w:bottom w:val="single" w:sz="8" w:color="939598"/>
            </w:tcBorders>
          </w:tcPr>
          <w:p>
            <w:pPr>
              <w:spacing w:after="0"/>
              <w:rPr>
                <w:sz w:val="16"/>
                <w:szCs w:val="16"/>
                <w:color w:val="auto"/>
              </w:rPr>
            </w:pPr>
          </w:p>
        </w:tc>
        <w:tc>
          <w:tcPr>
            <w:tcW w:w="138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415</w:t>
            </w:r>
          </w:p>
        </w:tc>
        <w:tc>
          <w:tcPr>
            <w:tcW w:w="360" w:type="dxa"/>
            <w:vAlign w:val="bottom"/>
            <w:tcBorders>
              <w:bottom w:val="single" w:sz="8" w:color="939598"/>
            </w:tcBorders>
            <w:shd w:val="clear" w:color="auto" w:fill="E4E6EF"/>
          </w:tcPr>
          <w:p>
            <w:pPr>
              <w:ind w:left="40"/>
              <w:spacing w:after="0"/>
              <w:rPr>
                <w:sz w:val="20"/>
                <w:szCs w:val="20"/>
                <w:color w:val="auto"/>
              </w:rPr>
            </w:pPr>
            <w:r>
              <w:rPr>
                <w:rFonts w:ascii="Arial" w:cs="Arial" w:eastAsia="Arial" w:hAnsi="Arial"/>
                <w:sz w:val="11"/>
                <w:szCs w:val="11"/>
                <w:color w:val="auto"/>
              </w:rPr>
              <w:t>14</w:t>
            </w:r>
          </w:p>
        </w:tc>
        <w:tc>
          <w:tcPr>
            <w:tcW w:w="1960" w:type="dxa"/>
            <w:vAlign w:val="bottom"/>
            <w:tcBorders>
              <w:bottom w:val="single" w:sz="8" w:color="939598"/>
            </w:tcBorders>
            <w:shd w:val="clear" w:color="auto" w:fill="E4E6EF"/>
          </w:tcPr>
          <w:p>
            <w:pPr>
              <w:jc w:val="right"/>
              <w:ind w:right="550"/>
              <w:spacing w:after="0"/>
              <w:rPr>
                <w:sz w:val="20"/>
                <w:szCs w:val="20"/>
                <w:color w:val="auto"/>
              </w:rPr>
            </w:pPr>
            <w:r>
              <w:rPr>
                <w:rFonts w:ascii="Arial" w:cs="Arial" w:eastAsia="Arial" w:hAnsi="Arial"/>
                <w:sz w:val="14"/>
                <w:szCs w:val="14"/>
                <w:color w:val="auto"/>
              </w:rPr>
              <w:t>147,495</w:t>
            </w:r>
          </w:p>
        </w:tc>
        <w:tc>
          <w:tcPr>
            <w:tcW w:w="84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39598"/>
            </w:tcBorders>
            <w:shd w:val="clear" w:color="auto" w:fill="E4E6EF"/>
          </w:tcPr>
          <w:p>
            <w:pPr>
              <w:spacing w:after="0"/>
              <w:rPr>
                <w:sz w:val="16"/>
                <w:szCs w:val="16"/>
                <w:color w:val="auto"/>
              </w:rPr>
            </w:pPr>
          </w:p>
        </w:tc>
        <w:tc>
          <w:tcPr>
            <w:tcW w:w="126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4900" w:type="dxa"/>
            <w:vAlign w:val="bottom"/>
          </w:tcPr>
          <w:p>
            <w:pPr>
              <w:ind w:left="20"/>
              <w:spacing w:after="0"/>
              <w:rPr>
                <w:sz w:val="20"/>
                <w:szCs w:val="20"/>
                <w:color w:val="auto"/>
              </w:rPr>
            </w:pPr>
            <w:r>
              <w:rPr>
                <w:rFonts w:ascii="Arial" w:cs="Arial" w:eastAsia="Arial" w:hAnsi="Arial"/>
                <w:sz w:val="14"/>
                <w:szCs w:val="14"/>
                <w:b w:val="1"/>
                <w:bCs w:val="1"/>
                <w:color w:val="002E6D"/>
              </w:rPr>
              <w:t>Kenneth R. Possenriede</w:t>
            </w:r>
          </w:p>
        </w:tc>
        <w:tc>
          <w:tcPr>
            <w:tcW w:w="1380" w:type="dxa"/>
            <w:vAlign w:val="bottom"/>
          </w:tcPr>
          <w:p>
            <w:pPr>
              <w:jc w:val="right"/>
              <w:spacing w:after="0"/>
              <w:rPr>
                <w:sz w:val="20"/>
                <w:szCs w:val="20"/>
                <w:color w:val="auto"/>
              </w:rPr>
            </w:pPr>
            <w:r>
              <w:rPr>
                <w:rFonts w:ascii="Arial" w:cs="Arial" w:eastAsia="Arial" w:hAnsi="Arial"/>
                <w:sz w:val="14"/>
                <w:szCs w:val="14"/>
                <w:color w:val="auto"/>
              </w:rPr>
              <w:t>3,470</w:t>
            </w:r>
          </w:p>
        </w:tc>
        <w:tc>
          <w:tcPr>
            <w:tcW w:w="360" w:type="dxa"/>
            <w:vAlign w:val="bottom"/>
          </w:tcPr>
          <w:p>
            <w:pPr>
              <w:ind w:left="40"/>
              <w:spacing w:after="0"/>
              <w:rPr>
                <w:sz w:val="20"/>
                <w:szCs w:val="20"/>
                <w:color w:val="auto"/>
              </w:rPr>
            </w:pPr>
            <w:r>
              <w:rPr>
                <w:rFonts w:ascii="Arial" w:cs="Arial" w:eastAsia="Arial" w:hAnsi="Arial"/>
                <w:sz w:val="11"/>
                <w:szCs w:val="11"/>
                <w:color w:val="auto"/>
              </w:rPr>
              <w:t>10</w:t>
            </w:r>
          </w:p>
        </w:tc>
        <w:tc>
          <w:tcPr>
            <w:tcW w:w="1960" w:type="dxa"/>
            <w:vAlign w:val="bottom"/>
          </w:tcPr>
          <w:p>
            <w:pPr>
              <w:jc w:val="right"/>
              <w:ind w:right="490"/>
              <w:spacing w:after="0"/>
              <w:rPr>
                <w:sz w:val="20"/>
                <w:szCs w:val="20"/>
                <w:color w:val="auto"/>
              </w:rPr>
            </w:pPr>
            <w:r>
              <w:rPr>
                <w:rFonts w:ascii="Arial" w:cs="Arial" w:eastAsia="Arial" w:hAnsi="Arial"/>
                <w:sz w:val="14"/>
                <w:szCs w:val="14"/>
                <w:color w:val="auto"/>
              </w:rPr>
              <w:t>1,233,273</w:t>
            </w:r>
          </w:p>
        </w:tc>
        <w:tc>
          <w:tcPr>
            <w:tcW w:w="840" w:type="dxa"/>
            <w:vAlign w:val="bottom"/>
          </w:tcPr>
          <w:p>
            <w:pPr>
              <w:jc w:val="right"/>
              <w:spacing w:after="0"/>
              <w:rPr>
                <w:sz w:val="20"/>
                <w:szCs w:val="20"/>
                <w:color w:val="auto"/>
              </w:rPr>
            </w:pPr>
            <w:r>
              <w:rPr>
                <w:rFonts w:ascii="Arial" w:cs="Arial" w:eastAsia="Arial" w:hAnsi="Arial"/>
                <w:sz w:val="14"/>
                <w:szCs w:val="14"/>
                <w:color w:val="auto"/>
              </w:rPr>
              <w:t>3,236</w:t>
            </w:r>
          </w:p>
        </w:tc>
        <w:tc>
          <w:tcPr>
            <w:tcW w:w="540" w:type="dxa"/>
            <w:vAlign w:val="bottom"/>
          </w:tcPr>
          <w:p>
            <w:pPr>
              <w:ind w:left="40"/>
              <w:spacing w:after="0"/>
              <w:rPr>
                <w:sz w:val="20"/>
                <w:szCs w:val="20"/>
                <w:color w:val="auto"/>
              </w:rPr>
            </w:pPr>
            <w:r>
              <w:rPr>
                <w:rFonts w:ascii="Arial" w:cs="Arial" w:eastAsia="Arial" w:hAnsi="Arial"/>
                <w:sz w:val="11"/>
                <w:szCs w:val="11"/>
                <w:color w:val="auto"/>
              </w:rPr>
              <w:t>11</w:t>
            </w:r>
          </w:p>
        </w:tc>
        <w:tc>
          <w:tcPr>
            <w:tcW w:w="1260" w:type="dxa"/>
            <w:vAlign w:val="bottom"/>
          </w:tcPr>
          <w:p>
            <w:pPr>
              <w:jc w:val="right"/>
              <w:spacing w:after="0"/>
              <w:rPr>
                <w:sz w:val="20"/>
                <w:szCs w:val="20"/>
                <w:color w:val="auto"/>
              </w:rPr>
            </w:pPr>
            <w:r>
              <w:rPr>
                <w:rFonts w:ascii="Arial" w:cs="Arial" w:eastAsia="Arial" w:hAnsi="Arial"/>
                <w:sz w:val="14"/>
                <w:szCs w:val="14"/>
                <w:color w:val="auto"/>
              </w:rPr>
              <w:t>1,150,107</w:t>
            </w:r>
          </w:p>
        </w:tc>
      </w:tr>
      <w:tr>
        <w:trPr>
          <w:trHeight w:val="188"/>
        </w:trPr>
        <w:tc>
          <w:tcPr>
            <w:tcW w:w="4900" w:type="dxa"/>
            <w:vAlign w:val="bottom"/>
          </w:tcPr>
          <w:p>
            <w:pPr>
              <w:spacing w:after="0"/>
              <w:rPr>
                <w:sz w:val="16"/>
                <w:szCs w:val="16"/>
                <w:color w:val="auto"/>
              </w:rPr>
            </w:pPr>
          </w:p>
        </w:tc>
        <w:tc>
          <w:tcPr>
            <w:tcW w:w="13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4,241</w:t>
            </w:r>
          </w:p>
        </w:tc>
        <w:tc>
          <w:tcPr>
            <w:tcW w:w="360" w:type="dxa"/>
            <w:vAlign w:val="bottom"/>
            <w:shd w:val="clear" w:color="auto" w:fill="E4E6EF"/>
          </w:tcPr>
          <w:p>
            <w:pPr>
              <w:ind w:left="40"/>
              <w:spacing w:after="0"/>
              <w:rPr>
                <w:sz w:val="20"/>
                <w:szCs w:val="20"/>
                <w:color w:val="auto"/>
              </w:rPr>
            </w:pPr>
            <w:r>
              <w:rPr>
                <w:rFonts w:ascii="Arial" w:cs="Arial" w:eastAsia="Arial" w:hAnsi="Arial"/>
                <w:sz w:val="11"/>
                <w:szCs w:val="11"/>
                <w:color w:val="auto"/>
              </w:rPr>
              <w:t>13</w:t>
            </w:r>
          </w:p>
        </w:tc>
        <w:tc>
          <w:tcPr>
            <w:tcW w:w="1960" w:type="dxa"/>
            <w:vAlign w:val="bottom"/>
            <w:shd w:val="clear" w:color="auto" w:fill="E4E6EF"/>
          </w:tcPr>
          <w:p>
            <w:pPr>
              <w:jc w:val="right"/>
              <w:ind w:right="490"/>
              <w:spacing w:after="0"/>
              <w:rPr>
                <w:sz w:val="20"/>
                <w:szCs w:val="20"/>
                <w:color w:val="auto"/>
              </w:rPr>
            </w:pPr>
            <w:r>
              <w:rPr>
                <w:rFonts w:ascii="Arial" w:cs="Arial" w:eastAsia="Arial" w:hAnsi="Arial"/>
                <w:sz w:val="14"/>
                <w:szCs w:val="14"/>
                <w:color w:val="auto"/>
              </w:rPr>
              <w:t>1,507,294</w:t>
            </w:r>
          </w:p>
        </w:tc>
        <w:tc>
          <w:tcPr>
            <w:tcW w:w="84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E4E6EF"/>
          </w:tcPr>
          <w:p>
            <w:pPr>
              <w:spacing w:after="0"/>
              <w:rPr>
                <w:sz w:val="16"/>
                <w:szCs w:val="16"/>
                <w:color w:val="auto"/>
              </w:rPr>
            </w:pPr>
          </w:p>
        </w:tc>
        <w:tc>
          <w:tcPr>
            <w:tcW w:w="126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4900" w:type="dxa"/>
            <w:vAlign w:val="bottom"/>
            <w:tcBorders>
              <w:bottom w:val="single" w:sz="8" w:color="939598"/>
            </w:tcBorders>
          </w:tcPr>
          <w:p>
            <w:pPr>
              <w:spacing w:after="0"/>
              <w:rPr>
                <w:sz w:val="16"/>
                <w:szCs w:val="16"/>
                <w:color w:val="auto"/>
              </w:rPr>
            </w:pPr>
          </w:p>
        </w:tc>
        <w:tc>
          <w:tcPr>
            <w:tcW w:w="13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10,111</w:t>
            </w:r>
          </w:p>
        </w:tc>
        <w:tc>
          <w:tcPr>
            <w:tcW w:w="360" w:type="dxa"/>
            <w:vAlign w:val="bottom"/>
            <w:tcBorders>
              <w:bottom w:val="single" w:sz="8" w:color="939598"/>
            </w:tcBorders>
          </w:tcPr>
          <w:p>
            <w:pPr>
              <w:ind w:left="40"/>
              <w:spacing w:after="0"/>
              <w:rPr>
                <w:sz w:val="20"/>
                <w:szCs w:val="20"/>
                <w:color w:val="auto"/>
              </w:rPr>
            </w:pPr>
            <w:r>
              <w:rPr>
                <w:rFonts w:ascii="Arial" w:cs="Arial" w:eastAsia="Arial" w:hAnsi="Arial"/>
                <w:sz w:val="11"/>
                <w:szCs w:val="11"/>
                <w:color w:val="auto"/>
              </w:rPr>
              <w:t>14</w:t>
            </w:r>
          </w:p>
        </w:tc>
        <w:tc>
          <w:tcPr>
            <w:tcW w:w="1960" w:type="dxa"/>
            <w:vAlign w:val="bottom"/>
            <w:tcBorders>
              <w:bottom w:val="single" w:sz="8" w:color="939598"/>
            </w:tcBorders>
          </w:tcPr>
          <w:p>
            <w:pPr>
              <w:jc w:val="right"/>
              <w:ind w:right="490"/>
              <w:spacing w:after="0"/>
              <w:rPr>
                <w:sz w:val="20"/>
                <w:szCs w:val="20"/>
                <w:color w:val="auto"/>
              </w:rPr>
            </w:pPr>
            <w:r>
              <w:rPr>
                <w:rFonts w:ascii="Arial" w:cs="Arial" w:eastAsia="Arial" w:hAnsi="Arial"/>
                <w:sz w:val="14"/>
                <w:szCs w:val="14"/>
                <w:color w:val="auto"/>
              </w:rPr>
              <w:t>3,593,551</w:t>
            </w: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39598"/>
            </w:tcBorders>
          </w:tcPr>
          <w:p>
            <w:pPr>
              <w:spacing w:after="0"/>
              <w:rPr>
                <w:sz w:val="16"/>
                <w:szCs w:val="16"/>
                <w:color w:val="auto"/>
              </w:rPr>
            </w:pPr>
          </w:p>
        </w:tc>
        <w:tc>
          <w:tcPr>
            <w:tcW w:w="126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4900" w:type="dxa"/>
            <w:vAlign w:val="bottom"/>
          </w:tcPr>
          <w:p>
            <w:pPr>
              <w:ind w:left="20"/>
              <w:spacing w:after="0"/>
              <w:rPr>
                <w:sz w:val="20"/>
                <w:szCs w:val="20"/>
                <w:color w:val="auto"/>
              </w:rPr>
            </w:pPr>
            <w:r>
              <w:rPr>
                <w:rFonts w:ascii="Arial" w:cs="Arial" w:eastAsia="Arial" w:hAnsi="Arial"/>
                <w:sz w:val="14"/>
                <w:szCs w:val="14"/>
                <w:b w:val="1"/>
                <w:bCs w:val="1"/>
                <w:color w:val="002E6D"/>
              </w:rPr>
              <w:t>Frank A. St. John</w:t>
            </w:r>
          </w:p>
        </w:tc>
        <w:tc>
          <w:tcPr>
            <w:tcW w:w="13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112</w:t>
            </w:r>
          </w:p>
        </w:tc>
        <w:tc>
          <w:tcPr>
            <w:tcW w:w="360" w:type="dxa"/>
            <w:vAlign w:val="bottom"/>
            <w:shd w:val="clear" w:color="auto" w:fill="E4E6EF"/>
          </w:tcPr>
          <w:p>
            <w:pPr>
              <w:ind w:left="40"/>
              <w:spacing w:after="0"/>
              <w:rPr>
                <w:sz w:val="20"/>
                <w:szCs w:val="20"/>
                <w:color w:val="auto"/>
              </w:rPr>
            </w:pPr>
            <w:r>
              <w:rPr>
                <w:rFonts w:ascii="Arial" w:cs="Arial" w:eastAsia="Arial" w:hAnsi="Arial"/>
                <w:sz w:val="11"/>
                <w:szCs w:val="11"/>
                <w:color w:val="auto"/>
              </w:rPr>
              <w:t>5</w:t>
            </w:r>
          </w:p>
        </w:tc>
        <w:tc>
          <w:tcPr>
            <w:tcW w:w="1960" w:type="dxa"/>
            <w:vAlign w:val="bottom"/>
            <w:shd w:val="clear" w:color="auto" w:fill="E4E6EF"/>
          </w:tcPr>
          <w:p>
            <w:pPr>
              <w:jc w:val="right"/>
              <w:ind w:right="490"/>
              <w:spacing w:after="0"/>
              <w:rPr>
                <w:sz w:val="20"/>
                <w:szCs w:val="20"/>
                <w:color w:val="auto"/>
              </w:rPr>
            </w:pPr>
            <w:r>
              <w:rPr>
                <w:rFonts w:ascii="Arial" w:cs="Arial" w:eastAsia="Arial" w:hAnsi="Arial"/>
                <w:sz w:val="14"/>
                <w:szCs w:val="14"/>
                <w:color w:val="auto"/>
              </w:rPr>
              <w:t>39,806</w:t>
            </w:r>
          </w:p>
        </w:tc>
        <w:tc>
          <w:tcPr>
            <w:tcW w:w="840" w:type="dxa"/>
            <w:vAlign w:val="bottom"/>
            <w:shd w:val="clear" w:color="auto" w:fill="E4E6EF"/>
          </w:tcPr>
          <w:p>
            <w:pPr>
              <w:jc w:val="right"/>
              <w:spacing w:after="0"/>
              <w:rPr>
                <w:sz w:val="20"/>
                <w:szCs w:val="20"/>
                <w:color w:val="auto"/>
              </w:rPr>
            </w:pPr>
            <w:r>
              <w:rPr>
                <w:rFonts w:ascii="Arial" w:cs="Arial" w:eastAsia="Arial" w:hAnsi="Arial"/>
                <w:sz w:val="14"/>
                <w:szCs w:val="14"/>
                <w:color w:val="auto"/>
              </w:rPr>
              <w:t>223</w:t>
            </w:r>
          </w:p>
        </w:tc>
        <w:tc>
          <w:tcPr>
            <w:tcW w:w="540" w:type="dxa"/>
            <w:vAlign w:val="bottom"/>
            <w:shd w:val="clear" w:color="auto" w:fill="E4E6EF"/>
          </w:tcPr>
          <w:p>
            <w:pPr>
              <w:ind w:left="40"/>
              <w:spacing w:after="0"/>
              <w:rPr>
                <w:sz w:val="20"/>
                <w:szCs w:val="20"/>
                <w:color w:val="auto"/>
              </w:rPr>
            </w:pPr>
            <w:r>
              <w:rPr>
                <w:rFonts w:ascii="Arial" w:cs="Arial" w:eastAsia="Arial" w:hAnsi="Arial"/>
                <w:sz w:val="11"/>
                <w:szCs w:val="11"/>
                <w:color w:val="auto"/>
              </w:rPr>
              <w:t>6</w:t>
            </w:r>
          </w:p>
        </w:tc>
        <w:tc>
          <w:tcPr>
            <w:tcW w:w="1260" w:type="dxa"/>
            <w:vAlign w:val="bottom"/>
            <w:shd w:val="clear" w:color="auto" w:fill="E4E6EF"/>
          </w:tcPr>
          <w:p>
            <w:pPr>
              <w:jc w:val="right"/>
              <w:spacing w:after="0"/>
              <w:rPr>
                <w:sz w:val="20"/>
                <w:szCs w:val="20"/>
                <w:color w:val="auto"/>
              </w:rPr>
            </w:pPr>
            <w:r>
              <w:rPr>
                <w:rFonts w:ascii="Arial" w:cs="Arial" w:eastAsia="Arial" w:hAnsi="Arial"/>
                <w:sz w:val="14"/>
                <w:szCs w:val="14"/>
                <w:color w:val="auto"/>
              </w:rPr>
              <w:t>79,256</w:t>
            </w:r>
          </w:p>
        </w:tc>
      </w:tr>
      <w:tr>
        <w:trPr>
          <w:trHeight w:val="188"/>
        </w:trPr>
        <w:tc>
          <w:tcPr>
            <w:tcW w:w="49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4,629</w:t>
            </w:r>
          </w:p>
        </w:tc>
        <w:tc>
          <w:tcPr>
            <w:tcW w:w="360" w:type="dxa"/>
            <w:vAlign w:val="bottom"/>
          </w:tcPr>
          <w:p>
            <w:pPr>
              <w:ind w:left="40"/>
              <w:spacing w:after="0"/>
              <w:rPr>
                <w:sz w:val="20"/>
                <w:szCs w:val="20"/>
                <w:color w:val="auto"/>
              </w:rPr>
            </w:pPr>
            <w:r>
              <w:rPr>
                <w:rFonts w:ascii="Arial" w:cs="Arial" w:eastAsia="Arial" w:hAnsi="Arial"/>
                <w:sz w:val="11"/>
                <w:szCs w:val="11"/>
                <w:color w:val="auto"/>
              </w:rPr>
              <w:t>8</w:t>
            </w:r>
          </w:p>
        </w:tc>
        <w:tc>
          <w:tcPr>
            <w:tcW w:w="1960" w:type="dxa"/>
            <w:vAlign w:val="bottom"/>
          </w:tcPr>
          <w:p>
            <w:pPr>
              <w:jc w:val="right"/>
              <w:ind w:right="550"/>
              <w:spacing w:after="0"/>
              <w:rPr>
                <w:sz w:val="20"/>
                <w:szCs w:val="20"/>
                <w:color w:val="auto"/>
              </w:rPr>
            </w:pPr>
            <w:r>
              <w:rPr>
                <w:rFonts w:ascii="Arial" w:cs="Arial" w:eastAsia="Arial" w:hAnsi="Arial"/>
                <w:sz w:val="14"/>
                <w:szCs w:val="14"/>
                <w:color w:val="auto"/>
              </w:rPr>
              <w:t>1,645,193</w:t>
            </w:r>
          </w:p>
        </w:tc>
        <w:tc>
          <w:tcPr>
            <w:tcW w:w="840" w:type="dxa"/>
            <w:vAlign w:val="bottom"/>
          </w:tcPr>
          <w:p>
            <w:pPr>
              <w:jc w:val="right"/>
              <w:spacing w:after="0"/>
              <w:rPr>
                <w:sz w:val="20"/>
                <w:szCs w:val="20"/>
                <w:color w:val="auto"/>
              </w:rPr>
            </w:pPr>
            <w:r>
              <w:rPr>
                <w:rFonts w:ascii="Arial" w:cs="Arial" w:eastAsia="Arial" w:hAnsi="Arial"/>
                <w:sz w:val="14"/>
                <w:szCs w:val="14"/>
                <w:color w:val="auto"/>
              </w:rPr>
              <w:t>6,165</w:t>
            </w:r>
          </w:p>
        </w:tc>
        <w:tc>
          <w:tcPr>
            <w:tcW w:w="540" w:type="dxa"/>
            <w:vAlign w:val="bottom"/>
          </w:tcPr>
          <w:p>
            <w:pPr>
              <w:ind w:left="40"/>
              <w:spacing w:after="0"/>
              <w:rPr>
                <w:sz w:val="20"/>
                <w:szCs w:val="20"/>
                <w:color w:val="auto"/>
              </w:rPr>
            </w:pPr>
            <w:r>
              <w:rPr>
                <w:rFonts w:ascii="Arial" w:cs="Arial" w:eastAsia="Arial" w:hAnsi="Arial"/>
                <w:sz w:val="11"/>
                <w:szCs w:val="11"/>
                <w:color w:val="auto"/>
              </w:rPr>
              <w:t>9</w:t>
            </w:r>
          </w:p>
        </w:tc>
        <w:tc>
          <w:tcPr>
            <w:tcW w:w="1260" w:type="dxa"/>
            <w:vAlign w:val="bottom"/>
          </w:tcPr>
          <w:p>
            <w:pPr>
              <w:jc w:val="right"/>
              <w:spacing w:after="0"/>
              <w:rPr>
                <w:sz w:val="20"/>
                <w:szCs w:val="20"/>
                <w:color w:val="auto"/>
              </w:rPr>
            </w:pPr>
            <w:r>
              <w:rPr>
                <w:rFonts w:ascii="Arial" w:cs="Arial" w:eastAsia="Arial" w:hAnsi="Arial"/>
                <w:sz w:val="14"/>
                <w:szCs w:val="14"/>
                <w:color w:val="auto"/>
              </w:rPr>
              <w:t>2,191,103</w:t>
            </w:r>
          </w:p>
        </w:tc>
      </w:tr>
      <w:tr>
        <w:trPr>
          <w:trHeight w:val="188"/>
        </w:trPr>
        <w:tc>
          <w:tcPr>
            <w:tcW w:w="4900" w:type="dxa"/>
            <w:vAlign w:val="bottom"/>
          </w:tcPr>
          <w:p>
            <w:pPr>
              <w:spacing w:after="0"/>
              <w:rPr>
                <w:sz w:val="16"/>
                <w:szCs w:val="16"/>
                <w:color w:val="auto"/>
              </w:rPr>
            </w:pPr>
          </w:p>
        </w:tc>
        <w:tc>
          <w:tcPr>
            <w:tcW w:w="13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3,365</w:t>
            </w:r>
          </w:p>
        </w:tc>
        <w:tc>
          <w:tcPr>
            <w:tcW w:w="360" w:type="dxa"/>
            <w:vAlign w:val="bottom"/>
            <w:shd w:val="clear" w:color="auto" w:fill="E4E6EF"/>
          </w:tcPr>
          <w:p>
            <w:pPr>
              <w:ind w:left="40"/>
              <w:spacing w:after="0"/>
              <w:rPr>
                <w:sz w:val="20"/>
                <w:szCs w:val="20"/>
                <w:color w:val="auto"/>
              </w:rPr>
            </w:pPr>
            <w:r>
              <w:rPr>
                <w:rFonts w:ascii="Arial" w:cs="Arial" w:eastAsia="Arial" w:hAnsi="Arial"/>
                <w:sz w:val="11"/>
                <w:szCs w:val="11"/>
                <w:color w:val="auto"/>
              </w:rPr>
              <w:t>10</w:t>
            </w:r>
          </w:p>
        </w:tc>
        <w:tc>
          <w:tcPr>
            <w:tcW w:w="1960" w:type="dxa"/>
            <w:vAlign w:val="bottom"/>
            <w:shd w:val="clear" w:color="auto" w:fill="E4E6EF"/>
          </w:tcPr>
          <w:p>
            <w:pPr>
              <w:jc w:val="right"/>
              <w:ind w:right="490"/>
              <w:spacing w:after="0"/>
              <w:rPr>
                <w:sz w:val="20"/>
                <w:szCs w:val="20"/>
                <w:color w:val="auto"/>
              </w:rPr>
            </w:pPr>
            <w:r>
              <w:rPr>
                <w:rFonts w:ascii="Arial" w:cs="Arial" w:eastAsia="Arial" w:hAnsi="Arial"/>
                <w:sz w:val="14"/>
                <w:szCs w:val="14"/>
                <w:color w:val="auto"/>
              </w:rPr>
              <w:t>1,195,955</w:t>
            </w:r>
          </w:p>
        </w:tc>
        <w:tc>
          <w:tcPr>
            <w:tcW w:w="840" w:type="dxa"/>
            <w:vAlign w:val="bottom"/>
            <w:shd w:val="clear" w:color="auto" w:fill="E4E6EF"/>
          </w:tcPr>
          <w:p>
            <w:pPr>
              <w:jc w:val="right"/>
              <w:spacing w:after="0"/>
              <w:rPr>
                <w:sz w:val="20"/>
                <w:szCs w:val="20"/>
                <w:color w:val="auto"/>
              </w:rPr>
            </w:pPr>
            <w:r>
              <w:rPr>
                <w:rFonts w:ascii="Arial" w:cs="Arial" w:eastAsia="Arial" w:hAnsi="Arial"/>
                <w:sz w:val="14"/>
                <w:szCs w:val="14"/>
                <w:color w:val="auto"/>
              </w:rPr>
              <w:t>6,568</w:t>
            </w:r>
          </w:p>
        </w:tc>
        <w:tc>
          <w:tcPr>
            <w:tcW w:w="540" w:type="dxa"/>
            <w:vAlign w:val="bottom"/>
            <w:shd w:val="clear" w:color="auto" w:fill="E4E6EF"/>
          </w:tcPr>
          <w:p>
            <w:pPr>
              <w:ind w:left="40"/>
              <w:spacing w:after="0"/>
              <w:rPr>
                <w:sz w:val="20"/>
                <w:szCs w:val="20"/>
                <w:color w:val="auto"/>
              </w:rPr>
            </w:pPr>
            <w:r>
              <w:rPr>
                <w:rFonts w:ascii="Arial" w:cs="Arial" w:eastAsia="Arial" w:hAnsi="Arial"/>
                <w:sz w:val="11"/>
                <w:szCs w:val="11"/>
                <w:color w:val="auto"/>
              </w:rPr>
              <w:t>11</w:t>
            </w:r>
          </w:p>
        </w:tc>
        <w:tc>
          <w:tcPr>
            <w:tcW w:w="1260" w:type="dxa"/>
            <w:vAlign w:val="bottom"/>
            <w:shd w:val="clear" w:color="auto" w:fill="E4E6EF"/>
          </w:tcPr>
          <w:p>
            <w:pPr>
              <w:jc w:val="right"/>
              <w:spacing w:after="0"/>
              <w:rPr>
                <w:sz w:val="20"/>
                <w:szCs w:val="20"/>
                <w:color w:val="auto"/>
              </w:rPr>
            </w:pPr>
            <w:r>
              <w:rPr>
                <w:rFonts w:ascii="Arial" w:cs="Arial" w:eastAsia="Arial" w:hAnsi="Arial"/>
                <w:sz w:val="14"/>
                <w:szCs w:val="14"/>
                <w:color w:val="auto"/>
              </w:rPr>
              <w:t>2,334,333</w:t>
            </w:r>
          </w:p>
        </w:tc>
      </w:tr>
      <w:tr>
        <w:trPr>
          <w:trHeight w:val="188"/>
        </w:trPr>
        <w:tc>
          <w:tcPr>
            <w:tcW w:w="49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3,707</w:t>
            </w:r>
          </w:p>
        </w:tc>
        <w:tc>
          <w:tcPr>
            <w:tcW w:w="360" w:type="dxa"/>
            <w:vAlign w:val="bottom"/>
          </w:tcPr>
          <w:p>
            <w:pPr>
              <w:ind w:left="40"/>
              <w:spacing w:after="0"/>
              <w:rPr>
                <w:sz w:val="20"/>
                <w:szCs w:val="20"/>
                <w:color w:val="auto"/>
              </w:rPr>
            </w:pPr>
            <w:r>
              <w:rPr>
                <w:rFonts w:ascii="Arial" w:cs="Arial" w:eastAsia="Arial" w:hAnsi="Arial"/>
                <w:sz w:val="11"/>
                <w:szCs w:val="11"/>
                <w:color w:val="auto"/>
              </w:rPr>
              <w:t>13</w:t>
            </w:r>
          </w:p>
        </w:tc>
        <w:tc>
          <w:tcPr>
            <w:tcW w:w="1960" w:type="dxa"/>
            <w:vAlign w:val="bottom"/>
          </w:tcPr>
          <w:p>
            <w:pPr>
              <w:jc w:val="right"/>
              <w:ind w:right="490"/>
              <w:spacing w:after="0"/>
              <w:rPr>
                <w:sz w:val="20"/>
                <w:szCs w:val="20"/>
                <w:color w:val="auto"/>
              </w:rPr>
            </w:pPr>
            <w:r>
              <w:rPr>
                <w:rFonts w:ascii="Arial" w:cs="Arial" w:eastAsia="Arial" w:hAnsi="Arial"/>
                <w:sz w:val="14"/>
                <w:szCs w:val="14"/>
                <w:color w:val="auto"/>
              </w:rPr>
              <w:t>1,317,505</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4900" w:type="dxa"/>
            <w:vAlign w:val="bottom"/>
            <w:tcBorders>
              <w:bottom w:val="single" w:sz="8" w:color="939598"/>
            </w:tcBorders>
          </w:tcPr>
          <w:p>
            <w:pPr>
              <w:spacing w:after="0"/>
              <w:rPr>
                <w:sz w:val="16"/>
                <w:szCs w:val="16"/>
                <w:color w:val="auto"/>
              </w:rPr>
            </w:pPr>
          </w:p>
        </w:tc>
        <w:tc>
          <w:tcPr>
            <w:tcW w:w="138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10,823</w:t>
            </w:r>
          </w:p>
        </w:tc>
        <w:tc>
          <w:tcPr>
            <w:tcW w:w="360" w:type="dxa"/>
            <w:vAlign w:val="bottom"/>
            <w:tcBorders>
              <w:bottom w:val="single" w:sz="8" w:color="939598"/>
            </w:tcBorders>
            <w:shd w:val="clear" w:color="auto" w:fill="E4E6EF"/>
          </w:tcPr>
          <w:p>
            <w:pPr>
              <w:ind w:left="40"/>
              <w:spacing w:after="0"/>
              <w:rPr>
                <w:sz w:val="20"/>
                <w:szCs w:val="20"/>
                <w:color w:val="auto"/>
              </w:rPr>
            </w:pPr>
            <w:r>
              <w:rPr>
                <w:rFonts w:ascii="Arial" w:cs="Arial" w:eastAsia="Arial" w:hAnsi="Arial"/>
                <w:sz w:val="11"/>
                <w:szCs w:val="11"/>
                <w:color w:val="auto"/>
              </w:rPr>
              <w:t>14</w:t>
            </w:r>
          </w:p>
        </w:tc>
        <w:tc>
          <w:tcPr>
            <w:tcW w:w="1960" w:type="dxa"/>
            <w:vAlign w:val="bottom"/>
            <w:tcBorders>
              <w:bottom w:val="single" w:sz="8" w:color="939598"/>
            </w:tcBorders>
            <w:shd w:val="clear" w:color="auto" w:fill="E4E6EF"/>
          </w:tcPr>
          <w:p>
            <w:pPr>
              <w:jc w:val="right"/>
              <w:ind w:right="490"/>
              <w:spacing w:after="0"/>
              <w:rPr>
                <w:sz w:val="20"/>
                <w:szCs w:val="20"/>
                <w:color w:val="auto"/>
              </w:rPr>
            </w:pPr>
            <w:r>
              <w:rPr>
                <w:rFonts w:ascii="Arial" w:cs="Arial" w:eastAsia="Arial" w:hAnsi="Arial"/>
                <w:sz w:val="14"/>
                <w:szCs w:val="14"/>
                <w:color w:val="auto"/>
              </w:rPr>
              <w:t>3,846,602</w:t>
            </w:r>
          </w:p>
        </w:tc>
        <w:tc>
          <w:tcPr>
            <w:tcW w:w="84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39598"/>
            </w:tcBorders>
            <w:shd w:val="clear" w:color="auto" w:fill="E4E6EF"/>
          </w:tcPr>
          <w:p>
            <w:pPr>
              <w:spacing w:after="0"/>
              <w:rPr>
                <w:sz w:val="16"/>
                <w:szCs w:val="16"/>
                <w:color w:val="auto"/>
              </w:rPr>
            </w:pPr>
          </w:p>
        </w:tc>
        <w:tc>
          <w:tcPr>
            <w:tcW w:w="126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4900" w:type="dxa"/>
            <w:vAlign w:val="bottom"/>
          </w:tcPr>
          <w:p>
            <w:pPr>
              <w:ind w:left="20"/>
              <w:spacing w:after="0"/>
              <w:rPr>
                <w:sz w:val="20"/>
                <w:szCs w:val="20"/>
                <w:color w:val="auto"/>
              </w:rPr>
            </w:pPr>
            <w:r>
              <w:rPr>
                <w:rFonts w:ascii="Arial" w:cs="Arial" w:eastAsia="Arial" w:hAnsi="Arial"/>
                <w:sz w:val="14"/>
                <w:szCs w:val="14"/>
                <w:b w:val="1"/>
                <w:bCs w:val="1"/>
                <w:color w:val="002E6D"/>
              </w:rPr>
              <w:t>Richard F. Ambrose</w:t>
            </w:r>
          </w:p>
        </w:tc>
        <w:tc>
          <w:tcPr>
            <w:tcW w:w="1380" w:type="dxa"/>
            <w:vAlign w:val="bottom"/>
          </w:tcPr>
          <w:p>
            <w:pPr>
              <w:jc w:val="right"/>
              <w:spacing w:after="0"/>
              <w:rPr>
                <w:sz w:val="20"/>
                <w:szCs w:val="20"/>
                <w:color w:val="auto"/>
              </w:rPr>
            </w:pPr>
            <w:r>
              <w:rPr>
                <w:rFonts w:ascii="Arial" w:cs="Arial" w:eastAsia="Arial" w:hAnsi="Arial"/>
                <w:sz w:val="14"/>
                <w:szCs w:val="14"/>
                <w:color w:val="auto"/>
              </w:rPr>
              <w:t>3,369</w:t>
            </w:r>
          </w:p>
        </w:tc>
        <w:tc>
          <w:tcPr>
            <w:tcW w:w="360" w:type="dxa"/>
            <w:vAlign w:val="bottom"/>
          </w:tcPr>
          <w:p>
            <w:pPr>
              <w:ind w:left="40"/>
              <w:spacing w:after="0"/>
              <w:rPr>
                <w:sz w:val="20"/>
                <w:szCs w:val="20"/>
                <w:color w:val="auto"/>
              </w:rPr>
            </w:pPr>
            <w:r>
              <w:rPr>
                <w:rFonts w:ascii="Arial" w:cs="Arial" w:eastAsia="Arial" w:hAnsi="Arial"/>
                <w:sz w:val="11"/>
                <w:szCs w:val="11"/>
                <w:color w:val="auto"/>
              </w:rPr>
              <w:t>8</w:t>
            </w:r>
          </w:p>
        </w:tc>
        <w:tc>
          <w:tcPr>
            <w:tcW w:w="1960" w:type="dxa"/>
            <w:vAlign w:val="bottom"/>
          </w:tcPr>
          <w:p>
            <w:pPr>
              <w:jc w:val="right"/>
              <w:ind w:right="490"/>
              <w:spacing w:after="0"/>
              <w:rPr>
                <w:sz w:val="20"/>
                <w:szCs w:val="20"/>
                <w:color w:val="auto"/>
              </w:rPr>
            </w:pPr>
            <w:r>
              <w:rPr>
                <w:rFonts w:ascii="Arial" w:cs="Arial" w:eastAsia="Arial" w:hAnsi="Arial"/>
                <w:sz w:val="14"/>
                <w:szCs w:val="14"/>
                <w:color w:val="auto"/>
              </w:rPr>
              <w:t>1,197,376</w:t>
            </w:r>
          </w:p>
        </w:tc>
        <w:tc>
          <w:tcPr>
            <w:tcW w:w="840" w:type="dxa"/>
            <w:vAlign w:val="bottom"/>
          </w:tcPr>
          <w:p>
            <w:pPr>
              <w:jc w:val="right"/>
              <w:spacing w:after="0"/>
              <w:rPr>
                <w:sz w:val="20"/>
                <w:szCs w:val="20"/>
                <w:color w:val="auto"/>
              </w:rPr>
            </w:pPr>
            <w:r>
              <w:rPr>
                <w:rFonts w:ascii="Arial" w:cs="Arial" w:eastAsia="Arial" w:hAnsi="Arial"/>
                <w:sz w:val="14"/>
                <w:szCs w:val="14"/>
                <w:color w:val="auto"/>
              </w:rPr>
              <w:t>4,484</w:t>
            </w:r>
          </w:p>
        </w:tc>
        <w:tc>
          <w:tcPr>
            <w:tcW w:w="540" w:type="dxa"/>
            <w:vAlign w:val="bottom"/>
          </w:tcPr>
          <w:p>
            <w:pPr>
              <w:ind w:left="40"/>
              <w:spacing w:after="0"/>
              <w:rPr>
                <w:sz w:val="20"/>
                <w:szCs w:val="20"/>
                <w:color w:val="auto"/>
              </w:rPr>
            </w:pPr>
            <w:r>
              <w:rPr>
                <w:rFonts w:ascii="Arial" w:cs="Arial" w:eastAsia="Arial" w:hAnsi="Arial"/>
                <w:sz w:val="11"/>
                <w:szCs w:val="11"/>
                <w:color w:val="auto"/>
              </w:rPr>
              <w:t>9</w:t>
            </w:r>
          </w:p>
        </w:tc>
        <w:tc>
          <w:tcPr>
            <w:tcW w:w="1260" w:type="dxa"/>
            <w:vAlign w:val="bottom"/>
          </w:tcPr>
          <w:p>
            <w:pPr>
              <w:jc w:val="right"/>
              <w:spacing w:after="0"/>
              <w:rPr>
                <w:sz w:val="20"/>
                <w:szCs w:val="20"/>
                <w:color w:val="auto"/>
              </w:rPr>
            </w:pPr>
            <w:r>
              <w:rPr>
                <w:rFonts w:ascii="Arial" w:cs="Arial" w:eastAsia="Arial" w:hAnsi="Arial"/>
                <w:sz w:val="14"/>
                <w:szCs w:val="14"/>
                <w:color w:val="auto"/>
              </w:rPr>
              <w:t>1,593,658</w:t>
            </w:r>
          </w:p>
        </w:tc>
      </w:tr>
      <w:tr>
        <w:trPr>
          <w:trHeight w:val="188"/>
        </w:trPr>
        <w:tc>
          <w:tcPr>
            <w:tcW w:w="4900" w:type="dxa"/>
            <w:vAlign w:val="bottom"/>
          </w:tcPr>
          <w:p>
            <w:pPr>
              <w:spacing w:after="0"/>
              <w:rPr>
                <w:sz w:val="16"/>
                <w:szCs w:val="16"/>
                <w:color w:val="auto"/>
              </w:rPr>
            </w:pPr>
          </w:p>
        </w:tc>
        <w:tc>
          <w:tcPr>
            <w:tcW w:w="13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2,994</w:t>
            </w:r>
          </w:p>
        </w:tc>
        <w:tc>
          <w:tcPr>
            <w:tcW w:w="360" w:type="dxa"/>
            <w:vAlign w:val="bottom"/>
            <w:shd w:val="clear" w:color="auto" w:fill="E4E6EF"/>
          </w:tcPr>
          <w:p>
            <w:pPr>
              <w:ind w:left="40"/>
              <w:spacing w:after="0"/>
              <w:rPr>
                <w:sz w:val="20"/>
                <w:szCs w:val="20"/>
                <w:color w:val="auto"/>
              </w:rPr>
            </w:pPr>
            <w:r>
              <w:rPr>
                <w:rFonts w:ascii="Arial" w:cs="Arial" w:eastAsia="Arial" w:hAnsi="Arial"/>
                <w:sz w:val="11"/>
                <w:szCs w:val="11"/>
                <w:color w:val="auto"/>
              </w:rPr>
              <w:t>10</w:t>
            </w:r>
          </w:p>
        </w:tc>
        <w:tc>
          <w:tcPr>
            <w:tcW w:w="1960" w:type="dxa"/>
            <w:vAlign w:val="bottom"/>
            <w:shd w:val="clear" w:color="auto" w:fill="E4E6EF"/>
          </w:tcPr>
          <w:p>
            <w:pPr>
              <w:jc w:val="right"/>
              <w:ind w:right="490"/>
              <w:spacing w:after="0"/>
              <w:rPr>
                <w:sz w:val="20"/>
                <w:szCs w:val="20"/>
                <w:color w:val="auto"/>
              </w:rPr>
            </w:pPr>
            <w:r>
              <w:rPr>
                <w:rFonts w:ascii="Arial" w:cs="Arial" w:eastAsia="Arial" w:hAnsi="Arial"/>
                <w:sz w:val="14"/>
                <w:szCs w:val="14"/>
                <w:color w:val="auto"/>
              </w:rPr>
              <w:t>1,064,098</w:t>
            </w:r>
          </w:p>
        </w:tc>
        <w:tc>
          <w:tcPr>
            <w:tcW w:w="840" w:type="dxa"/>
            <w:vAlign w:val="bottom"/>
            <w:shd w:val="clear" w:color="auto" w:fill="E4E6EF"/>
          </w:tcPr>
          <w:p>
            <w:pPr>
              <w:jc w:val="right"/>
              <w:spacing w:after="0"/>
              <w:rPr>
                <w:sz w:val="20"/>
                <w:szCs w:val="20"/>
                <w:color w:val="auto"/>
              </w:rPr>
            </w:pPr>
            <w:r>
              <w:rPr>
                <w:rFonts w:ascii="Arial" w:cs="Arial" w:eastAsia="Arial" w:hAnsi="Arial"/>
                <w:sz w:val="14"/>
                <w:szCs w:val="14"/>
                <w:color w:val="auto"/>
              </w:rPr>
              <w:t>5,839</w:t>
            </w:r>
          </w:p>
        </w:tc>
        <w:tc>
          <w:tcPr>
            <w:tcW w:w="540" w:type="dxa"/>
            <w:vAlign w:val="bottom"/>
            <w:shd w:val="clear" w:color="auto" w:fill="E4E6EF"/>
          </w:tcPr>
          <w:p>
            <w:pPr>
              <w:ind w:left="40"/>
              <w:spacing w:after="0"/>
              <w:rPr>
                <w:sz w:val="20"/>
                <w:szCs w:val="20"/>
                <w:color w:val="auto"/>
              </w:rPr>
            </w:pPr>
            <w:r>
              <w:rPr>
                <w:rFonts w:ascii="Arial" w:cs="Arial" w:eastAsia="Arial" w:hAnsi="Arial"/>
                <w:sz w:val="11"/>
                <w:szCs w:val="11"/>
                <w:color w:val="auto"/>
              </w:rPr>
              <w:t>11</w:t>
            </w:r>
          </w:p>
        </w:tc>
        <w:tc>
          <w:tcPr>
            <w:tcW w:w="1260" w:type="dxa"/>
            <w:vAlign w:val="bottom"/>
            <w:shd w:val="clear" w:color="auto" w:fill="E4E6EF"/>
          </w:tcPr>
          <w:p>
            <w:pPr>
              <w:jc w:val="right"/>
              <w:spacing w:after="0"/>
              <w:rPr>
                <w:sz w:val="20"/>
                <w:szCs w:val="20"/>
                <w:color w:val="auto"/>
              </w:rPr>
            </w:pPr>
            <w:r>
              <w:rPr>
                <w:rFonts w:ascii="Arial" w:cs="Arial" w:eastAsia="Arial" w:hAnsi="Arial"/>
                <w:sz w:val="14"/>
                <w:szCs w:val="14"/>
                <w:color w:val="auto"/>
              </w:rPr>
              <w:t>2,075,239</w:t>
            </w:r>
          </w:p>
        </w:tc>
      </w:tr>
      <w:tr>
        <w:trPr>
          <w:trHeight w:val="188"/>
        </w:trPr>
        <w:tc>
          <w:tcPr>
            <w:tcW w:w="49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3,710</w:t>
            </w:r>
          </w:p>
        </w:tc>
        <w:tc>
          <w:tcPr>
            <w:tcW w:w="360" w:type="dxa"/>
            <w:vAlign w:val="bottom"/>
          </w:tcPr>
          <w:p>
            <w:pPr>
              <w:ind w:left="40"/>
              <w:spacing w:after="0"/>
              <w:rPr>
                <w:sz w:val="20"/>
                <w:szCs w:val="20"/>
                <w:color w:val="auto"/>
              </w:rPr>
            </w:pPr>
            <w:r>
              <w:rPr>
                <w:rFonts w:ascii="Arial" w:cs="Arial" w:eastAsia="Arial" w:hAnsi="Arial"/>
                <w:sz w:val="11"/>
                <w:szCs w:val="11"/>
                <w:color w:val="auto"/>
              </w:rPr>
              <w:t>13</w:t>
            </w:r>
          </w:p>
        </w:tc>
        <w:tc>
          <w:tcPr>
            <w:tcW w:w="1960" w:type="dxa"/>
            <w:vAlign w:val="bottom"/>
          </w:tcPr>
          <w:p>
            <w:pPr>
              <w:jc w:val="right"/>
              <w:ind w:right="490"/>
              <w:spacing w:after="0"/>
              <w:rPr>
                <w:sz w:val="20"/>
                <w:szCs w:val="20"/>
                <w:color w:val="auto"/>
              </w:rPr>
            </w:pPr>
            <w:r>
              <w:rPr>
                <w:rFonts w:ascii="Arial" w:cs="Arial" w:eastAsia="Arial" w:hAnsi="Arial"/>
                <w:sz w:val="14"/>
                <w:szCs w:val="14"/>
                <w:color w:val="auto"/>
              </w:rPr>
              <w:t>1,318,571</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4900" w:type="dxa"/>
            <w:vAlign w:val="bottom"/>
            <w:tcBorders>
              <w:bottom w:val="single" w:sz="8" w:color="939598"/>
            </w:tcBorders>
          </w:tcPr>
          <w:p>
            <w:pPr>
              <w:spacing w:after="0"/>
              <w:rPr>
                <w:sz w:val="16"/>
                <w:szCs w:val="16"/>
                <w:color w:val="auto"/>
              </w:rPr>
            </w:pPr>
          </w:p>
        </w:tc>
        <w:tc>
          <w:tcPr>
            <w:tcW w:w="138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10,823</w:t>
            </w:r>
          </w:p>
        </w:tc>
        <w:tc>
          <w:tcPr>
            <w:tcW w:w="360" w:type="dxa"/>
            <w:vAlign w:val="bottom"/>
            <w:tcBorders>
              <w:bottom w:val="single" w:sz="8" w:color="939598"/>
            </w:tcBorders>
            <w:shd w:val="clear" w:color="auto" w:fill="E4E6EF"/>
          </w:tcPr>
          <w:p>
            <w:pPr>
              <w:ind w:left="40"/>
              <w:spacing w:after="0"/>
              <w:rPr>
                <w:sz w:val="20"/>
                <w:szCs w:val="20"/>
                <w:color w:val="auto"/>
              </w:rPr>
            </w:pPr>
            <w:r>
              <w:rPr>
                <w:rFonts w:ascii="Arial" w:cs="Arial" w:eastAsia="Arial" w:hAnsi="Arial"/>
                <w:sz w:val="11"/>
                <w:szCs w:val="11"/>
                <w:color w:val="auto"/>
              </w:rPr>
              <w:t>14</w:t>
            </w:r>
          </w:p>
        </w:tc>
        <w:tc>
          <w:tcPr>
            <w:tcW w:w="1960" w:type="dxa"/>
            <w:vAlign w:val="bottom"/>
            <w:tcBorders>
              <w:bottom w:val="single" w:sz="8" w:color="939598"/>
            </w:tcBorders>
            <w:shd w:val="clear" w:color="auto" w:fill="E4E6EF"/>
          </w:tcPr>
          <w:p>
            <w:pPr>
              <w:jc w:val="right"/>
              <w:ind w:right="490"/>
              <w:spacing w:after="0"/>
              <w:rPr>
                <w:sz w:val="20"/>
                <w:szCs w:val="20"/>
                <w:color w:val="auto"/>
              </w:rPr>
            </w:pPr>
            <w:r>
              <w:rPr>
                <w:rFonts w:ascii="Arial" w:cs="Arial" w:eastAsia="Arial" w:hAnsi="Arial"/>
                <w:sz w:val="14"/>
                <w:szCs w:val="14"/>
                <w:color w:val="auto"/>
              </w:rPr>
              <w:t>3,846,602</w:t>
            </w:r>
          </w:p>
        </w:tc>
        <w:tc>
          <w:tcPr>
            <w:tcW w:w="84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39598"/>
            </w:tcBorders>
            <w:shd w:val="clear" w:color="auto" w:fill="E4E6EF"/>
          </w:tcPr>
          <w:p>
            <w:pPr>
              <w:spacing w:after="0"/>
              <w:rPr>
                <w:sz w:val="16"/>
                <w:szCs w:val="16"/>
                <w:color w:val="auto"/>
              </w:rPr>
            </w:pPr>
          </w:p>
        </w:tc>
        <w:tc>
          <w:tcPr>
            <w:tcW w:w="126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4900" w:type="dxa"/>
            <w:vAlign w:val="bottom"/>
          </w:tcPr>
          <w:p>
            <w:pPr>
              <w:ind w:left="20"/>
              <w:spacing w:after="0"/>
              <w:rPr>
                <w:sz w:val="20"/>
                <w:szCs w:val="20"/>
                <w:color w:val="auto"/>
              </w:rPr>
            </w:pPr>
            <w:r>
              <w:rPr>
                <w:rFonts w:ascii="Arial" w:cs="Arial" w:eastAsia="Arial" w:hAnsi="Arial"/>
                <w:sz w:val="14"/>
                <w:szCs w:val="14"/>
                <w:b w:val="1"/>
                <w:bCs w:val="1"/>
                <w:color w:val="002E6D"/>
              </w:rPr>
              <w:t>Stephanie C. Hill</w:t>
            </w:r>
          </w:p>
        </w:tc>
        <w:tc>
          <w:tcPr>
            <w:tcW w:w="1380" w:type="dxa"/>
            <w:vAlign w:val="bottom"/>
          </w:tcPr>
          <w:p>
            <w:pPr>
              <w:jc w:val="right"/>
              <w:spacing w:after="0"/>
              <w:rPr>
                <w:sz w:val="20"/>
                <w:szCs w:val="20"/>
                <w:color w:val="auto"/>
              </w:rPr>
            </w:pPr>
            <w:r>
              <w:rPr>
                <w:rFonts w:ascii="Arial" w:cs="Arial" w:eastAsia="Arial" w:hAnsi="Arial"/>
                <w:sz w:val="14"/>
                <w:szCs w:val="14"/>
                <w:color w:val="auto"/>
              </w:rPr>
              <w:t>3,359</w:t>
            </w:r>
          </w:p>
        </w:tc>
        <w:tc>
          <w:tcPr>
            <w:tcW w:w="360" w:type="dxa"/>
            <w:vAlign w:val="bottom"/>
          </w:tcPr>
          <w:p>
            <w:pPr>
              <w:ind w:left="40"/>
              <w:spacing w:after="0"/>
              <w:rPr>
                <w:sz w:val="20"/>
                <w:szCs w:val="20"/>
                <w:color w:val="auto"/>
              </w:rPr>
            </w:pPr>
            <w:r>
              <w:rPr>
                <w:rFonts w:ascii="Arial" w:cs="Arial" w:eastAsia="Arial" w:hAnsi="Arial"/>
                <w:sz w:val="11"/>
                <w:szCs w:val="11"/>
                <w:color w:val="auto"/>
              </w:rPr>
              <w:t>8</w:t>
            </w:r>
          </w:p>
        </w:tc>
        <w:tc>
          <w:tcPr>
            <w:tcW w:w="1960" w:type="dxa"/>
            <w:vAlign w:val="bottom"/>
          </w:tcPr>
          <w:p>
            <w:pPr>
              <w:jc w:val="right"/>
              <w:ind w:right="550"/>
              <w:spacing w:after="0"/>
              <w:rPr>
                <w:sz w:val="20"/>
                <w:szCs w:val="20"/>
                <w:color w:val="auto"/>
              </w:rPr>
            </w:pPr>
            <w:r>
              <w:rPr>
                <w:rFonts w:ascii="Arial" w:cs="Arial" w:eastAsia="Arial" w:hAnsi="Arial"/>
                <w:sz w:val="14"/>
                <w:szCs w:val="14"/>
                <w:color w:val="auto"/>
              </w:rPr>
              <w:t>1,193,822</w:t>
            </w:r>
          </w:p>
        </w:tc>
        <w:tc>
          <w:tcPr>
            <w:tcW w:w="840" w:type="dxa"/>
            <w:vAlign w:val="bottom"/>
          </w:tcPr>
          <w:p>
            <w:pPr>
              <w:jc w:val="right"/>
              <w:spacing w:after="0"/>
              <w:rPr>
                <w:sz w:val="20"/>
                <w:szCs w:val="20"/>
                <w:color w:val="auto"/>
              </w:rPr>
            </w:pPr>
            <w:r>
              <w:rPr>
                <w:rFonts w:ascii="Arial" w:cs="Arial" w:eastAsia="Arial" w:hAnsi="Arial"/>
                <w:sz w:val="14"/>
                <w:szCs w:val="14"/>
                <w:color w:val="auto"/>
              </w:rPr>
              <w:t>4,484</w:t>
            </w:r>
          </w:p>
        </w:tc>
        <w:tc>
          <w:tcPr>
            <w:tcW w:w="540" w:type="dxa"/>
            <w:vAlign w:val="bottom"/>
          </w:tcPr>
          <w:p>
            <w:pPr>
              <w:ind w:left="40"/>
              <w:spacing w:after="0"/>
              <w:rPr>
                <w:sz w:val="20"/>
                <w:szCs w:val="20"/>
                <w:color w:val="auto"/>
              </w:rPr>
            </w:pPr>
            <w:r>
              <w:rPr>
                <w:rFonts w:ascii="Arial" w:cs="Arial" w:eastAsia="Arial" w:hAnsi="Arial"/>
                <w:sz w:val="11"/>
                <w:szCs w:val="11"/>
                <w:color w:val="auto"/>
              </w:rPr>
              <w:t>9</w:t>
            </w:r>
          </w:p>
        </w:tc>
        <w:tc>
          <w:tcPr>
            <w:tcW w:w="1260" w:type="dxa"/>
            <w:vAlign w:val="bottom"/>
          </w:tcPr>
          <w:p>
            <w:pPr>
              <w:jc w:val="right"/>
              <w:spacing w:after="0"/>
              <w:rPr>
                <w:sz w:val="20"/>
                <w:szCs w:val="20"/>
                <w:color w:val="auto"/>
              </w:rPr>
            </w:pPr>
            <w:r>
              <w:rPr>
                <w:rFonts w:ascii="Arial" w:cs="Arial" w:eastAsia="Arial" w:hAnsi="Arial"/>
                <w:sz w:val="14"/>
                <w:szCs w:val="14"/>
                <w:color w:val="auto"/>
              </w:rPr>
              <w:t>1,593,658</w:t>
            </w:r>
          </w:p>
        </w:tc>
      </w:tr>
      <w:tr>
        <w:trPr>
          <w:trHeight w:val="188"/>
        </w:trPr>
        <w:tc>
          <w:tcPr>
            <w:tcW w:w="4900" w:type="dxa"/>
            <w:vAlign w:val="bottom"/>
          </w:tcPr>
          <w:p>
            <w:pPr>
              <w:spacing w:after="0"/>
              <w:rPr>
                <w:sz w:val="16"/>
                <w:szCs w:val="16"/>
                <w:color w:val="auto"/>
              </w:rPr>
            </w:pPr>
          </w:p>
        </w:tc>
        <w:tc>
          <w:tcPr>
            <w:tcW w:w="13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820</w:t>
            </w:r>
          </w:p>
        </w:tc>
        <w:tc>
          <w:tcPr>
            <w:tcW w:w="360" w:type="dxa"/>
            <w:vAlign w:val="bottom"/>
            <w:shd w:val="clear" w:color="auto" w:fill="E4E6EF"/>
          </w:tcPr>
          <w:p>
            <w:pPr>
              <w:ind w:left="40"/>
              <w:spacing w:after="0"/>
              <w:rPr>
                <w:sz w:val="20"/>
                <w:szCs w:val="20"/>
                <w:color w:val="auto"/>
              </w:rPr>
            </w:pPr>
            <w:r>
              <w:rPr>
                <w:rFonts w:ascii="Arial" w:cs="Arial" w:eastAsia="Arial" w:hAnsi="Arial"/>
                <w:sz w:val="11"/>
                <w:szCs w:val="11"/>
                <w:color w:val="auto"/>
              </w:rPr>
              <w:t>10</w:t>
            </w:r>
          </w:p>
        </w:tc>
        <w:tc>
          <w:tcPr>
            <w:tcW w:w="1960" w:type="dxa"/>
            <w:vAlign w:val="bottom"/>
            <w:shd w:val="clear" w:color="auto" w:fill="E4E6EF"/>
          </w:tcPr>
          <w:p>
            <w:pPr>
              <w:jc w:val="right"/>
              <w:ind w:right="550"/>
              <w:spacing w:after="0"/>
              <w:rPr>
                <w:sz w:val="20"/>
                <w:szCs w:val="20"/>
                <w:color w:val="auto"/>
              </w:rPr>
            </w:pPr>
            <w:r>
              <w:rPr>
                <w:rFonts w:ascii="Arial" w:cs="Arial" w:eastAsia="Arial" w:hAnsi="Arial"/>
                <w:sz w:val="14"/>
                <w:szCs w:val="14"/>
                <w:color w:val="auto"/>
              </w:rPr>
              <w:t>291,436</w:t>
            </w:r>
          </w:p>
        </w:tc>
        <w:tc>
          <w:tcPr>
            <w:tcW w:w="840" w:type="dxa"/>
            <w:vAlign w:val="bottom"/>
            <w:shd w:val="clear" w:color="auto" w:fill="E4E6EF"/>
          </w:tcPr>
          <w:p>
            <w:pPr>
              <w:jc w:val="right"/>
              <w:spacing w:after="0"/>
              <w:rPr>
                <w:sz w:val="20"/>
                <w:szCs w:val="20"/>
                <w:color w:val="auto"/>
              </w:rPr>
            </w:pPr>
            <w:r>
              <w:rPr>
                <w:rFonts w:ascii="Arial" w:cs="Arial" w:eastAsia="Arial" w:hAnsi="Arial"/>
                <w:sz w:val="14"/>
                <w:szCs w:val="14"/>
                <w:color w:val="auto"/>
              </w:rPr>
              <w:t>1,607</w:t>
            </w:r>
          </w:p>
        </w:tc>
        <w:tc>
          <w:tcPr>
            <w:tcW w:w="540" w:type="dxa"/>
            <w:vAlign w:val="bottom"/>
            <w:shd w:val="clear" w:color="auto" w:fill="E4E6EF"/>
          </w:tcPr>
          <w:p>
            <w:pPr>
              <w:ind w:left="40"/>
              <w:spacing w:after="0"/>
              <w:rPr>
                <w:sz w:val="20"/>
                <w:szCs w:val="20"/>
                <w:color w:val="auto"/>
              </w:rPr>
            </w:pPr>
            <w:r>
              <w:rPr>
                <w:rFonts w:ascii="Arial" w:cs="Arial" w:eastAsia="Arial" w:hAnsi="Arial"/>
                <w:sz w:val="11"/>
                <w:szCs w:val="11"/>
                <w:color w:val="auto"/>
              </w:rPr>
              <w:t>11</w:t>
            </w:r>
          </w:p>
        </w:tc>
        <w:tc>
          <w:tcPr>
            <w:tcW w:w="1260" w:type="dxa"/>
            <w:vAlign w:val="bottom"/>
            <w:shd w:val="clear" w:color="auto" w:fill="E4E6EF"/>
          </w:tcPr>
          <w:p>
            <w:pPr>
              <w:jc w:val="right"/>
              <w:spacing w:after="0"/>
              <w:rPr>
                <w:sz w:val="20"/>
                <w:szCs w:val="20"/>
                <w:color w:val="auto"/>
              </w:rPr>
            </w:pPr>
            <w:r>
              <w:rPr>
                <w:rFonts w:ascii="Arial" w:cs="Arial" w:eastAsia="Arial" w:hAnsi="Arial"/>
                <w:sz w:val="14"/>
                <w:szCs w:val="14"/>
                <w:color w:val="auto"/>
              </w:rPr>
              <w:t>571,144</w:t>
            </w:r>
          </w:p>
        </w:tc>
      </w:tr>
      <w:tr>
        <w:trPr>
          <w:trHeight w:val="188"/>
        </w:trPr>
        <w:tc>
          <w:tcPr>
            <w:tcW w:w="49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5,411</w:t>
            </w:r>
          </w:p>
        </w:tc>
        <w:tc>
          <w:tcPr>
            <w:tcW w:w="360" w:type="dxa"/>
            <w:vAlign w:val="bottom"/>
          </w:tcPr>
          <w:p>
            <w:pPr>
              <w:ind w:left="40"/>
              <w:spacing w:after="0"/>
              <w:rPr>
                <w:sz w:val="20"/>
                <w:szCs w:val="20"/>
                <w:color w:val="auto"/>
              </w:rPr>
            </w:pPr>
            <w:r>
              <w:rPr>
                <w:rFonts w:ascii="Arial" w:cs="Arial" w:eastAsia="Arial" w:hAnsi="Arial"/>
                <w:sz w:val="11"/>
                <w:szCs w:val="11"/>
                <w:color w:val="auto"/>
              </w:rPr>
              <w:t>12</w:t>
            </w:r>
          </w:p>
        </w:tc>
        <w:tc>
          <w:tcPr>
            <w:tcW w:w="1960" w:type="dxa"/>
            <w:vAlign w:val="bottom"/>
          </w:tcPr>
          <w:p>
            <w:pPr>
              <w:jc w:val="right"/>
              <w:ind w:right="550"/>
              <w:spacing w:after="0"/>
              <w:rPr>
                <w:sz w:val="20"/>
                <w:szCs w:val="20"/>
                <w:color w:val="auto"/>
              </w:rPr>
            </w:pPr>
            <w:r>
              <w:rPr>
                <w:rFonts w:ascii="Arial" w:cs="Arial" w:eastAsia="Arial" w:hAnsi="Arial"/>
                <w:sz w:val="14"/>
                <w:szCs w:val="14"/>
                <w:color w:val="auto"/>
              </w:rPr>
              <w:t>1,923,124</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4900" w:type="dxa"/>
            <w:vAlign w:val="bottom"/>
          </w:tcPr>
          <w:p>
            <w:pPr>
              <w:spacing w:after="0"/>
              <w:rPr>
                <w:sz w:val="16"/>
                <w:szCs w:val="16"/>
                <w:color w:val="auto"/>
              </w:rPr>
            </w:pPr>
          </w:p>
        </w:tc>
        <w:tc>
          <w:tcPr>
            <w:tcW w:w="13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1,649</w:t>
            </w:r>
          </w:p>
        </w:tc>
        <w:tc>
          <w:tcPr>
            <w:tcW w:w="360" w:type="dxa"/>
            <w:vAlign w:val="bottom"/>
            <w:shd w:val="clear" w:color="auto" w:fill="E4E6EF"/>
          </w:tcPr>
          <w:p>
            <w:pPr>
              <w:ind w:left="40"/>
              <w:spacing w:after="0"/>
              <w:rPr>
                <w:sz w:val="20"/>
                <w:szCs w:val="20"/>
                <w:color w:val="auto"/>
              </w:rPr>
            </w:pPr>
            <w:r>
              <w:rPr>
                <w:rFonts w:ascii="Arial" w:cs="Arial" w:eastAsia="Arial" w:hAnsi="Arial"/>
                <w:sz w:val="11"/>
                <w:szCs w:val="11"/>
                <w:color w:val="auto"/>
              </w:rPr>
              <w:t>13</w:t>
            </w:r>
          </w:p>
        </w:tc>
        <w:tc>
          <w:tcPr>
            <w:tcW w:w="1960" w:type="dxa"/>
            <w:vAlign w:val="bottom"/>
            <w:shd w:val="clear" w:color="auto" w:fill="E4E6EF"/>
          </w:tcPr>
          <w:p>
            <w:pPr>
              <w:jc w:val="right"/>
              <w:ind w:right="550"/>
              <w:spacing w:after="0"/>
              <w:rPr>
                <w:sz w:val="20"/>
                <w:szCs w:val="20"/>
                <w:color w:val="auto"/>
              </w:rPr>
            </w:pPr>
            <w:r>
              <w:rPr>
                <w:rFonts w:ascii="Arial" w:cs="Arial" w:eastAsia="Arial" w:hAnsi="Arial"/>
                <w:sz w:val="14"/>
                <w:szCs w:val="14"/>
                <w:color w:val="auto"/>
              </w:rPr>
              <w:t>586,071</w:t>
            </w:r>
          </w:p>
        </w:tc>
        <w:tc>
          <w:tcPr>
            <w:tcW w:w="84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E4E6EF"/>
          </w:tcPr>
          <w:p>
            <w:pPr>
              <w:spacing w:after="0"/>
              <w:rPr>
                <w:sz w:val="16"/>
                <w:szCs w:val="16"/>
                <w:color w:val="auto"/>
              </w:rPr>
            </w:pPr>
          </w:p>
        </w:tc>
        <w:tc>
          <w:tcPr>
            <w:tcW w:w="1260" w:type="dxa"/>
            <w:vAlign w:val="bottom"/>
            <w:shd w:val="clear" w:color="auto" w:fill="E4E6E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4900" w:type="dxa"/>
            <w:vAlign w:val="bottom"/>
            <w:tcBorders>
              <w:bottom w:val="single" w:sz="8" w:color="939598"/>
            </w:tcBorders>
          </w:tcPr>
          <w:p>
            <w:pPr>
              <w:spacing w:after="0"/>
              <w:rPr>
                <w:sz w:val="16"/>
                <w:szCs w:val="16"/>
                <w:color w:val="auto"/>
              </w:rPr>
            </w:pPr>
          </w:p>
        </w:tc>
        <w:tc>
          <w:tcPr>
            <w:tcW w:w="13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580</w:t>
            </w:r>
          </w:p>
        </w:tc>
        <w:tc>
          <w:tcPr>
            <w:tcW w:w="360" w:type="dxa"/>
            <w:vAlign w:val="bottom"/>
            <w:tcBorders>
              <w:bottom w:val="single" w:sz="8" w:color="939598"/>
            </w:tcBorders>
          </w:tcPr>
          <w:p>
            <w:pPr>
              <w:ind w:left="40"/>
              <w:spacing w:after="0"/>
              <w:rPr>
                <w:sz w:val="20"/>
                <w:szCs w:val="20"/>
                <w:color w:val="auto"/>
              </w:rPr>
            </w:pPr>
            <w:r>
              <w:rPr>
                <w:rFonts w:ascii="Arial" w:cs="Arial" w:eastAsia="Arial" w:hAnsi="Arial"/>
                <w:sz w:val="11"/>
                <w:szCs w:val="11"/>
                <w:color w:val="auto"/>
              </w:rPr>
              <w:t>14</w:t>
            </w:r>
          </w:p>
        </w:tc>
        <w:tc>
          <w:tcPr>
            <w:tcW w:w="1960" w:type="dxa"/>
            <w:vAlign w:val="bottom"/>
            <w:tcBorders>
              <w:bottom w:val="single" w:sz="8" w:color="939598"/>
            </w:tcBorders>
          </w:tcPr>
          <w:p>
            <w:pPr>
              <w:jc w:val="right"/>
              <w:ind w:right="550"/>
              <w:spacing w:after="0"/>
              <w:rPr>
                <w:sz w:val="20"/>
                <w:szCs w:val="20"/>
                <w:color w:val="auto"/>
              </w:rPr>
            </w:pPr>
            <w:r>
              <w:rPr>
                <w:rFonts w:ascii="Arial" w:cs="Arial" w:eastAsia="Arial" w:hAnsi="Arial"/>
                <w:sz w:val="14"/>
                <w:szCs w:val="14"/>
                <w:color w:val="auto"/>
              </w:rPr>
              <w:t>206,138</w:t>
            </w:r>
          </w:p>
        </w:tc>
        <w:tc>
          <w:tcPr>
            <w:tcW w:w="8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39598"/>
            </w:tcBorders>
          </w:tcPr>
          <w:p>
            <w:pPr>
              <w:spacing w:after="0"/>
              <w:rPr>
                <w:sz w:val="16"/>
                <w:szCs w:val="16"/>
                <w:color w:val="auto"/>
              </w:rPr>
            </w:pPr>
          </w:p>
        </w:tc>
        <w:tc>
          <w:tcPr>
            <w:tcW w:w="126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4900" w:type="dxa"/>
            <w:vAlign w:val="bottom"/>
          </w:tcPr>
          <w:p>
            <w:pPr>
              <w:ind w:left="20"/>
              <w:spacing w:after="0"/>
              <w:rPr>
                <w:sz w:val="20"/>
                <w:szCs w:val="20"/>
                <w:color w:val="auto"/>
              </w:rPr>
            </w:pPr>
            <w:r>
              <w:rPr>
                <w:rFonts w:ascii="Arial" w:cs="Arial" w:eastAsia="Arial" w:hAnsi="Arial"/>
                <w:sz w:val="14"/>
                <w:szCs w:val="14"/>
                <w:b w:val="1"/>
                <w:bCs w:val="1"/>
                <w:color w:val="002E6D"/>
              </w:rPr>
              <w:t>Marillyn A. Hewson</w:t>
            </w:r>
          </w:p>
        </w:tc>
        <w:tc>
          <w:tcPr>
            <w:tcW w:w="1380" w:type="dxa"/>
            <w:vAlign w:val="bottom"/>
            <w:shd w:val="clear" w:color="auto" w:fill="E4E6EF"/>
          </w:tcPr>
          <w:p>
            <w:pPr>
              <w:jc w:val="right"/>
              <w:spacing w:after="0"/>
              <w:rPr>
                <w:sz w:val="20"/>
                <w:szCs w:val="20"/>
                <w:color w:val="auto"/>
              </w:rPr>
            </w:pPr>
            <w:r>
              <w:rPr>
                <w:rFonts w:ascii="Arial" w:cs="Arial" w:eastAsia="Arial" w:hAnsi="Arial"/>
                <w:sz w:val="14"/>
                <w:szCs w:val="14"/>
                <w:color w:val="auto"/>
              </w:rPr>
              <w:t>11,263</w:t>
            </w:r>
          </w:p>
        </w:tc>
        <w:tc>
          <w:tcPr>
            <w:tcW w:w="360" w:type="dxa"/>
            <w:vAlign w:val="bottom"/>
            <w:shd w:val="clear" w:color="auto" w:fill="E4E6EF"/>
          </w:tcPr>
          <w:p>
            <w:pPr>
              <w:ind w:left="40"/>
              <w:spacing w:after="0"/>
              <w:rPr>
                <w:sz w:val="20"/>
                <w:szCs w:val="20"/>
                <w:color w:val="auto"/>
              </w:rPr>
            </w:pPr>
            <w:r>
              <w:rPr>
                <w:rFonts w:ascii="Arial" w:cs="Arial" w:eastAsia="Arial" w:hAnsi="Arial"/>
                <w:sz w:val="11"/>
                <w:szCs w:val="11"/>
                <w:color w:val="auto"/>
              </w:rPr>
              <w:t>10</w:t>
            </w:r>
          </w:p>
        </w:tc>
        <w:tc>
          <w:tcPr>
            <w:tcW w:w="1960" w:type="dxa"/>
            <w:vAlign w:val="bottom"/>
            <w:shd w:val="clear" w:color="auto" w:fill="E4E6EF"/>
          </w:tcPr>
          <w:p>
            <w:pPr>
              <w:jc w:val="right"/>
              <w:ind w:right="550"/>
              <w:spacing w:after="0"/>
              <w:rPr>
                <w:sz w:val="20"/>
                <w:szCs w:val="20"/>
                <w:color w:val="auto"/>
              </w:rPr>
            </w:pPr>
            <w:r>
              <w:rPr>
                <w:rFonts w:ascii="Arial" w:cs="Arial" w:eastAsia="Arial" w:hAnsi="Arial"/>
                <w:sz w:val="14"/>
                <w:szCs w:val="14"/>
                <w:color w:val="auto"/>
              </w:rPr>
              <w:t>4,002,983</w:t>
            </w:r>
          </w:p>
        </w:tc>
        <w:tc>
          <w:tcPr>
            <w:tcW w:w="840" w:type="dxa"/>
            <w:vAlign w:val="bottom"/>
            <w:shd w:val="clear" w:color="auto" w:fill="E4E6EF"/>
          </w:tcPr>
          <w:p>
            <w:pPr>
              <w:jc w:val="right"/>
              <w:spacing w:after="0"/>
              <w:rPr>
                <w:sz w:val="20"/>
                <w:szCs w:val="20"/>
                <w:color w:val="auto"/>
              </w:rPr>
            </w:pPr>
            <w:r>
              <w:rPr>
                <w:rFonts w:ascii="Arial" w:cs="Arial" w:eastAsia="Arial" w:hAnsi="Arial"/>
                <w:sz w:val="14"/>
                <w:szCs w:val="14"/>
                <w:color w:val="auto"/>
              </w:rPr>
              <w:t>21,891</w:t>
            </w:r>
          </w:p>
        </w:tc>
        <w:tc>
          <w:tcPr>
            <w:tcW w:w="540" w:type="dxa"/>
            <w:vAlign w:val="bottom"/>
            <w:shd w:val="clear" w:color="auto" w:fill="E4E6EF"/>
          </w:tcPr>
          <w:p>
            <w:pPr>
              <w:ind w:left="40"/>
              <w:spacing w:after="0"/>
              <w:rPr>
                <w:sz w:val="20"/>
                <w:szCs w:val="20"/>
                <w:color w:val="auto"/>
              </w:rPr>
            </w:pPr>
            <w:r>
              <w:rPr>
                <w:rFonts w:ascii="Arial" w:cs="Arial" w:eastAsia="Arial" w:hAnsi="Arial"/>
                <w:sz w:val="11"/>
                <w:szCs w:val="11"/>
                <w:color w:val="auto"/>
              </w:rPr>
              <w:t>11</w:t>
            </w:r>
          </w:p>
        </w:tc>
        <w:tc>
          <w:tcPr>
            <w:tcW w:w="1260" w:type="dxa"/>
            <w:vAlign w:val="bottom"/>
            <w:shd w:val="clear" w:color="auto" w:fill="E4E6EF"/>
          </w:tcPr>
          <w:p>
            <w:pPr>
              <w:jc w:val="right"/>
              <w:spacing w:after="0"/>
              <w:rPr>
                <w:sz w:val="20"/>
                <w:szCs w:val="20"/>
                <w:color w:val="auto"/>
              </w:rPr>
            </w:pPr>
            <w:r>
              <w:rPr>
                <w:rFonts w:ascii="Arial" w:cs="Arial" w:eastAsia="Arial" w:hAnsi="Arial"/>
                <w:sz w:val="14"/>
                <w:szCs w:val="14"/>
                <w:color w:val="auto"/>
              </w:rPr>
              <w:t>7,780,280</w:t>
            </w:r>
          </w:p>
        </w:tc>
      </w:tr>
      <w:tr>
        <w:trPr>
          <w:trHeight w:val="188"/>
        </w:trPr>
        <w:tc>
          <w:tcPr>
            <w:tcW w:w="49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13,509</w:t>
            </w:r>
          </w:p>
        </w:tc>
        <w:tc>
          <w:tcPr>
            <w:tcW w:w="360" w:type="dxa"/>
            <w:vAlign w:val="bottom"/>
          </w:tcPr>
          <w:p>
            <w:pPr>
              <w:ind w:left="40"/>
              <w:spacing w:after="0"/>
              <w:rPr>
                <w:sz w:val="20"/>
                <w:szCs w:val="20"/>
                <w:color w:val="auto"/>
              </w:rPr>
            </w:pPr>
            <w:r>
              <w:rPr>
                <w:rFonts w:ascii="Arial" w:cs="Arial" w:eastAsia="Arial" w:hAnsi="Arial"/>
                <w:sz w:val="11"/>
                <w:szCs w:val="11"/>
                <w:color w:val="auto"/>
              </w:rPr>
              <w:t>13</w:t>
            </w:r>
          </w:p>
        </w:tc>
        <w:tc>
          <w:tcPr>
            <w:tcW w:w="1960" w:type="dxa"/>
            <w:vAlign w:val="bottom"/>
          </w:tcPr>
          <w:p>
            <w:pPr>
              <w:jc w:val="right"/>
              <w:ind w:right="550"/>
              <w:spacing w:after="0"/>
              <w:rPr>
                <w:sz w:val="20"/>
                <w:szCs w:val="20"/>
                <w:color w:val="auto"/>
              </w:rPr>
            </w:pPr>
            <w:r>
              <w:rPr>
                <w:rFonts w:ascii="Arial" w:cs="Arial" w:eastAsia="Arial" w:hAnsi="Arial"/>
                <w:sz w:val="14"/>
                <w:szCs w:val="14"/>
                <w:color w:val="auto"/>
              </w:rPr>
              <w:t>4,801,234</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4900" w:type="dxa"/>
            <w:vAlign w:val="bottom"/>
            <w:tcBorders>
              <w:bottom w:val="single" w:sz="8" w:color="939598"/>
            </w:tcBorders>
          </w:tcPr>
          <w:p>
            <w:pPr>
              <w:spacing w:after="0"/>
              <w:rPr>
                <w:sz w:val="16"/>
                <w:szCs w:val="16"/>
                <w:color w:val="auto"/>
              </w:rPr>
            </w:pPr>
          </w:p>
        </w:tc>
        <w:tc>
          <w:tcPr>
            <w:tcW w:w="138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39,425</w:t>
            </w:r>
          </w:p>
        </w:tc>
        <w:tc>
          <w:tcPr>
            <w:tcW w:w="360" w:type="dxa"/>
            <w:vAlign w:val="bottom"/>
            <w:tcBorders>
              <w:bottom w:val="single" w:sz="8" w:color="939598"/>
            </w:tcBorders>
            <w:shd w:val="clear" w:color="auto" w:fill="E4E6EF"/>
          </w:tcPr>
          <w:p>
            <w:pPr>
              <w:ind w:left="40"/>
              <w:spacing w:after="0"/>
              <w:rPr>
                <w:sz w:val="20"/>
                <w:szCs w:val="20"/>
                <w:color w:val="auto"/>
              </w:rPr>
            </w:pPr>
            <w:r>
              <w:rPr>
                <w:rFonts w:ascii="Arial" w:cs="Arial" w:eastAsia="Arial" w:hAnsi="Arial"/>
                <w:sz w:val="11"/>
                <w:szCs w:val="11"/>
                <w:color w:val="auto"/>
              </w:rPr>
              <w:t>14</w:t>
            </w:r>
          </w:p>
        </w:tc>
        <w:tc>
          <w:tcPr>
            <w:tcW w:w="1960" w:type="dxa"/>
            <w:vAlign w:val="bottom"/>
            <w:tcBorders>
              <w:bottom w:val="single" w:sz="8" w:color="939598"/>
            </w:tcBorders>
            <w:shd w:val="clear" w:color="auto" w:fill="E4E6EF"/>
          </w:tcPr>
          <w:p>
            <w:pPr>
              <w:jc w:val="right"/>
              <w:ind w:right="550"/>
              <w:spacing w:after="0"/>
              <w:rPr>
                <w:sz w:val="20"/>
                <w:szCs w:val="20"/>
                <w:color w:val="auto"/>
              </w:rPr>
            </w:pPr>
            <w:r>
              <w:rPr>
                <w:rFonts w:ascii="Arial" w:cs="Arial" w:eastAsia="Arial" w:hAnsi="Arial"/>
                <w:sz w:val="14"/>
                <w:szCs w:val="14"/>
                <w:color w:val="auto"/>
              </w:rPr>
              <w:t>14,012,039</w:t>
            </w:r>
          </w:p>
        </w:tc>
        <w:tc>
          <w:tcPr>
            <w:tcW w:w="84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939598"/>
            </w:tcBorders>
            <w:shd w:val="clear" w:color="auto" w:fill="E4E6EF"/>
          </w:tcPr>
          <w:p>
            <w:pPr>
              <w:spacing w:after="0"/>
              <w:rPr>
                <w:sz w:val="16"/>
                <w:szCs w:val="16"/>
                <w:color w:val="auto"/>
              </w:rPr>
            </w:pPr>
          </w:p>
        </w:tc>
        <w:tc>
          <w:tcPr>
            <w:tcW w:w="126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w:t>
            </w:r>
          </w:p>
        </w:tc>
      </w:tr>
    </w:tbl>
    <w:p>
      <w:pPr>
        <w:spacing w:after="0" w:line="193" w:lineRule="exact"/>
        <w:rPr>
          <w:sz w:val="20"/>
          <w:szCs w:val="20"/>
          <w:color w:val="auto"/>
        </w:rPr>
      </w:pPr>
    </w:p>
    <w:p>
      <w:pPr>
        <w:ind w:left="240" w:right="180" w:hanging="233"/>
        <w:spacing w:after="0" w:line="231" w:lineRule="auto"/>
        <w:tabs>
          <w:tab w:leader="none" w:pos="246"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Includes all unvested RSUs as well as the PSUs granted on February 21, 2019 for the 2019-2021 performance period. The vesting period for the PSUs ended on February 21, 2022 and the performance period ended on December 31, 2021. The number of shares shown in this column for the 2019-2021 PSUs is the number of shares earned under the PSU metrics and paid upon vesting.</w:t>
      </w:r>
    </w:p>
    <w:p>
      <w:pPr>
        <w:spacing w:after="0" w:line="57" w:lineRule="exact"/>
        <w:rPr>
          <w:rFonts w:ascii="Arial" w:cs="Arial" w:eastAsia="Arial" w:hAnsi="Arial"/>
          <w:sz w:val="19"/>
          <w:szCs w:val="19"/>
          <w:color w:val="auto"/>
          <w:vertAlign w:val="superscript"/>
        </w:rPr>
      </w:pPr>
    </w:p>
    <w:p>
      <w:pPr>
        <w:ind w:left="240" w:right="80" w:hanging="233"/>
        <w:spacing w:after="0" w:line="231" w:lineRule="auto"/>
        <w:tabs>
          <w:tab w:leader="none" w:pos="246"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The market value shown in this column is calculated by multiplying the number of shares shown in the preceding column by the December 31, 2021 per share closing price of our stock ($355.41). NEOs also receive a cash payment for deferred dividend equivalents accrued through the end of the performance period for PSUs and the end of the vesting period for RSUs.</w:t>
      </w:r>
    </w:p>
    <w:p>
      <w:pPr>
        <w:spacing w:after="0" w:line="57" w:lineRule="exact"/>
        <w:rPr>
          <w:rFonts w:ascii="Arial" w:cs="Arial" w:eastAsia="Arial" w:hAnsi="Arial"/>
          <w:sz w:val="19"/>
          <w:szCs w:val="19"/>
          <w:color w:val="auto"/>
          <w:vertAlign w:val="superscript"/>
        </w:rPr>
      </w:pPr>
    </w:p>
    <w:p>
      <w:pPr>
        <w:ind w:left="240" w:right="20" w:hanging="233"/>
        <w:spacing w:after="0" w:line="238" w:lineRule="auto"/>
        <w:tabs>
          <w:tab w:leader="none" w:pos="246"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Represents PSUs granted on February 25, 2021 for the 2021-2023 performance period and on February 27, 2020 and July 27, 2020 for the 2020-2022 performance period; the PSUs are earned and paid out in shares of our common stock at the end of the three-year vesting period based upon performance on three separate metrics (Relative TSR, Performance Cash, and ROIC). The number of shares of stock shown in this column is based upon the threshold level of performance for each of the three metrics or, if performance on the metric has exceeded the threshold level as of December 31, 2021, the estimated level of performance as of December 31, 2021.</w:t>
      </w:r>
    </w:p>
    <w:p>
      <w:pPr>
        <w:spacing w:after="0" w:line="56" w:lineRule="exact"/>
        <w:rPr>
          <w:rFonts w:ascii="Arial" w:cs="Arial" w:eastAsia="Arial" w:hAnsi="Arial"/>
          <w:sz w:val="19"/>
          <w:szCs w:val="19"/>
          <w:color w:val="auto"/>
          <w:vertAlign w:val="superscript"/>
        </w:rPr>
      </w:pPr>
    </w:p>
    <w:p>
      <w:pPr>
        <w:ind w:left="240" w:right="100" w:hanging="233"/>
        <w:spacing w:after="0" w:line="219" w:lineRule="auto"/>
        <w:tabs>
          <w:tab w:leader="none" w:pos="246" w:val="left"/>
        </w:tabs>
        <w:numPr>
          <w:ilvl w:val="0"/>
          <w:numId w:val="103"/>
        </w:numPr>
        <w:rPr>
          <w:rFonts w:ascii="Arial" w:cs="Arial" w:eastAsia="Arial" w:hAnsi="Arial"/>
          <w:sz w:val="19"/>
          <w:szCs w:val="19"/>
          <w:color w:val="auto"/>
          <w:vertAlign w:val="superscript"/>
        </w:rPr>
      </w:pPr>
      <w:r>
        <w:rPr>
          <w:rFonts w:ascii="Arial" w:cs="Arial" w:eastAsia="Arial" w:hAnsi="Arial"/>
          <w:sz w:val="14"/>
          <w:szCs w:val="14"/>
          <w:color w:val="auto"/>
        </w:rPr>
        <w:t>The market value shown in this column is calculated by multiplying the number of PSUs reported in the preceding column by the December 31, 2021 per share closing price of our stock ($355.41). NEOs also receive cash payment for deferred dividend equivalents accrued through the end of the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238125</wp:posOffset>
            </wp:positionV>
            <wp:extent cx="963930" cy="2216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59</w:t>
      </w:r>
    </w:p>
    <w:p>
      <w:pPr>
        <w:sectPr>
          <w:pgSz w:w="11900" w:h="16838" w:orient="portrait"/>
          <w:cols w:equalWidth="0" w:num="1">
            <w:col w:w="11240"/>
          </w:cols>
          <w:pgMar w:left="320" w:top="254" w:right="339" w:bottom="1440" w:gutter="0" w:footer="0" w:header="0"/>
        </w:sectPr>
      </w:pPr>
    </w:p>
    <w:bookmarkStart w:id="65" w:name="page66"/>
    <w:bookmarkEnd w:id="65"/>
    <w:p>
      <w:pPr>
        <w:ind w:left="100"/>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5" w:lineRule="exact"/>
        <w:rPr>
          <w:sz w:val="20"/>
          <w:szCs w:val="20"/>
          <w:color w:val="auto"/>
        </w:rPr>
      </w:pPr>
    </w:p>
    <w:p>
      <w:pPr>
        <w:ind w:left="340" w:right="360" w:hanging="233"/>
        <w:spacing w:after="0" w:line="219" w:lineRule="auto"/>
        <w:tabs>
          <w:tab w:leader="none" w:pos="346" w:val="left"/>
        </w:tabs>
        <w:numPr>
          <w:ilvl w:val="0"/>
          <w:numId w:val="104"/>
        </w:numPr>
        <w:rPr>
          <w:rFonts w:ascii="Arial" w:cs="Arial" w:eastAsia="Arial" w:hAnsi="Arial"/>
          <w:sz w:val="19"/>
          <w:szCs w:val="19"/>
          <w:color w:val="auto"/>
          <w:vertAlign w:val="superscript"/>
        </w:rPr>
      </w:pPr>
      <w:r>
        <w:rPr>
          <w:rFonts w:ascii="Arial" w:cs="Arial" w:eastAsia="Arial" w:hAnsi="Arial"/>
          <w:sz w:val="14"/>
          <w:szCs w:val="14"/>
          <w:color w:val="auto"/>
        </w:rPr>
        <w:t>Represents RSUs granted on July 27, 2020, which vest on July 27, 2023, except that vesting may occur earlier as described in the “2021 Grants of Plan-Based Awards” table.</w:t>
      </w:r>
    </w:p>
    <w:p>
      <w:pPr>
        <w:spacing w:after="0" w:line="56" w:lineRule="exact"/>
        <w:rPr>
          <w:rFonts w:ascii="Arial" w:cs="Arial" w:eastAsia="Arial" w:hAnsi="Arial"/>
          <w:sz w:val="19"/>
          <w:szCs w:val="19"/>
          <w:color w:val="auto"/>
          <w:vertAlign w:val="superscript"/>
        </w:rPr>
      </w:pPr>
    </w:p>
    <w:p>
      <w:pPr>
        <w:ind w:left="340" w:right="320" w:hanging="233"/>
        <w:spacing w:after="0" w:line="219" w:lineRule="auto"/>
        <w:tabs>
          <w:tab w:leader="none" w:pos="346" w:val="left"/>
        </w:tabs>
        <w:numPr>
          <w:ilvl w:val="0"/>
          <w:numId w:val="104"/>
        </w:numPr>
        <w:rPr>
          <w:rFonts w:ascii="Arial" w:cs="Arial" w:eastAsia="Arial" w:hAnsi="Arial"/>
          <w:sz w:val="19"/>
          <w:szCs w:val="19"/>
          <w:color w:val="auto"/>
          <w:vertAlign w:val="superscript"/>
        </w:rPr>
      </w:pPr>
      <w:r>
        <w:rPr>
          <w:rFonts w:ascii="Arial" w:cs="Arial" w:eastAsia="Arial" w:hAnsi="Arial"/>
          <w:sz w:val="14"/>
          <w:szCs w:val="14"/>
          <w:color w:val="auto"/>
        </w:rPr>
        <w:t>Represents PSUs granted on July 27, 2020 that have a performance period through December 31, 2022 and a vesting date of February 27, 2023 but provide for pro rata payments for certain terminations as described in the “2021 Grants of Plan-Based Awards” table.</w:t>
      </w:r>
    </w:p>
    <w:p>
      <w:pPr>
        <w:spacing w:after="0" w:line="56" w:lineRule="exact"/>
        <w:rPr>
          <w:rFonts w:ascii="Arial" w:cs="Arial" w:eastAsia="Arial" w:hAnsi="Arial"/>
          <w:sz w:val="19"/>
          <w:szCs w:val="19"/>
          <w:color w:val="auto"/>
          <w:vertAlign w:val="superscript"/>
        </w:rPr>
      </w:pPr>
    </w:p>
    <w:p>
      <w:pPr>
        <w:jc w:val="both"/>
        <w:ind w:left="340" w:right="40" w:hanging="233"/>
        <w:spacing w:after="0" w:line="231" w:lineRule="auto"/>
        <w:tabs>
          <w:tab w:leader="none" w:pos="346" w:val="left"/>
        </w:tabs>
        <w:numPr>
          <w:ilvl w:val="0"/>
          <w:numId w:val="104"/>
        </w:numPr>
        <w:rPr>
          <w:rFonts w:ascii="Arial" w:cs="Arial" w:eastAsia="Arial" w:hAnsi="Arial"/>
          <w:sz w:val="19"/>
          <w:szCs w:val="19"/>
          <w:color w:val="auto"/>
          <w:vertAlign w:val="superscript"/>
        </w:rPr>
      </w:pPr>
      <w:r>
        <w:rPr>
          <w:rFonts w:ascii="Arial" w:cs="Arial" w:eastAsia="Arial" w:hAnsi="Arial"/>
          <w:sz w:val="14"/>
          <w:szCs w:val="14"/>
          <w:color w:val="auto"/>
        </w:rPr>
        <w:t>Represents RSUs granted to Mr. Taiclet as an equity replacement award to offset forfeited unvested incentives from his former employer, which vest on July 27, 2022, except that vesting may occur earlier as described in the “2021 Grants of Plan-Based Awards” table, except that unlike other RSUs, these RSUs would vest immediately upon layoff and would be forfeited upon retirement.</w:t>
      </w:r>
    </w:p>
    <w:p>
      <w:pPr>
        <w:spacing w:after="0" w:line="57" w:lineRule="exact"/>
        <w:rPr>
          <w:rFonts w:ascii="Arial" w:cs="Arial" w:eastAsia="Arial" w:hAnsi="Arial"/>
          <w:sz w:val="19"/>
          <w:szCs w:val="19"/>
          <w:color w:val="auto"/>
          <w:vertAlign w:val="superscript"/>
        </w:rPr>
      </w:pPr>
    </w:p>
    <w:p>
      <w:pPr>
        <w:ind w:left="340" w:right="480" w:hanging="233"/>
        <w:spacing w:after="0" w:line="219" w:lineRule="auto"/>
        <w:tabs>
          <w:tab w:leader="none" w:pos="346" w:val="left"/>
        </w:tabs>
        <w:numPr>
          <w:ilvl w:val="0"/>
          <w:numId w:val="104"/>
        </w:numPr>
        <w:rPr>
          <w:rFonts w:ascii="Arial" w:cs="Arial" w:eastAsia="Arial" w:hAnsi="Arial"/>
          <w:sz w:val="19"/>
          <w:szCs w:val="19"/>
          <w:color w:val="auto"/>
          <w:vertAlign w:val="superscript"/>
        </w:rPr>
      </w:pPr>
      <w:r>
        <w:rPr>
          <w:rFonts w:ascii="Arial" w:cs="Arial" w:eastAsia="Arial" w:hAnsi="Arial"/>
          <w:sz w:val="14"/>
          <w:szCs w:val="14"/>
          <w:color w:val="auto"/>
        </w:rPr>
        <w:t>Represents RSUs granted on February 25, 2021, which vest February 25, 2024, except that vesting may occur earlier as described in the “2021 Grants of Plan-Based Awards” table.</w:t>
      </w:r>
    </w:p>
    <w:p>
      <w:pPr>
        <w:spacing w:after="0" w:line="56" w:lineRule="exact"/>
        <w:rPr>
          <w:rFonts w:ascii="Arial" w:cs="Arial" w:eastAsia="Arial" w:hAnsi="Arial"/>
          <w:sz w:val="19"/>
          <w:szCs w:val="19"/>
          <w:color w:val="auto"/>
          <w:vertAlign w:val="superscript"/>
        </w:rPr>
      </w:pPr>
    </w:p>
    <w:p>
      <w:pPr>
        <w:ind w:left="340" w:right="40" w:hanging="233"/>
        <w:spacing w:after="0" w:line="219" w:lineRule="auto"/>
        <w:tabs>
          <w:tab w:leader="none" w:pos="346" w:val="left"/>
        </w:tabs>
        <w:numPr>
          <w:ilvl w:val="0"/>
          <w:numId w:val="104"/>
        </w:numPr>
        <w:rPr>
          <w:rFonts w:ascii="Arial" w:cs="Arial" w:eastAsia="Arial" w:hAnsi="Arial"/>
          <w:sz w:val="19"/>
          <w:szCs w:val="19"/>
          <w:color w:val="auto"/>
          <w:vertAlign w:val="superscript"/>
        </w:rPr>
      </w:pPr>
      <w:r>
        <w:rPr>
          <w:rFonts w:ascii="Arial" w:cs="Arial" w:eastAsia="Arial" w:hAnsi="Arial"/>
          <w:sz w:val="14"/>
          <w:szCs w:val="14"/>
          <w:color w:val="auto"/>
        </w:rPr>
        <w:t>Represents PSUs granted on February 25, 2021 and which are earned over a three-year period but provide for pro rata payments for certain terminations as described in the “2021 Grants of Plan-Based Awards” table.</w:t>
      </w:r>
    </w:p>
    <w:p>
      <w:pPr>
        <w:spacing w:after="0" w:line="56" w:lineRule="exact"/>
        <w:rPr>
          <w:rFonts w:ascii="Arial" w:cs="Arial" w:eastAsia="Arial" w:hAnsi="Arial"/>
          <w:sz w:val="19"/>
          <w:szCs w:val="19"/>
          <w:color w:val="auto"/>
          <w:vertAlign w:val="superscript"/>
        </w:rPr>
      </w:pPr>
    </w:p>
    <w:p>
      <w:pPr>
        <w:ind w:left="340" w:right="280" w:hanging="233"/>
        <w:spacing w:after="0" w:line="219" w:lineRule="auto"/>
        <w:tabs>
          <w:tab w:leader="none" w:pos="344" w:val="left"/>
        </w:tabs>
        <w:numPr>
          <w:ilvl w:val="0"/>
          <w:numId w:val="104"/>
        </w:numPr>
        <w:rPr>
          <w:rFonts w:ascii="Arial" w:cs="Arial" w:eastAsia="Arial" w:hAnsi="Arial"/>
          <w:sz w:val="19"/>
          <w:szCs w:val="19"/>
          <w:color w:val="auto"/>
          <w:vertAlign w:val="superscript"/>
        </w:rPr>
      </w:pPr>
      <w:r>
        <w:rPr>
          <w:rFonts w:ascii="Arial" w:cs="Arial" w:eastAsia="Arial" w:hAnsi="Arial"/>
          <w:sz w:val="14"/>
          <w:szCs w:val="14"/>
          <w:color w:val="auto"/>
        </w:rPr>
        <w:t>Represents RSUs granted on February 27, 2020, which vest on February 27, 2023, except that vesting may occur earlier as described in the “2021 Grants of Plan-Based Awards” table.</w:t>
      </w:r>
    </w:p>
    <w:p>
      <w:pPr>
        <w:spacing w:after="0" w:line="56" w:lineRule="exact"/>
        <w:rPr>
          <w:rFonts w:ascii="Arial" w:cs="Arial" w:eastAsia="Arial" w:hAnsi="Arial"/>
          <w:sz w:val="19"/>
          <w:szCs w:val="19"/>
          <w:color w:val="auto"/>
          <w:vertAlign w:val="superscript"/>
        </w:rPr>
      </w:pPr>
    </w:p>
    <w:p>
      <w:pPr>
        <w:ind w:left="340" w:right="40" w:hanging="233"/>
        <w:spacing w:after="0" w:line="219" w:lineRule="auto"/>
        <w:tabs>
          <w:tab w:leader="none" w:pos="344" w:val="left"/>
        </w:tabs>
        <w:numPr>
          <w:ilvl w:val="0"/>
          <w:numId w:val="104"/>
        </w:numPr>
        <w:rPr>
          <w:rFonts w:ascii="Arial" w:cs="Arial" w:eastAsia="Arial" w:hAnsi="Arial"/>
          <w:sz w:val="19"/>
          <w:szCs w:val="19"/>
          <w:color w:val="auto"/>
          <w:vertAlign w:val="superscript"/>
        </w:rPr>
      </w:pPr>
      <w:r>
        <w:rPr>
          <w:rFonts w:ascii="Arial" w:cs="Arial" w:eastAsia="Arial" w:hAnsi="Arial"/>
          <w:sz w:val="14"/>
          <w:szCs w:val="14"/>
          <w:color w:val="auto"/>
        </w:rPr>
        <w:t>Represents PSUs granted on February 27, 2020 and which are earned over a three-year period but provide for pro rata payments for certain terminations as described in the “2021 Grants of Plan-Based Awards” table.</w:t>
      </w:r>
    </w:p>
    <w:p>
      <w:pPr>
        <w:spacing w:after="0" w:line="56" w:lineRule="exact"/>
        <w:rPr>
          <w:rFonts w:ascii="Arial" w:cs="Arial" w:eastAsia="Arial" w:hAnsi="Arial"/>
          <w:sz w:val="19"/>
          <w:szCs w:val="19"/>
          <w:color w:val="auto"/>
          <w:vertAlign w:val="superscript"/>
        </w:rPr>
      </w:pPr>
    </w:p>
    <w:p>
      <w:pPr>
        <w:ind w:left="340" w:right="360" w:hanging="233"/>
        <w:spacing w:after="0" w:line="219" w:lineRule="auto"/>
        <w:tabs>
          <w:tab w:leader="none" w:pos="344" w:val="left"/>
        </w:tabs>
        <w:numPr>
          <w:ilvl w:val="0"/>
          <w:numId w:val="104"/>
        </w:numPr>
        <w:rPr>
          <w:rFonts w:ascii="Arial" w:cs="Arial" w:eastAsia="Arial" w:hAnsi="Arial"/>
          <w:sz w:val="19"/>
          <w:szCs w:val="19"/>
          <w:color w:val="auto"/>
          <w:vertAlign w:val="superscript"/>
        </w:rPr>
      </w:pPr>
      <w:r>
        <w:rPr>
          <w:rFonts w:ascii="Arial" w:cs="Arial" w:eastAsia="Arial" w:hAnsi="Arial"/>
          <w:sz w:val="14"/>
          <w:szCs w:val="14"/>
          <w:color w:val="auto"/>
        </w:rPr>
        <w:t>Represents RSUs granted on July 29, 2019, which vest on July 29, 2022, except that vesting may occur earlier as described in the “2021 Grants of Plan-Based Awards” table, except that unlike other RSUs, these RSUs would be forfeited upon retirement or layoff.</w:t>
      </w:r>
    </w:p>
    <w:p>
      <w:pPr>
        <w:spacing w:after="0" w:line="9" w:lineRule="exact"/>
        <w:rPr>
          <w:rFonts w:ascii="Arial" w:cs="Arial" w:eastAsia="Arial" w:hAnsi="Arial"/>
          <w:sz w:val="19"/>
          <w:szCs w:val="19"/>
          <w:color w:val="auto"/>
          <w:vertAlign w:val="superscript"/>
        </w:rPr>
      </w:pPr>
    </w:p>
    <w:p>
      <w:pPr>
        <w:ind w:left="360" w:hanging="253"/>
        <w:spacing w:after="0"/>
        <w:tabs>
          <w:tab w:leader="none" w:pos="360" w:val="left"/>
        </w:tabs>
        <w:numPr>
          <w:ilvl w:val="0"/>
          <w:numId w:val="104"/>
        </w:numPr>
        <w:rPr>
          <w:rFonts w:ascii="Arial" w:cs="Arial" w:eastAsia="Arial" w:hAnsi="Arial"/>
          <w:sz w:val="19"/>
          <w:szCs w:val="19"/>
          <w:color w:val="auto"/>
          <w:vertAlign w:val="superscript"/>
        </w:rPr>
      </w:pPr>
      <w:r>
        <w:rPr>
          <w:rFonts w:ascii="Arial" w:cs="Arial" w:eastAsia="Arial" w:hAnsi="Arial"/>
          <w:sz w:val="14"/>
          <w:szCs w:val="14"/>
          <w:color w:val="auto"/>
        </w:rPr>
        <w:t>Represents RSUs granted on February 21, 2019, which vested on February 21, 2022.</w:t>
      </w:r>
    </w:p>
    <w:p>
      <w:pPr>
        <w:spacing w:after="0" w:line="56" w:lineRule="exact"/>
        <w:rPr>
          <w:rFonts w:ascii="Arial" w:cs="Arial" w:eastAsia="Arial" w:hAnsi="Arial"/>
          <w:sz w:val="19"/>
          <w:szCs w:val="19"/>
          <w:color w:val="auto"/>
          <w:vertAlign w:val="superscript"/>
        </w:rPr>
      </w:pPr>
    </w:p>
    <w:p>
      <w:pPr>
        <w:ind w:left="360" w:hanging="253"/>
        <w:spacing w:after="0" w:line="188" w:lineRule="auto"/>
        <w:tabs>
          <w:tab w:leader="none" w:pos="360" w:val="left"/>
        </w:tabs>
        <w:numPr>
          <w:ilvl w:val="0"/>
          <w:numId w:val="104"/>
        </w:numPr>
        <w:rPr>
          <w:rFonts w:ascii="Arial" w:cs="Arial" w:eastAsia="Arial" w:hAnsi="Arial"/>
          <w:sz w:val="19"/>
          <w:szCs w:val="19"/>
          <w:color w:val="auto"/>
          <w:vertAlign w:val="superscript"/>
        </w:rPr>
      </w:pPr>
      <w:r>
        <w:rPr>
          <w:rFonts w:ascii="Arial" w:cs="Arial" w:eastAsia="Arial" w:hAnsi="Arial"/>
          <w:sz w:val="14"/>
          <w:szCs w:val="14"/>
          <w:color w:val="auto"/>
        </w:rPr>
        <w:t>Represents PSUs granted on February 21, 2019, which vested on February 21, 2022.</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29"/>
          <w:szCs w:val="29"/>
          <w:color w:val="003478"/>
        </w:rPr>
        <w:t>Option Exercises and Stock Vested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wp:posOffset>
            </wp:positionH>
            <wp:positionV relativeFrom="paragraph">
              <wp:posOffset>89535</wp:posOffset>
            </wp:positionV>
            <wp:extent cx="3054350" cy="6229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054350" cy="622935"/>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0" w:type="dxa"/>
            <w:vAlign w:val="bottom"/>
          </w:tcPr>
          <w:p>
            <w:pPr>
              <w:spacing w:after="0"/>
              <w:rPr>
                <w:sz w:val="17"/>
                <w:szCs w:val="17"/>
                <w:color w:val="auto"/>
              </w:rPr>
            </w:pPr>
          </w:p>
        </w:tc>
        <w:tc>
          <w:tcPr>
            <w:tcW w:w="4820" w:type="dxa"/>
            <w:vAlign w:val="bottom"/>
            <w:tcBorders>
              <w:bottom w:val="single" w:sz="8" w:color="E5E7EF"/>
            </w:tcBorders>
            <w:shd w:val="clear" w:color="auto" w:fill="E5E7EF"/>
          </w:tcPr>
          <w:p>
            <w:pPr>
              <w:spacing w:after="0"/>
              <w:rPr>
                <w:sz w:val="17"/>
                <w:szCs w:val="17"/>
                <w:color w:val="auto"/>
              </w:rPr>
            </w:pPr>
          </w:p>
        </w:tc>
        <w:tc>
          <w:tcPr>
            <w:tcW w:w="1960" w:type="dxa"/>
            <w:vAlign w:val="bottom"/>
            <w:tcBorders>
              <w:bottom w:val="single" w:sz="8" w:color="E5E7EF"/>
            </w:tcBorders>
            <w:shd w:val="clear" w:color="auto" w:fill="E5E7EF"/>
          </w:tcPr>
          <w:p>
            <w:pPr>
              <w:jc w:val="right"/>
              <w:ind w:right="112"/>
              <w:spacing w:after="0"/>
              <w:rPr>
                <w:sz w:val="20"/>
                <w:szCs w:val="20"/>
                <w:color w:val="auto"/>
              </w:rPr>
            </w:pPr>
            <w:r>
              <w:rPr>
                <w:rFonts w:ascii="Arial" w:cs="Arial" w:eastAsia="Arial" w:hAnsi="Arial"/>
                <w:sz w:val="13"/>
                <w:szCs w:val="13"/>
                <w:color w:val="auto"/>
              </w:rPr>
              <w:t>Option Awards</w:t>
            </w:r>
          </w:p>
        </w:tc>
        <w:tc>
          <w:tcPr>
            <w:tcW w:w="1040" w:type="dxa"/>
            <w:vAlign w:val="bottom"/>
            <w:tcBorders>
              <w:bottom w:val="single" w:sz="8" w:color="E5E7EF"/>
            </w:tcBorders>
            <w:shd w:val="clear" w:color="auto" w:fill="E5E7EF"/>
          </w:tcPr>
          <w:p>
            <w:pPr>
              <w:spacing w:after="0"/>
              <w:rPr>
                <w:sz w:val="17"/>
                <w:szCs w:val="17"/>
                <w:color w:val="auto"/>
              </w:rPr>
            </w:pPr>
          </w:p>
        </w:tc>
        <w:tc>
          <w:tcPr>
            <w:tcW w:w="200" w:type="dxa"/>
            <w:vAlign w:val="bottom"/>
            <w:tcBorders>
              <w:bottom w:val="single" w:sz="8" w:color="E5E7EF"/>
            </w:tcBorders>
            <w:shd w:val="clear" w:color="auto" w:fill="E5E7EF"/>
          </w:tcPr>
          <w:p>
            <w:pPr>
              <w:spacing w:after="0"/>
              <w:rPr>
                <w:sz w:val="17"/>
                <w:szCs w:val="17"/>
                <w:color w:val="auto"/>
              </w:rPr>
            </w:pPr>
          </w:p>
        </w:tc>
        <w:tc>
          <w:tcPr>
            <w:tcW w:w="1940" w:type="dxa"/>
            <w:vAlign w:val="bottom"/>
            <w:tcBorders>
              <w:bottom w:val="single" w:sz="8" w:color="E5E7EF"/>
            </w:tcBorders>
            <w:shd w:val="clear" w:color="auto" w:fill="E5E7EF"/>
          </w:tcPr>
          <w:p>
            <w:pPr>
              <w:jc w:val="right"/>
              <w:ind w:right="116"/>
              <w:spacing w:after="0"/>
              <w:rPr>
                <w:sz w:val="20"/>
                <w:szCs w:val="20"/>
                <w:color w:val="auto"/>
              </w:rPr>
            </w:pPr>
            <w:r>
              <w:rPr>
                <w:rFonts w:ascii="Arial" w:cs="Arial" w:eastAsia="Arial" w:hAnsi="Arial"/>
                <w:sz w:val="13"/>
                <w:szCs w:val="13"/>
                <w:color w:val="auto"/>
              </w:rPr>
              <w:t>Stock Awards</w:t>
            </w:r>
          </w:p>
        </w:tc>
        <w:tc>
          <w:tcPr>
            <w:tcW w:w="1040" w:type="dxa"/>
            <w:vAlign w:val="bottom"/>
            <w:tcBorders>
              <w:bottom w:val="single" w:sz="8" w:color="E5E7EF"/>
            </w:tcBorders>
            <w:shd w:val="clear" w:color="auto" w:fill="E5E7EF"/>
          </w:tcPr>
          <w:p>
            <w:pPr>
              <w:spacing w:after="0"/>
              <w:rPr>
                <w:sz w:val="17"/>
                <w:szCs w:val="17"/>
                <w:color w:val="auto"/>
              </w:rPr>
            </w:pPr>
          </w:p>
        </w:tc>
      </w:tr>
      <w:tr>
        <w:trPr>
          <w:trHeight w:val="162"/>
        </w:trPr>
        <w:tc>
          <w:tcPr>
            <w:tcW w:w="10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960" w:type="dxa"/>
            <w:vAlign w:val="bottom"/>
            <w:tcBorders>
              <w:top w:val="single" w:sz="8" w:color="002E6D"/>
            </w:tcBorders>
            <w:shd w:val="clear" w:color="auto" w:fill="E5E7EF"/>
          </w:tcPr>
          <w:p>
            <w:pPr>
              <w:jc w:val="right"/>
              <w:ind w:right="332"/>
              <w:spacing w:after="0"/>
              <w:rPr>
                <w:sz w:val="20"/>
                <w:szCs w:val="20"/>
                <w:color w:val="auto"/>
              </w:rPr>
            </w:pPr>
            <w:r>
              <w:rPr>
                <w:rFonts w:ascii="Arial" w:cs="Arial" w:eastAsia="Arial" w:hAnsi="Arial"/>
                <w:sz w:val="13"/>
                <w:szCs w:val="13"/>
                <w:color w:val="auto"/>
              </w:rPr>
              <w:t>Number of Shares</w:t>
            </w:r>
          </w:p>
        </w:tc>
        <w:tc>
          <w:tcPr>
            <w:tcW w:w="1040" w:type="dxa"/>
            <w:vAlign w:val="bottom"/>
            <w:tcBorders>
              <w:top w:val="single" w:sz="8" w:color="002E6D"/>
            </w:tcBorders>
            <w:shd w:val="clear" w:color="auto" w:fill="E5E7EF"/>
          </w:tcPr>
          <w:p>
            <w:pPr>
              <w:jc w:val="right"/>
              <w:spacing w:after="0"/>
              <w:rPr>
                <w:sz w:val="20"/>
                <w:szCs w:val="20"/>
                <w:color w:val="auto"/>
              </w:rPr>
            </w:pPr>
            <w:r>
              <w:rPr>
                <w:rFonts w:ascii="Arial" w:cs="Arial" w:eastAsia="Arial" w:hAnsi="Arial"/>
                <w:sz w:val="13"/>
                <w:szCs w:val="13"/>
                <w:color w:val="auto"/>
              </w:rPr>
              <w:t>Value Realized</w:t>
            </w:r>
          </w:p>
        </w:tc>
        <w:tc>
          <w:tcPr>
            <w:tcW w:w="200" w:type="dxa"/>
            <w:vAlign w:val="bottom"/>
            <w:tcBorders>
              <w:top w:val="single" w:sz="8" w:color="E5E7EF"/>
            </w:tcBorders>
            <w:shd w:val="clear" w:color="auto" w:fill="E5E7EF"/>
          </w:tcPr>
          <w:p>
            <w:pPr>
              <w:spacing w:after="0"/>
              <w:rPr>
                <w:sz w:val="14"/>
                <w:szCs w:val="14"/>
                <w:color w:val="auto"/>
              </w:rPr>
            </w:pPr>
          </w:p>
        </w:tc>
        <w:tc>
          <w:tcPr>
            <w:tcW w:w="1940" w:type="dxa"/>
            <w:vAlign w:val="bottom"/>
            <w:tcBorders>
              <w:top w:val="single" w:sz="8" w:color="002E6D"/>
            </w:tcBorders>
            <w:shd w:val="clear" w:color="auto" w:fill="E5E7EF"/>
          </w:tcPr>
          <w:p>
            <w:pPr>
              <w:jc w:val="right"/>
              <w:ind w:right="276"/>
              <w:spacing w:after="0"/>
              <w:rPr>
                <w:sz w:val="20"/>
                <w:szCs w:val="20"/>
                <w:color w:val="auto"/>
              </w:rPr>
            </w:pPr>
            <w:r>
              <w:rPr>
                <w:rFonts w:ascii="Arial" w:cs="Arial" w:eastAsia="Arial" w:hAnsi="Arial"/>
                <w:sz w:val="13"/>
                <w:szCs w:val="13"/>
                <w:color w:val="auto"/>
              </w:rPr>
              <w:t>Number of Shares</w:t>
            </w:r>
          </w:p>
        </w:tc>
        <w:tc>
          <w:tcPr>
            <w:tcW w:w="1040" w:type="dxa"/>
            <w:vAlign w:val="bottom"/>
            <w:tcBorders>
              <w:top w:val="single" w:sz="8" w:color="002E6D"/>
            </w:tcBorders>
            <w:shd w:val="clear" w:color="auto" w:fill="E5E7EF"/>
          </w:tcPr>
          <w:p>
            <w:pPr>
              <w:jc w:val="right"/>
              <w:spacing w:after="0"/>
              <w:rPr>
                <w:sz w:val="20"/>
                <w:szCs w:val="20"/>
                <w:color w:val="auto"/>
              </w:rPr>
            </w:pPr>
            <w:r>
              <w:rPr>
                <w:rFonts w:ascii="Arial" w:cs="Arial" w:eastAsia="Arial" w:hAnsi="Arial"/>
                <w:sz w:val="13"/>
                <w:szCs w:val="13"/>
                <w:color w:val="auto"/>
              </w:rPr>
              <w:t>Value Realized</w:t>
            </w:r>
          </w:p>
        </w:tc>
      </w:tr>
      <w:tr>
        <w:trPr>
          <w:trHeight w:val="181"/>
        </w:trPr>
        <w:tc>
          <w:tcPr>
            <w:tcW w:w="10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960" w:type="dxa"/>
            <w:vAlign w:val="bottom"/>
            <w:shd w:val="clear" w:color="auto" w:fill="E5E7EF"/>
          </w:tcPr>
          <w:p>
            <w:pPr>
              <w:jc w:val="right"/>
              <w:ind w:right="332"/>
              <w:spacing w:after="0"/>
              <w:rPr>
                <w:sz w:val="20"/>
                <w:szCs w:val="20"/>
                <w:color w:val="auto"/>
              </w:rPr>
            </w:pPr>
            <w:r>
              <w:rPr>
                <w:rFonts w:ascii="Arial" w:cs="Arial" w:eastAsia="Arial" w:hAnsi="Arial"/>
                <w:sz w:val="13"/>
                <w:szCs w:val="13"/>
                <w:color w:val="auto"/>
              </w:rPr>
              <w:t>Acquired on Exercise</w:t>
            </w:r>
          </w:p>
        </w:tc>
        <w:tc>
          <w:tcPr>
            <w:tcW w:w="1040" w:type="dxa"/>
            <w:vAlign w:val="bottom"/>
            <w:shd w:val="clear" w:color="auto" w:fill="E5E7EF"/>
          </w:tcPr>
          <w:p>
            <w:pPr>
              <w:jc w:val="right"/>
              <w:spacing w:after="0"/>
              <w:rPr>
                <w:sz w:val="20"/>
                <w:szCs w:val="20"/>
                <w:color w:val="auto"/>
              </w:rPr>
            </w:pPr>
            <w:r>
              <w:rPr>
                <w:rFonts w:ascii="Arial" w:cs="Arial" w:eastAsia="Arial" w:hAnsi="Arial"/>
                <w:sz w:val="13"/>
                <w:szCs w:val="13"/>
                <w:color w:val="auto"/>
              </w:rPr>
              <w:t>on Exercise</w:t>
            </w:r>
          </w:p>
        </w:tc>
        <w:tc>
          <w:tcPr>
            <w:tcW w:w="200" w:type="dxa"/>
            <w:vAlign w:val="bottom"/>
            <w:shd w:val="clear" w:color="auto" w:fill="E5E7EF"/>
          </w:tcPr>
          <w:p>
            <w:pPr>
              <w:spacing w:after="0"/>
              <w:rPr>
                <w:sz w:val="15"/>
                <w:szCs w:val="15"/>
                <w:color w:val="auto"/>
              </w:rPr>
            </w:pPr>
          </w:p>
        </w:tc>
        <w:tc>
          <w:tcPr>
            <w:tcW w:w="1940" w:type="dxa"/>
            <w:vAlign w:val="bottom"/>
            <w:shd w:val="clear" w:color="auto" w:fill="E5E7EF"/>
          </w:tcPr>
          <w:p>
            <w:pPr>
              <w:jc w:val="right"/>
              <w:ind w:right="276"/>
              <w:spacing w:after="0" w:line="181" w:lineRule="exact"/>
              <w:rPr>
                <w:sz w:val="20"/>
                <w:szCs w:val="20"/>
                <w:color w:val="auto"/>
              </w:rPr>
            </w:pPr>
            <w:r>
              <w:rPr>
                <w:rFonts w:ascii="Arial" w:cs="Arial" w:eastAsia="Arial" w:hAnsi="Arial"/>
                <w:sz w:val="13"/>
                <w:szCs w:val="13"/>
                <w:color w:val="auto"/>
              </w:rPr>
              <w:t>Acquired on Vesting</w:t>
            </w:r>
            <w:r>
              <w:rPr>
                <w:rFonts w:ascii="Arial" w:cs="Arial" w:eastAsia="Arial" w:hAnsi="Arial"/>
                <w:sz w:val="16"/>
                <w:szCs w:val="16"/>
                <w:color w:val="auto"/>
                <w:vertAlign w:val="superscript"/>
              </w:rPr>
              <w:t>(1)</w:t>
            </w:r>
          </w:p>
        </w:tc>
        <w:tc>
          <w:tcPr>
            <w:tcW w:w="1040" w:type="dxa"/>
            <w:vAlign w:val="bottom"/>
            <w:shd w:val="clear" w:color="auto" w:fill="E5E7EF"/>
          </w:tcPr>
          <w:p>
            <w:pPr>
              <w:jc w:val="right"/>
              <w:spacing w:after="0" w:line="181" w:lineRule="exact"/>
              <w:rPr>
                <w:sz w:val="20"/>
                <w:szCs w:val="20"/>
                <w:color w:val="auto"/>
              </w:rPr>
            </w:pPr>
            <w:r>
              <w:rPr>
                <w:rFonts w:ascii="Arial" w:cs="Arial" w:eastAsia="Arial" w:hAnsi="Arial"/>
                <w:sz w:val="13"/>
                <w:szCs w:val="13"/>
                <w:color w:val="auto"/>
              </w:rPr>
              <w:t xml:space="preserve">on Vesting </w:t>
            </w:r>
            <w:r>
              <w:rPr>
                <w:rFonts w:ascii="Arial" w:cs="Arial" w:eastAsia="Arial" w:hAnsi="Arial"/>
                <w:sz w:val="16"/>
                <w:szCs w:val="16"/>
                <w:color w:val="auto"/>
                <w:vertAlign w:val="superscript"/>
              </w:rPr>
              <w:t>(2)</w:t>
            </w:r>
          </w:p>
        </w:tc>
      </w:tr>
      <w:tr>
        <w:trPr>
          <w:trHeight w:val="202"/>
        </w:trPr>
        <w:tc>
          <w:tcPr>
            <w:tcW w:w="4920" w:type="dxa"/>
            <w:vAlign w:val="bottom"/>
            <w:gridSpan w:val="2"/>
          </w:tcPr>
          <w:p>
            <w:pPr>
              <w:spacing w:after="0"/>
              <w:rPr>
                <w:sz w:val="20"/>
                <w:szCs w:val="20"/>
                <w:color w:val="auto"/>
              </w:rPr>
            </w:pPr>
            <w:r>
              <w:rPr>
                <w:rFonts w:ascii="Arial" w:cs="Arial" w:eastAsia="Arial" w:hAnsi="Arial"/>
                <w:sz w:val="13"/>
                <w:szCs w:val="13"/>
                <w:color w:val="auto"/>
              </w:rPr>
              <w:t>ame</w:t>
            </w:r>
          </w:p>
        </w:tc>
        <w:tc>
          <w:tcPr>
            <w:tcW w:w="1960" w:type="dxa"/>
            <w:vAlign w:val="bottom"/>
            <w:tcBorders>
              <w:bottom w:val="single" w:sz="8" w:color="E5E7EF"/>
            </w:tcBorders>
            <w:shd w:val="clear" w:color="auto" w:fill="E5E7EF"/>
          </w:tcPr>
          <w:p>
            <w:pPr>
              <w:jc w:val="right"/>
              <w:ind w:right="332"/>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2140" w:type="dxa"/>
            <w:vAlign w:val="bottom"/>
            <w:tcBorders>
              <w:bottom w:val="single" w:sz="8" w:color="E5E7EF"/>
            </w:tcBorders>
            <w:gridSpan w:val="2"/>
            <w:shd w:val="clear" w:color="auto" w:fill="E5E7EF"/>
          </w:tcPr>
          <w:p>
            <w:pPr>
              <w:jc w:val="right"/>
              <w:ind w:right="276"/>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4820" w:type="dxa"/>
            <w:vAlign w:val="bottom"/>
            <w:tcBorders>
              <w:top w:val="single" w:sz="8" w:color="002E6D"/>
            </w:tcBorders>
          </w:tcPr>
          <w:p>
            <w:pPr>
              <w:spacing w:after="0"/>
              <w:rPr>
                <w:sz w:val="15"/>
                <w:szCs w:val="15"/>
                <w:color w:val="auto"/>
              </w:rPr>
            </w:pPr>
          </w:p>
        </w:tc>
        <w:tc>
          <w:tcPr>
            <w:tcW w:w="1960" w:type="dxa"/>
            <w:vAlign w:val="bottom"/>
            <w:tcBorders>
              <w:top w:val="single" w:sz="8" w:color="002E6D"/>
              <w:bottom w:val="single" w:sz="8" w:color="E5E7EF"/>
            </w:tcBorders>
            <w:shd w:val="clear" w:color="auto" w:fill="E5E7EF"/>
          </w:tcPr>
          <w:p>
            <w:pPr>
              <w:jc w:val="right"/>
              <w:ind w:right="332"/>
              <w:spacing w:after="0"/>
              <w:rPr>
                <w:sz w:val="20"/>
                <w:szCs w:val="20"/>
                <w:color w:val="auto"/>
              </w:rPr>
            </w:pPr>
            <w:r>
              <w:rPr>
                <w:rFonts w:ascii="Arial" w:cs="Arial" w:eastAsia="Arial" w:hAnsi="Arial"/>
                <w:sz w:val="13"/>
                <w:szCs w:val="13"/>
                <w:color w:val="auto"/>
              </w:rPr>
              <w:t>(b)</w:t>
            </w:r>
          </w:p>
        </w:tc>
        <w:tc>
          <w:tcPr>
            <w:tcW w:w="1040" w:type="dxa"/>
            <w:vAlign w:val="bottom"/>
            <w:tcBorders>
              <w:top w:val="single" w:sz="8" w:color="002E6D"/>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(c)</w:t>
            </w:r>
          </w:p>
        </w:tc>
        <w:tc>
          <w:tcPr>
            <w:tcW w:w="200" w:type="dxa"/>
            <w:vAlign w:val="bottom"/>
            <w:tcBorders>
              <w:top w:val="single" w:sz="8" w:color="002E6D"/>
              <w:bottom w:val="single" w:sz="8" w:color="E5E7EF"/>
            </w:tcBorders>
            <w:shd w:val="clear" w:color="auto" w:fill="E5E7EF"/>
          </w:tcPr>
          <w:p>
            <w:pPr>
              <w:spacing w:after="0"/>
              <w:rPr>
                <w:sz w:val="15"/>
                <w:szCs w:val="15"/>
                <w:color w:val="auto"/>
              </w:rPr>
            </w:pPr>
          </w:p>
        </w:tc>
        <w:tc>
          <w:tcPr>
            <w:tcW w:w="1940" w:type="dxa"/>
            <w:vAlign w:val="bottom"/>
            <w:tcBorders>
              <w:top w:val="single" w:sz="8" w:color="002E6D"/>
              <w:bottom w:val="single" w:sz="8" w:color="E5E7EF"/>
            </w:tcBorders>
            <w:shd w:val="clear" w:color="auto" w:fill="E5E7EF"/>
          </w:tcPr>
          <w:p>
            <w:pPr>
              <w:jc w:val="right"/>
              <w:ind w:right="276"/>
              <w:spacing w:after="0"/>
              <w:rPr>
                <w:sz w:val="20"/>
                <w:szCs w:val="20"/>
                <w:color w:val="auto"/>
              </w:rPr>
            </w:pPr>
            <w:r>
              <w:rPr>
                <w:rFonts w:ascii="Arial" w:cs="Arial" w:eastAsia="Arial" w:hAnsi="Arial"/>
                <w:sz w:val="13"/>
                <w:szCs w:val="13"/>
                <w:color w:val="auto"/>
              </w:rPr>
              <w:t>(d)</w:t>
            </w:r>
          </w:p>
        </w:tc>
        <w:tc>
          <w:tcPr>
            <w:tcW w:w="1040" w:type="dxa"/>
            <w:vAlign w:val="bottom"/>
            <w:tcBorders>
              <w:top w:val="single" w:sz="8" w:color="002E6D"/>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(e)</w:t>
            </w:r>
          </w:p>
        </w:tc>
      </w:tr>
      <w:tr>
        <w:trPr>
          <w:trHeight w:val="20"/>
        </w:trPr>
        <w:tc>
          <w:tcPr>
            <w:tcW w:w="100" w:type="dxa"/>
            <w:vAlign w:val="bottom"/>
          </w:tcPr>
          <w:p>
            <w:pPr>
              <w:spacing w:after="0" w:line="20" w:lineRule="exact"/>
              <w:rPr>
                <w:sz w:val="1"/>
                <w:szCs w:val="1"/>
                <w:color w:val="auto"/>
              </w:rPr>
            </w:pPr>
          </w:p>
        </w:tc>
        <w:tc>
          <w:tcPr>
            <w:tcW w:w="4820" w:type="dxa"/>
            <w:vAlign w:val="bottom"/>
            <w:shd w:val="clear" w:color="auto" w:fill="002E6D"/>
          </w:tcPr>
          <w:p>
            <w:pPr>
              <w:spacing w:after="0" w:line="20" w:lineRule="exact"/>
              <w:rPr>
                <w:sz w:val="1"/>
                <w:szCs w:val="1"/>
                <w:color w:val="auto"/>
              </w:rPr>
            </w:pPr>
          </w:p>
        </w:tc>
        <w:tc>
          <w:tcPr>
            <w:tcW w:w="1960" w:type="dxa"/>
            <w:vAlign w:val="bottom"/>
            <w:shd w:val="clear" w:color="auto" w:fill="002E6D"/>
          </w:tcPr>
          <w:p>
            <w:pPr>
              <w:spacing w:after="0" w:line="20" w:lineRule="exact"/>
              <w:rPr>
                <w:sz w:val="1"/>
                <w:szCs w:val="1"/>
                <w:color w:val="auto"/>
              </w:rPr>
            </w:pPr>
          </w:p>
        </w:tc>
        <w:tc>
          <w:tcPr>
            <w:tcW w:w="1040" w:type="dxa"/>
            <w:vAlign w:val="bottom"/>
            <w:shd w:val="clear" w:color="auto" w:fill="002E6D"/>
          </w:tcPr>
          <w:p>
            <w:pPr>
              <w:spacing w:after="0" w:line="20" w:lineRule="exact"/>
              <w:rPr>
                <w:sz w:val="1"/>
                <w:szCs w:val="1"/>
                <w:color w:val="auto"/>
              </w:rPr>
            </w:pPr>
          </w:p>
        </w:tc>
        <w:tc>
          <w:tcPr>
            <w:tcW w:w="200" w:type="dxa"/>
            <w:vAlign w:val="bottom"/>
            <w:shd w:val="clear" w:color="auto" w:fill="002E6D"/>
          </w:tcPr>
          <w:p>
            <w:pPr>
              <w:spacing w:after="0" w:line="20" w:lineRule="exact"/>
              <w:rPr>
                <w:sz w:val="1"/>
                <w:szCs w:val="1"/>
                <w:color w:val="auto"/>
              </w:rPr>
            </w:pPr>
          </w:p>
        </w:tc>
        <w:tc>
          <w:tcPr>
            <w:tcW w:w="1940" w:type="dxa"/>
            <w:vAlign w:val="bottom"/>
            <w:shd w:val="clear" w:color="auto" w:fill="002E6D"/>
          </w:tcPr>
          <w:p>
            <w:pPr>
              <w:spacing w:after="0" w:line="20" w:lineRule="exact"/>
              <w:rPr>
                <w:sz w:val="1"/>
                <w:szCs w:val="1"/>
                <w:color w:val="auto"/>
              </w:rPr>
            </w:pPr>
          </w:p>
        </w:tc>
        <w:tc>
          <w:tcPr>
            <w:tcW w:w="1040" w:type="dxa"/>
            <w:vAlign w:val="bottom"/>
            <w:shd w:val="clear" w:color="auto" w:fill="002E6D"/>
          </w:tcPr>
          <w:p>
            <w:pPr>
              <w:spacing w:after="0" w:line="20" w:lineRule="exact"/>
              <w:rPr>
                <w:sz w:val="1"/>
                <w:szCs w:val="1"/>
                <w:color w:val="auto"/>
              </w:rPr>
            </w:pPr>
          </w:p>
        </w:tc>
      </w:tr>
      <w:tr>
        <w:trPr>
          <w:trHeight w:val="182"/>
        </w:trPr>
        <w:tc>
          <w:tcPr>
            <w:tcW w:w="4920" w:type="dxa"/>
            <w:vAlign w:val="bottom"/>
            <w:gridSpan w:val="2"/>
          </w:tcPr>
          <w:p>
            <w:pPr>
              <w:spacing w:after="0"/>
              <w:rPr>
                <w:sz w:val="20"/>
                <w:szCs w:val="20"/>
                <w:color w:val="auto"/>
              </w:rPr>
            </w:pPr>
            <w:r>
              <w:rPr>
                <w:rFonts w:ascii="Arial" w:cs="Arial" w:eastAsia="Arial" w:hAnsi="Arial"/>
                <w:sz w:val="14"/>
                <w:szCs w:val="14"/>
                <w:b w:val="1"/>
                <w:bCs w:val="1"/>
                <w:color w:val="002E6D"/>
              </w:rPr>
              <w:t>ames D. Taiclet</w:t>
            </w:r>
          </w:p>
        </w:tc>
        <w:tc>
          <w:tcPr>
            <w:tcW w:w="1960" w:type="dxa"/>
            <w:vAlign w:val="bottom"/>
            <w:shd w:val="clear" w:color="auto" w:fill="E5E7EF"/>
          </w:tcPr>
          <w:p>
            <w:pPr>
              <w:jc w:val="right"/>
              <w:ind w:right="372"/>
              <w:spacing w:after="0"/>
              <w:rPr>
                <w:sz w:val="20"/>
                <w:szCs w:val="20"/>
                <w:color w:val="auto"/>
              </w:rPr>
            </w:pPr>
            <w:r>
              <w:rPr>
                <w:rFonts w:ascii="Arial" w:cs="Arial" w:eastAsia="Arial" w:hAnsi="Arial"/>
                <w:sz w:val="14"/>
                <w:szCs w:val="14"/>
                <w:color w:val="auto"/>
              </w:rPr>
              <w:t>—</w:t>
            </w:r>
          </w:p>
        </w:tc>
        <w:tc>
          <w:tcPr>
            <w:tcW w:w="1040" w:type="dxa"/>
            <w:vAlign w:val="bottom"/>
            <w:shd w:val="clear" w:color="auto" w:fill="E5E7EF"/>
          </w:tcPr>
          <w:p>
            <w:pPr>
              <w:jc w:val="right"/>
              <w:ind w:right="12"/>
              <w:spacing w:after="0"/>
              <w:rPr>
                <w:sz w:val="20"/>
                <w:szCs w:val="20"/>
                <w:color w:val="auto"/>
              </w:rPr>
            </w:pPr>
            <w:r>
              <w:rPr>
                <w:rFonts w:ascii="Arial" w:cs="Arial" w:eastAsia="Arial" w:hAnsi="Arial"/>
                <w:sz w:val="14"/>
                <w:szCs w:val="14"/>
                <w:color w:val="auto"/>
              </w:rPr>
              <w:t>—</w:t>
            </w:r>
          </w:p>
        </w:tc>
        <w:tc>
          <w:tcPr>
            <w:tcW w:w="200" w:type="dxa"/>
            <w:vAlign w:val="bottom"/>
            <w:shd w:val="clear" w:color="auto" w:fill="E5E7EF"/>
          </w:tcPr>
          <w:p>
            <w:pPr>
              <w:spacing w:after="0"/>
              <w:rPr>
                <w:sz w:val="15"/>
                <w:szCs w:val="15"/>
                <w:color w:val="auto"/>
              </w:rPr>
            </w:pPr>
          </w:p>
        </w:tc>
        <w:tc>
          <w:tcPr>
            <w:tcW w:w="1940" w:type="dxa"/>
            <w:vAlign w:val="bottom"/>
            <w:shd w:val="clear" w:color="auto" w:fill="E5E7EF"/>
          </w:tcPr>
          <w:p>
            <w:pPr>
              <w:jc w:val="right"/>
              <w:ind w:right="336"/>
              <w:spacing w:after="0"/>
              <w:rPr>
                <w:sz w:val="20"/>
                <w:szCs w:val="20"/>
                <w:color w:val="auto"/>
              </w:rPr>
            </w:pPr>
            <w:r>
              <w:rPr>
                <w:rFonts w:ascii="Arial" w:cs="Arial" w:eastAsia="Arial" w:hAnsi="Arial"/>
                <w:sz w:val="14"/>
                <w:szCs w:val="14"/>
                <w:color w:val="auto"/>
              </w:rPr>
              <w:t>7,689</w:t>
            </w:r>
          </w:p>
        </w:tc>
        <w:tc>
          <w:tcPr>
            <w:tcW w:w="1040" w:type="dxa"/>
            <w:vAlign w:val="bottom"/>
            <w:shd w:val="clear" w:color="auto" w:fill="E5E7EF"/>
          </w:tcPr>
          <w:p>
            <w:pPr>
              <w:jc w:val="right"/>
              <w:spacing w:after="0"/>
              <w:rPr>
                <w:sz w:val="20"/>
                <w:szCs w:val="20"/>
                <w:color w:val="auto"/>
              </w:rPr>
            </w:pPr>
            <w:r>
              <w:rPr>
                <w:rFonts w:ascii="Arial" w:cs="Arial" w:eastAsia="Arial" w:hAnsi="Arial"/>
                <w:sz w:val="14"/>
                <w:szCs w:val="14"/>
                <w:color w:val="auto"/>
              </w:rPr>
              <w:t>2,881,299</w:t>
            </w:r>
          </w:p>
        </w:tc>
      </w:tr>
      <w:tr>
        <w:trPr>
          <w:trHeight w:val="20"/>
        </w:trPr>
        <w:tc>
          <w:tcPr>
            <w:tcW w:w="100" w:type="dxa"/>
            <w:vAlign w:val="bottom"/>
          </w:tcPr>
          <w:p>
            <w:pPr>
              <w:spacing w:after="0" w:line="20" w:lineRule="exact"/>
              <w:rPr>
                <w:sz w:val="1"/>
                <w:szCs w:val="1"/>
                <w:color w:val="auto"/>
              </w:rPr>
            </w:pPr>
          </w:p>
        </w:tc>
        <w:tc>
          <w:tcPr>
            <w:tcW w:w="4820" w:type="dxa"/>
            <w:vAlign w:val="bottom"/>
            <w:shd w:val="clear" w:color="auto" w:fill="939598"/>
          </w:tcPr>
          <w:p>
            <w:pPr>
              <w:spacing w:after="0" w:line="20" w:lineRule="exact"/>
              <w:rPr>
                <w:sz w:val="1"/>
                <w:szCs w:val="1"/>
                <w:color w:val="auto"/>
              </w:rPr>
            </w:pPr>
          </w:p>
        </w:tc>
        <w:tc>
          <w:tcPr>
            <w:tcW w:w="1960" w:type="dxa"/>
            <w:vAlign w:val="bottom"/>
            <w:shd w:val="clear" w:color="auto" w:fill="939598"/>
          </w:tcPr>
          <w:p>
            <w:pPr>
              <w:spacing w:after="0" w:line="20" w:lineRule="exact"/>
              <w:rPr>
                <w:sz w:val="1"/>
                <w:szCs w:val="1"/>
                <w:color w:val="auto"/>
              </w:rPr>
            </w:pPr>
          </w:p>
        </w:tc>
        <w:tc>
          <w:tcPr>
            <w:tcW w:w="1040" w:type="dxa"/>
            <w:vAlign w:val="bottom"/>
            <w:shd w:val="clear" w:color="auto" w:fill="939598"/>
          </w:tcPr>
          <w:p>
            <w:pPr>
              <w:spacing w:after="0" w:line="20" w:lineRule="exact"/>
              <w:rPr>
                <w:sz w:val="1"/>
                <w:szCs w:val="1"/>
                <w:color w:val="auto"/>
              </w:rPr>
            </w:pPr>
          </w:p>
        </w:tc>
        <w:tc>
          <w:tcPr>
            <w:tcW w:w="2140" w:type="dxa"/>
            <w:vAlign w:val="bottom"/>
            <w:gridSpan w:val="2"/>
            <w:shd w:val="clear" w:color="auto" w:fill="939598"/>
          </w:tcPr>
          <w:p>
            <w:pPr>
              <w:spacing w:after="0" w:line="20" w:lineRule="exact"/>
              <w:rPr>
                <w:sz w:val="1"/>
                <w:szCs w:val="1"/>
                <w:color w:val="auto"/>
              </w:rPr>
            </w:pPr>
          </w:p>
        </w:tc>
        <w:tc>
          <w:tcPr>
            <w:tcW w:w="1040" w:type="dxa"/>
            <w:vAlign w:val="bottom"/>
            <w:shd w:val="clear" w:color="auto" w:fill="939598"/>
          </w:tcPr>
          <w:p>
            <w:pPr>
              <w:spacing w:after="0" w:line="20" w:lineRule="exact"/>
              <w:rPr>
                <w:sz w:val="1"/>
                <w:szCs w:val="1"/>
                <w:color w:val="auto"/>
              </w:rPr>
            </w:pPr>
          </w:p>
        </w:tc>
      </w:tr>
      <w:tr>
        <w:trPr>
          <w:trHeight w:val="182"/>
        </w:trPr>
        <w:tc>
          <w:tcPr>
            <w:tcW w:w="4920" w:type="dxa"/>
            <w:vAlign w:val="bottom"/>
            <w:gridSpan w:val="2"/>
          </w:tcPr>
          <w:p>
            <w:pPr>
              <w:spacing w:after="0"/>
              <w:rPr>
                <w:sz w:val="20"/>
                <w:szCs w:val="20"/>
                <w:color w:val="auto"/>
              </w:rPr>
            </w:pPr>
            <w:r>
              <w:rPr>
                <w:rFonts w:ascii="Arial" w:cs="Arial" w:eastAsia="Arial" w:hAnsi="Arial"/>
                <w:sz w:val="14"/>
                <w:szCs w:val="14"/>
                <w:b w:val="1"/>
                <w:bCs w:val="1"/>
                <w:color w:val="002E6D"/>
              </w:rPr>
              <w:t>ohn W. Mollard</w:t>
            </w:r>
          </w:p>
        </w:tc>
        <w:tc>
          <w:tcPr>
            <w:tcW w:w="1960" w:type="dxa"/>
            <w:vAlign w:val="bottom"/>
          </w:tcPr>
          <w:p>
            <w:pPr>
              <w:jc w:val="right"/>
              <w:ind w:right="372"/>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140" w:type="dxa"/>
            <w:vAlign w:val="bottom"/>
            <w:gridSpan w:val="2"/>
          </w:tcPr>
          <w:p>
            <w:pPr>
              <w:jc w:val="right"/>
              <w:ind w:right="336"/>
              <w:spacing w:after="0"/>
              <w:rPr>
                <w:sz w:val="20"/>
                <w:szCs w:val="20"/>
                <w:color w:val="auto"/>
              </w:rPr>
            </w:pPr>
            <w:r>
              <w:rPr>
                <w:rFonts w:ascii="Arial" w:cs="Arial" w:eastAsia="Arial" w:hAnsi="Arial"/>
                <w:sz w:val="14"/>
                <w:szCs w:val="14"/>
                <w:color w:val="auto"/>
              </w:rPr>
              <w:t>1,454</w:t>
            </w:r>
          </w:p>
        </w:tc>
        <w:tc>
          <w:tcPr>
            <w:tcW w:w="1040" w:type="dxa"/>
            <w:vAlign w:val="bottom"/>
          </w:tcPr>
          <w:p>
            <w:pPr>
              <w:jc w:val="right"/>
              <w:spacing w:after="0"/>
              <w:rPr>
                <w:sz w:val="20"/>
                <w:szCs w:val="20"/>
                <w:color w:val="auto"/>
              </w:rPr>
            </w:pPr>
            <w:r>
              <w:rPr>
                <w:rFonts w:ascii="Arial" w:cs="Arial" w:eastAsia="Arial" w:hAnsi="Arial"/>
                <w:sz w:val="14"/>
                <w:szCs w:val="14"/>
                <w:color w:val="auto"/>
              </w:rPr>
              <w:t>510,293</w:t>
            </w:r>
          </w:p>
        </w:tc>
      </w:tr>
      <w:tr>
        <w:trPr>
          <w:trHeight w:val="20"/>
        </w:trPr>
        <w:tc>
          <w:tcPr>
            <w:tcW w:w="100" w:type="dxa"/>
            <w:vAlign w:val="bottom"/>
          </w:tcPr>
          <w:p>
            <w:pPr>
              <w:spacing w:after="0" w:line="20" w:lineRule="exact"/>
              <w:rPr>
                <w:sz w:val="1"/>
                <w:szCs w:val="1"/>
                <w:color w:val="auto"/>
              </w:rPr>
            </w:pPr>
          </w:p>
        </w:tc>
        <w:tc>
          <w:tcPr>
            <w:tcW w:w="4820" w:type="dxa"/>
            <w:vAlign w:val="bottom"/>
            <w:shd w:val="clear" w:color="auto" w:fill="939598"/>
          </w:tcPr>
          <w:p>
            <w:pPr>
              <w:spacing w:after="0" w:line="20" w:lineRule="exact"/>
              <w:rPr>
                <w:sz w:val="1"/>
                <w:szCs w:val="1"/>
                <w:color w:val="auto"/>
              </w:rPr>
            </w:pPr>
          </w:p>
        </w:tc>
        <w:tc>
          <w:tcPr>
            <w:tcW w:w="1960" w:type="dxa"/>
            <w:vAlign w:val="bottom"/>
            <w:shd w:val="clear" w:color="auto" w:fill="939598"/>
          </w:tcPr>
          <w:p>
            <w:pPr>
              <w:spacing w:after="0" w:line="20" w:lineRule="exact"/>
              <w:rPr>
                <w:sz w:val="1"/>
                <w:szCs w:val="1"/>
                <w:color w:val="auto"/>
              </w:rPr>
            </w:pPr>
          </w:p>
        </w:tc>
        <w:tc>
          <w:tcPr>
            <w:tcW w:w="1040" w:type="dxa"/>
            <w:vAlign w:val="bottom"/>
            <w:shd w:val="clear" w:color="auto" w:fill="939598"/>
          </w:tcPr>
          <w:p>
            <w:pPr>
              <w:spacing w:after="0" w:line="20" w:lineRule="exact"/>
              <w:rPr>
                <w:sz w:val="1"/>
                <w:szCs w:val="1"/>
                <w:color w:val="auto"/>
              </w:rPr>
            </w:pPr>
          </w:p>
        </w:tc>
        <w:tc>
          <w:tcPr>
            <w:tcW w:w="2140" w:type="dxa"/>
            <w:vAlign w:val="bottom"/>
            <w:gridSpan w:val="2"/>
            <w:shd w:val="clear" w:color="auto" w:fill="939598"/>
          </w:tcPr>
          <w:p>
            <w:pPr>
              <w:spacing w:after="0" w:line="20" w:lineRule="exact"/>
              <w:rPr>
                <w:sz w:val="1"/>
                <w:szCs w:val="1"/>
                <w:color w:val="auto"/>
              </w:rPr>
            </w:pPr>
          </w:p>
        </w:tc>
        <w:tc>
          <w:tcPr>
            <w:tcW w:w="1040" w:type="dxa"/>
            <w:vAlign w:val="bottom"/>
            <w:shd w:val="clear" w:color="auto" w:fill="939598"/>
          </w:tcPr>
          <w:p>
            <w:pPr>
              <w:spacing w:after="0" w:line="20" w:lineRule="exact"/>
              <w:rPr>
                <w:sz w:val="1"/>
                <w:szCs w:val="1"/>
                <w:color w:val="auto"/>
              </w:rPr>
            </w:pPr>
          </w:p>
        </w:tc>
      </w:tr>
      <w:tr>
        <w:trPr>
          <w:trHeight w:val="182"/>
        </w:trPr>
        <w:tc>
          <w:tcPr>
            <w:tcW w:w="4920" w:type="dxa"/>
            <w:vAlign w:val="bottom"/>
            <w:gridSpan w:val="2"/>
          </w:tcPr>
          <w:p>
            <w:pPr>
              <w:spacing w:after="0"/>
              <w:rPr>
                <w:sz w:val="20"/>
                <w:szCs w:val="20"/>
                <w:color w:val="auto"/>
              </w:rPr>
            </w:pPr>
            <w:r>
              <w:rPr>
                <w:rFonts w:ascii="Arial" w:cs="Arial" w:eastAsia="Arial" w:hAnsi="Arial"/>
                <w:sz w:val="14"/>
                <w:szCs w:val="14"/>
                <w:b w:val="1"/>
                <w:bCs w:val="1"/>
                <w:color w:val="002E6D"/>
              </w:rPr>
              <w:t>enneth R. Possenriede</w:t>
            </w:r>
          </w:p>
        </w:tc>
        <w:tc>
          <w:tcPr>
            <w:tcW w:w="1960" w:type="dxa"/>
            <w:vAlign w:val="bottom"/>
            <w:shd w:val="clear" w:color="auto" w:fill="E4E6EF"/>
          </w:tcPr>
          <w:p>
            <w:pPr>
              <w:jc w:val="right"/>
              <w:ind w:right="372"/>
              <w:spacing w:after="0"/>
              <w:rPr>
                <w:sz w:val="20"/>
                <w:szCs w:val="20"/>
                <w:color w:val="auto"/>
              </w:rPr>
            </w:pPr>
            <w:r>
              <w:rPr>
                <w:rFonts w:ascii="Arial" w:cs="Arial" w:eastAsia="Arial" w:hAnsi="Arial"/>
                <w:sz w:val="14"/>
                <w:szCs w:val="14"/>
                <w:color w:val="auto"/>
              </w:rPr>
              <w:t>—</w:t>
            </w:r>
          </w:p>
        </w:tc>
        <w:tc>
          <w:tcPr>
            <w:tcW w:w="1040" w:type="dxa"/>
            <w:vAlign w:val="bottom"/>
            <w:shd w:val="clear" w:color="auto" w:fill="E4E6EF"/>
          </w:tcPr>
          <w:p>
            <w:pPr>
              <w:jc w:val="right"/>
              <w:ind w:right="12"/>
              <w:spacing w:after="0"/>
              <w:rPr>
                <w:sz w:val="20"/>
                <w:szCs w:val="20"/>
                <w:color w:val="auto"/>
              </w:rPr>
            </w:pPr>
            <w:r>
              <w:rPr>
                <w:rFonts w:ascii="Arial" w:cs="Arial" w:eastAsia="Arial" w:hAnsi="Arial"/>
                <w:sz w:val="14"/>
                <w:szCs w:val="14"/>
                <w:color w:val="auto"/>
              </w:rPr>
              <w:t>—</w:t>
            </w:r>
          </w:p>
        </w:tc>
        <w:tc>
          <w:tcPr>
            <w:tcW w:w="2140" w:type="dxa"/>
            <w:vAlign w:val="bottom"/>
            <w:gridSpan w:val="2"/>
            <w:shd w:val="clear" w:color="auto" w:fill="E4E6EF"/>
          </w:tcPr>
          <w:p>
            <w:pPr>
              <w:jc w:val="right"/>
              <w:ind w:right="336"/>
              <w:spacing w:after="0"/>
              <w:rPr>
                <w:sz w:val="20"/>
                <w:szCs w:val="20"/>
                <w:color w:val="auto"/>
              </w:rPr>
            </w:pPr>
            <w:r>
              <w:rPr>
                <w:rFonts w:ascii="Arial" w:cs="Arial" w:eastAsia="Arial" w:hAnsi="Arial"/>
                <w:sz w:val="14"/>
                <w:szCs w:val="14"/>
                <w:color w:val="auto"/>
              </w:rPr>
              <w:t>1,409</w:t>
            </w:r>
          </w:p>
        </w:tc>
        <w:tc>
          <w:tcPr>
            <w:tcW w:w="1040" w:type="dxa"/>
            <w:vAlign w:val="bottom"/>
            <w:shd w:val="clear" w:color="auto" w:fill="E4E6EF"/>
          </w:tcPr>
          <w:p>
            <w:pPr>
              <w:jc w:val="right"/>
              <w:spacing w:after="0"/>
              <w:rPr>
                <w:sz w:val="20"/>
                <w:szCs w:val="20"/>
                <w:color w:val="auto"/>
              </w:rPr>
            </w:pPr>
            <w:r>
              <w:rPr>
                <w:rFonts w:ascii="Arial" w:cs="Arial" w:eastAsia="Arial" w:hAnsi="Arial"/>
                <w:sz w:val="14"/>
                <w:szCs w:val="14"/>
                <w:color w:val="auto"/>
              </w:rPr>
              <w:t>479,722</w:t>
            </w:r>
          </w:p>
        </w:tc>
      </w:tr>
      <w:tr>
        <w:trPr>
          <w:trHeight w:val="20"/>
        </w:trPr>
        <w:tc>
          <w:tcPr>
            <w:tcW w:w="100" w:type="dxa"/>
            <w:vAlign w:val="bottom"/>
          </w:tcPr>
          <w:p>
            <w:pPr>
              <w:spacing w:after="0" w:line="20" w:lineRule="exact"/>
              <w:rPr>
                <w:sz w:val="1"/>
                <w:szCs w:val="1"/>
                <w:color w:val="auto"/>
              </w:rPr>
            </w:pPr>
          </w:p>
        </w:tc>
        <w:tc>
          <w:tcPr>
            <w:tcW w:w="4820" w:type="dxa"/>
            <w:vAlign w:val="bottom"/>
            <w:shd w:val="clear" w:color="auto" w:fill="939598"/>
          </w:tcPr>
          <w:p>
            <w:pPr>
              <w:spacing w:after="0" w:line="20" w:lineRule="exact"/>
              <w:rPr>
                <w:sz w:val="1"/>
                <w:szCs w:val="1"/>
                <w:color w:val="auto"/>
              </w:rPr>
            </w:pPr>
          </w:p>
        </w:tc>
        <w:tc>
          <w:tcPr>
            <w:tcW w:w="1960" w:type="dxa"/>
            <w:vAlign w:val="bottom"/>
            <w:shd w:val="clear" w:color="auto" w:fill="939598"/>
          </w:tcPr>
          <w:p>
            <w:pPr>
              <w:spacing w:after="0" w:line="20" w:lineRule="exact"/>
              <w:rPr>
                <w:sz w:val="1"/>
                <w:szCs w:val="1"/>
                <w:color w:val="auto"/>
              </w:rPr>
            </w:pPr>
          </w:p>
        </w:tc>
        <w:tc>
          <w:tcPr>
            <w:tcW w:w="1040" w:type="dxa"/>
            <w:vAlign w:val="bottom"/>
            <w:shd w:val="clear" w:color="auto" w:fill="939598"/>
          </w:tcPr>
          <w:p>
            <w:pPr>
              <w:spacing w:after="0" w:line="20" w:lineRule="exact"/>
              <w:rPr>
                <w:sz w:val="1"/>
                <w:szCs w:val="1"/>
                <w:color w:val="auto"/>
              </w:rPr>
            </w:pPr>
          </w:p>
        </w:tc>
        <w:tc>
          <w:tcPr>
            <w:tcW w:w="2140" w:type="dxa"/>
            <w:vAlign w:val="bottom"/>
            <w:gridSpan w:val="2"/>
            <w:shd w:val="clear" w:color="auto" w:fill="939598"/>
          </w:tcPr>
          <w:p>
            <w:pPr>
              <w:spacing w:after="0" w:line="20" w:lineRule="exact"/>
              <w:rPr>
                <w:sz w:val="1"/>
                <w:szCs w:val="1"/>
                <w:color w:val="auto"/>
              </w:rPr>
            </w:pPr>
          </w:p>
        </w:tc>
        <w:tc>
          <w:tcPr>
            <w:tcW w:w="1040" w:type="dxa"/>
            <w:vAlign w:val="bottom"/>
            <w:shd w:val="clear" w:color="auto" w:fill="939598"/>
          </w:tcPr>
          <w:p>
            <w:pPr>
              <w:spacing w:after="0" w:line="20" w:lineRule="exact"/>
              <w:rPr>
                <w:sz w:val="1"/>
                <w:szCs w:val="1"/>
                <w:color w:val="auto"/>
              </w:rPr>
            </w:pPr>
          </w:p>
        </w:tc>
      </w:tr>
      <w:tr>
        <w:trPr>
          <w:trHeight w:val="182"/>
        </w:trPr>
        <w:tc>
          <w:tcPr>
            <w:tcW w:w="4920" w:type="dxa"/>
            <w:vAlign w:val="bottom"/>
            <w:gridSpan w:val="2"/>
          </w:tcPr>
          <w:p>
            <w:pPr>
              <w:ind w:left="20"/>
              <w:spacing w:after="0"/>
              <w:rPr>
                <w:sz w:val="20"/>
                <w:szCs w:val="20"/>
                <w:color w:val="auto"/>
              </w:rPr>
            </w:pPr>
            <w:r>
              <w:rPr>
                <w:rFonts w:ascii="Arial" w:cs="Arial" w:eastAsia="Arial" w:hAnsi="Arial"/>
                <w:sz w:val="14"/>
                <w:szCs w:val="14"/>
                <w:b w:val="1"/>
                <w:bCs w:val="1"/>
                <w:color w:val="002E6D"/>
              </w:rPr>
              <w:t>ank A. St. John</w:t>
            </w:r>
          </w:p>
        </w:tc>
        <w:tc>
          <w:tcPr>
            <w:tcW w:w="1960" w:type="dxa"/>
            <w:vAlign w:val="bottom"/>
          </w:tcPr>
          <w:p>
            <w:pPr>
              <w:jc w:val="right"/>
              <w:ind w:right="372"/>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140" w:type="dxa"/>
            <w:vAlign w:val="bottom"/>
            <w:gridSpan w:val="2"/>
          </w:tcPr>
          <w:p>
            <w:pPr>
              <w:jc w:val="right"/>
              <w:ind w:right="336"/>
              <w:spacing w:after="0"/>
              <w:rPr>
                <w:sz w:val="20"/>
                <w:szCs w:val="20"/>
                <w:color w:val="auto"/>
              </w:rPr>
            </w:pPr>
            <w:r>
              <w:rPr>
                <w:rFonts w:ascii="Arial" w:cs="Arial" w:eastAsia="Arial" w:hAnsi="Arial"/>
                <w:sz w:val="14"/>
                <w:szCs w:val="14"/>
                <w:color w:val="auto"/>
              </w:rPr>
              <w:t>12,909</w:t>
            </w:r>
          </w:p>
        </w:tc>
        <w:tc>
          <w:tcPr>
            <w:tcW w:w="1040" w:type="dxa"/>
            <w:vAlign w:val="bottom"/>
          </w:tcPr>
          <w:p>
            <w:pPr>
              <w:jc w:val="right"/>
              <w:spacing w:after="0"/>
              <w:rPr>
                <w:sz w:val="20"/>
                <w:szCs w:val="20"/>
                <w:color w:val="auto"/>
              </w:rPr>
            </w:pPr>
            <w:r>
              <w:rPr>
                <w:rFonts w:ascii="Arial" w:cs="Arial" w:eastAsia="Arial" w:hAnsi="Arial"/>
                <w:sz w:val="14"/>
                <w:szCs w:val="14"/>
                <w:color w:val="auto"/>
              </w:rPr>
              <w:t>4,401,564</w:t>
            </w:r>
          </w:p>
        </w:tc>
      </w:tr>
      <w:tr>
        <w:trPr>
          <w:trHeight w:val="20"/>
        </w:trPr>
        <w:tc>
          <w:tcPr>
            <w:tcW w:w="100" w:type="dxa"/>
            <w:vAlign w:val="bottom"/>
          </w:tcPr>
          <w:p>
            <w:pPr>
              <w:spacing w:after="0" w:line="20" w:lineRule="exact"/>
              <w:rPr>
                <w:sz w:val="1"/>
                <w:szCs w:val="1"/>
                <w:color w:val="auto"/>
              </w:rPr>
            </w:pPr>
          </w:p>
        </w:tc>
        <w:tc>
          <w:tcPr>
            <w:tcW w:w="4820" w:type="dxa"/>
            <w:vAlign w:val="bottom"/>
            <w:shd w:val="clear" w:color="auto" w:fill="939598"/>
          </w:tcPr>
          <w:p>
            <w:pPr>
              <w:spacing w:after="0" w:line="20" w:lineRule="exact"/>
              <w:rPr>
                <w:sz w:val="1"/>
                <w:szCs w:val="1"/>
                <w:color w:val="auto"/>
              </w:rPr>
            </w:pPr>
          </w:p>
        </w:tc>
        <w:tc>
          <w:tcPr>
            <w:tcW w:w="1960" w:type="dxa"/>
            <w:vAlign w:val="bottom"/>
            <w:shd w:val="clear" w:color="auto" w:fill="939598"/>
          </w:tcPr>
          <w:p>
            <w:pPr>
              <w:spacing w:after="0" w:line="20" w:lineRule="exact"/>
              <w:rPr>
                <w:sz w:val="1"/>
                <w:szCs w:val="1"/>
                <w:color w:val="auto"/>
              </w:rPr>
            </w:pPr>
          </w:p>
        </w:tc>
        <w:tc>
          <w:tcPr>
            <w:tcW w:w="1040" w:type="dxa"/>
            <w:vAlign w:val="bottom"/>
            <w:shd w:val="clear" w:color="auto" w:fill="939598"/>
          </w:tcPr>
          <w:p>
            <w:pPr>
              <w:spacing w:after="0" w:line="20" w:lineRule="exact"/>
              <w:rPr>
                <w:sz w:val="1"/>
                <w:szCs w:val="1"/>
                <w:color w:val="auto"/>
              </w:rPr>
            </w:pPr>
          </w:p>
        </w:tc>
        <w:tc>
          <w:tcPr>
            <w:tcW w:w="2140" w:type="dxa"/>
            <w:vAlign w:val="bottom"/>
            <w:gridSpan w:val="2"/>
            <w:shd w:val="clear" w:color="auto" w:fill="939598"/>
          </w:tcPr>
          <w:p>
            <w:pPr>
              <w:spacing w:after="0" w:line="20" w:lineRule="exact"/>
              <w:rPr>
                <w:sz w:val="1"/>
                <w:szCs w:val="1"/>
                <w:color w:val="auto"/>
              </w:rPr>
            </w:pPr>
          </w:p>
        </w:tc>
        <w:tc>
          <w:tcPr>
            <w:tcW w:w="1040" w:type="dxa"/>
            <w:vAlign w:val="bottom"/>
            <w:shd w:val="clear" w:color="auto" w:fill="939598"/>
          </w:tcPr>
          <w:p>
            <w:pPr>
              <w:spacing w:after="0" w:line="20" w:lineRule="exact"/>
              <w:rPr>
                <w:sz w:val="1"/>
                <w:szCs w:val="1"/>
                <w:color w:val="auto"/>
              </w:rPr>
            </w:pPr>
          </w:p>
        </w:tc>
      </w:tr>
      <w:tr>
        <w:trPr>
          <w:trHeight w:val="182"/>
        </w:trPr>
        <w:tc>
          <w:tcPr>
            <w:tcW w:w="4920" w:type="dxa"/>
            <w:vAlign w:val="bottom"/>
            <w:gridSpan w:val="2"/>
          </w:tcPr>
          <w:p>
            <w:pPr>
              <w:spacing w:after="0"/>
              <w:rPr>
                <w:sz w:val="20"/>
                <w:szCs w:val="20"/>
                <w:color w:val="auto"/>
              </w:rPr>
            </w:pPr>
            <w:r>
              <w:rPr>
                <w:rFonts w:ascii="Arial" w:cs="Arial" w:eastAsia="Arial" w:hAnsi="Arial"/>
                <w:sz w:val="14"/>
                <w:szCs w:val="14"/>
                <w:b w:val="1"/>
                <w:bCs w:val="1"/>
                <w:color w:val="002E6D"/>
              </w:rPr>
              <w:t>ichard F. Ambrose</w:t>
            </w:r>
          </w:p>
        </w:tc>
        <w:tc>
          <w:tcPr>
            <w:tcW w:w="1960" w:type="dxa"/>
            <w:vAlign w:val="bottom"/>
            <w:shd w:val="clear" w:color="auto" w:fill="E4E6EF"/>
          </w:tcPr>
          <w:p>
            <w:pPr>
              <w:jc w:val="right"/>
              <w:ind w:right="372"/>
              <w:spacing w:after="0"/>
              <w:rPr>
                <w:sz w:val="20"/>
                <w:szCs w:val="20"/>
                <w:color w:val="auto"/>
              </w:rPr>
            </w:pPr>
            <w:r>
              <w:rPr>
                <w:rFonts w:ascii="Arial" w:cs="Arial" w:eastAsia="Arial" w:hAnsi="Arial"/>
                <w:sz w:val="14"/>
                <w:szCs w:val="14"/>
                <w:color w:val="auto"/>
              </w:rPr>
              <w:t>—</w:t>
            </w:r>
          </w:p>
        </w:tc>
        <w:tc>
          <w:tcPr>
            <w:tcW w:w="1040" w:type="dxa"/>
            <w:vAlign w:val="bottom"/>
            <w:shd w:val="clear" w:color="auto" w:fill="E4E6EF"/>
          </w:tcPr>
          <w:p>
            <w:pPr>
              <w:jc w:val="right"/>
              <w:ind w:right="12"/>
              <w:spacing w:after="0"/>
              <w:rPr>
                <w:sz w:val="20"/>
                <w:szCs w:val="20"/>
                <w:color w:val="auto"/>
              </w:rPr>
            </w:pPr>
            <w:r>
              <w:rPr>
                <w:rFonts w:ascii="Arial" w:cs="Arial" w:eastAsia="Arial" w:hAnsi="Arial"/>
                <w:sz w:val="14"/>
                <w:szCs w:val="14"/>
                <w:color w:val="auto"/>
              </w:rPr>
              <w:t>—</w:t>
            </w:r>
          </w:p>
        </w:tc>
        <w:tc>
          <w:tcPr>
            <w:tcW w:w="2140" w:type="dxa"/>
            <w:vAlign w:val="bottom"/>
            <w:gridSpan w:val="2"/>
            <w:shd w:val="clear" w:color="auto" w:fill="E4E6EF"/>
          </w:tcPr>
          <w:p>
            <w:pPr>
              <w:jc w:val="right"/>
              <w:ind w:right="336"/>
              <w:spacing w:after="0"/>
              <w:rPr>
                <w:sz w:val="20"/>
                <w:szCs w:val="20"/>
                <w:color w:val="auto"/>
              </w:rPr>
            </w:pPr>
            <w:r>
              <w:rPr>
                <w:rFonts w:ascii="Arial" w:cs="Arial" w:eastAsia="Arial" w:hAnsi="Arial"/>
                <w:sz w:val="14"/>
                <w:szCs w:val="14"/>
                <w:color w:val="auto"/>
              </w:rPr>
              <w:t>12,420</w:t>
            </w:r>
          </w:p>
        </w:tc>
        <w:tc>
          <w:tcPr>
            <w:tcW w:w="1040" w:type="dxa"/>
            <w:vAlign w:val="bottom"/>
            <w:shd w:val="clear" w:color="auto" w:fill="E4E6EF"/>
          </w:tcPr>
          <w:p>
            <w:pPr>
              <w:jc w:val="right"/>
              <w:spacing w:after="0"/>
              <w:rPr>
                <w:sz w:val="20"/>
                <w:szCs w:val="20"/>
                <w:color w:val="auto"/>
              </w:rPr>
            </w:pPr>
            <w:r>
              <w:rPr>
                <w:rFonts w:ascii="Arial" w:cs="Arial" w:eastAsia="Arial" w:hAnsi="Arial"/>
                <w:sz w:val="14"/>
                <w:szCs w:val="14"/>
                <w:color w:val="auto"/>
              </w:rPr>
              <w:t>4,229,197</w:t>
            </w:r>
          </w:p>
        </w:tc>
      </w:tr>
      <w:tr>
        <w:trPr>
          <w:trHeight w:val="20"/>
        </w:trPr>
        <w:tc>
          <w:tcPr>
            <w:tcW w:w="100" w:type="dxa"/>
            <w:vAlign w:val="bottom"/>
          </w:tcPr>
          <w:p>
            <w:pPr>
              <w:spacing w:after="0" w:line="20" w:lineRule="exact"/>
              <w:rPr>
                <w:sz w:val="1"/>
                <w:szCs w:val="1"/>
                <w:color w:val="auto"/>
              </w:rPr>
            </w:pPr>
          </w:p>
        </w:tc>
        <w:tc>
          <w:tcPr>
            <w:tcW w:w="4820" w:type="dxa"/>
            <w:vAlign w:val="bottom"/>
            <w:shd w:val="clear" w:color="auto" w:fill="939598"/>
          </w:tcPr>
          <w:p>
            <w:pPr>
              <w:spacing w:after="0" w:line="20" w:lineRule="exact"/>
              <w:rPr>
                <w:sz w:val="1"/>
                <w:szCs w:val="1"/>
                <w:color w:val="auto"/>
              </w:rPr>
            </w:pPr>
          </w:p>
        </w:tc>
        <w:tc>
          <w:tcPr>
            <w:tcW w:w="1960" w:type="dxa"/>
            <w:vAlign w:val="bottom"/>
            <w:shd w:val="clear" w:color="auto" w:fill="939598"/>
          </w:tcPr>
          <w:p>
            <w:pPr>
              <w:spacing w:after="0" w:line="20" w:lineRule="exact"/>
              <w:rPr>
                <w:sz w:val="1"/>
                <w:szCs w:val="1"/>
                <w:color w:val="auto"/>
              </w:rPr>
            </w:pPr>
          </w:p>
        </w:tc>
        <w:tc>
          <w:tcPr>
            <w:tcW w:w="1040" w:type="dxa"/>
            <w:vAlign w:val="bottom"/>
            <w:shd w:val="clear" w:color="auto" w:fill="939598"/>
          </w:tcPr>
          <w:p>
            <w:pPr>
              <w:spacing w:after="0" w:line="20" w:lineRule="exact"/>
              <w:rPr>
                <w:sz w:val="1"/>
                <w:szCs w:val="1"/>
                <w:color w:val="auto"/>
              </w:rPr>
            </w:pPr>
          </w:p>
        </w:tc>
        <w:tc>
          <w:tcPr>
            <w:tcW w:w="2140" w:type="dxa"/>
            <w:vAlign w:val="bottom"/>
            <w:gridSpan w:val="2"/>
            <w:shd w:val="clear" w:color="auto" w:fill="939598"/>
          </w:tcPr>
          <w:p>
            <w:pPr>
              <w:spacing w:after="0" w:line="20" w:lineRule="exact"/>
              <w:rPr>
                <w:sz w:val="1"/>
                <w:szCs w:val="1"/>
                <w:color w:val="auto"/>
              </w:rPr>
            </w:pPr>
          </w:p>
        </w:tc>
        <w:tc>
          <w:tcPr>
            <w:tcW w:w="1040" w:type="dxa"/>
            <w:vAlign w:val="bottom"/>
            <w:shd w:val="clear" w:color="auto" w:fill="939598"/>
          </w:tcPr>
          <w:p>
            <w:pPr>
              <w:spacing w:after="0" w:line="20" w:lineRule="exact"/>
              <w:rPr>
                <w:sz w:val="1"/>
                <w:szCs w:val="1"/>
                <w:color w:val="auto"/>
              </w:rPr>
            </w:pPr>
          </w:p>
        </w:tc>
      </w:tr>
      <w:tr>
        <w:trPr>
          <w:trHeight w:val="182"/>
        </w:trPr>
        <w:tc>
          <w:tcPr>
            <w:tcW w:w="4920" w:type="dxa"/>
            <w:vAlign w:val="bottom"/>
            <w:gridSpan w:val="2"/>
          </w:tcPr>
          <w:p>
            <w:pPr>
              <w:spacing w:after="0"/>
              <w:rPr>
                <w:sz w:val="20"/>
                <w:szCs w:val="20"/>
                <w:color w:val="auto"/>
              </w:rPr>
            </w:pPr>
            <w:r>
              <w:rPr>
                <w:rFonts w:ascii="Arial" w:cs="Arial" w:eastAsia="Arial" w:hAnsi="Arial"/>
                <w:sz w:val="14"/>
                <w:szCs w:val="14"/>
                <w:b w:val="1"/>
                <w:bCs w:val="1"/>
                <w:color w:val="002E6D"/>
              </w:rPr>
              <w:t>tephanie C. Hill</w:t>
            </w:r>
          </w:p>
        </w:tc>
        <w:tc>
          <w:tcPr>
            <w:tcW w:w="1960" w:type="dxa"/>
            <w:vAlign w:val="bottom"/>
          </w:tcPr>
          <w:p>
            <w:pPr>
              <w:jc w:val="right"/>
              <w:ind w:right="372"/>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2140" w:type="dxa"/>
            <w:vAlign w:val="bottom"/>
            <w:gridSpan w:val="2"/>
          </w:tcPr>
          <w:p>
            <w:pPr>
              <w:jc w:val="right"/>
              <w:ind w:right="336"/>
              <w:spacing w:after="0"/>
              <w:rPr>
                <w:sz w:val="20"/>
                <w:szCs w:val="20"/>
                <w:color w:val="auto"/>
              </w:rPr>
            </w:pPr>
            <w:r>
              <w:rPr>
                <w:rFonts w:ascii="Arial" w:cs="Arial" w:eastAsia="Arial" w:hAnsi="Arial"/>
                <w:sz w:val="14"/>
                <w:szCs w:val="14"/>
                <w:color w:val="auto"/>
              </w:rPr>
              <w:t>3,731</w:t>
            </w:r>
          </w:p>
        </w:tc>
        <w:tc>
          <w:tcPr>
            <w:tcW w:w="1040" w:type="dxa"/>
            <w:vAlign w:val="bottom"/>
          </w:tcPr>
          <w:p>
            <w:pPr>
              <w:jc w:val="right"/>
              <w:spacing w:after="0"/>
              <w:rPr>
                <w:sz w:val="20"/>
                <w:szCs w:val="20"/>
                <w:color w:val="auto"/>
              </w:rPr>
            </w:pPr>
            <w:r>
              <w:rPr>
                <w:rFonts w:ascii="Arial" w:cs="Arial" w:eastAsia="Arial" w:hAnsi="Arial"/>
                <w:sz w:val="14"/>
                <w:szCs w:val="14"/>
                <w:color w:val="auto"/>
              </w:rPr>
              <w:t>1,270,892</w:t>
            </w:r>
          </w:p>
        </w:tc>
      </w:tr>
      <w:tr>
        <w:trPr>
          <w:trHeight w:val="20"/>
        </w:trPr>
        <w:tc>
          <w:tcPr>
            <w:tcW w:w="100" w:type="dxa"/>
            <w:vAlign w:val="bottom"/>
          </w:tcPr>
          <w:p>
            <w:pPr>
              <w:spacing w:after="0" w:line="20" w:lineRule="exact"/>
              <w:rPr>
                <w:sz w:val="1"/>
                <w:szCs w:val="1"/>
                <w:color w:val="auto"/>
              </w:rPr>
            </w:pPr>
          </w:p>
        </w:tc>
        <w:tc>
          <w:tcPr>
            <w:tcW w:w="4820" w:type="dxa"/>
            <w:vAlign w:val="bottom"/>
            <w:shd w:val="clear" w:color="auto" w:fill="939598"/>
          </w:tcPr>
          <w:p>
            <w:pPr>
              <w:spacing w:after="0" w:line="20" w:lineRule="exact"/>
              <w:rPr>
                <w:sz w:val="1"/>
                <w:szCs w:val="1"/>
                <w:color w:val="auto"/>
              </w:rPr>
            </w:pPr>
          </w:p>
        </w:tc>
        <w:tc>
          <w:tcPr>
            <w:tcW w:w="1960" w:type="dxa"/>
            <w:vAlign w:val="bottom"/>
            <w:shd w:val="clear" w:color="auto" w:fill="939598"/>
          </w:tcPr>
          <w:p>
            <w:pPr>
              <w:spacing w:after="0" w:line="20" w:lineRule="exact"/>
              <w:rPr>
                <w:sz w:val="1"/>
                <w:szCs w:val="1"/>
                <w:color w:val="auto"/>
              </w:rPr>
            </w:pPr>
          </w:p>
        </w:tc>
        <w:tc>
          <w:tcPr>
            <w:tcW w:w="1040" w:type="dxa"/>
            <w:vAlign w:val="bottom"/>
            <w:shd w:val="clear" w:color="auto" w:fill="939598"/>
          </w:tcPr>
          <w:p>
            <w:pPr>
              <w:spacing w:after="0" w:line="20" w:lineRule="exact"/>
              <w:rPr>
                <w:sz w:val="1"/>
                <w:szCs w:val="1"/>
                <w:color w:val="auto"/>
              </w:rPr>
            </w:pPr>
          </w:p>
        </w:tc>
        <w:tc>
          <w:tcPr>
            <w:tcW w:w="2140" w:type="dxa"/>
            <w:vAlign w:val="bottom"/>
            <w:gridSpan w:val="2"/>
            <w:shd w:val="clear" w:color="auto" w:fill="939598"/>
          </w:tcPr>
          <w:p>
            <w:pPr>
              <w:spacing w:after="0" w:line="20" w:lineRule="exact"/>
              <w:rPr>
                <w:sz w:val="1"/>
                <w:szCs w:val="1"/>
                <w:color w:val="auto"/>
              </w:rPr>
            </w:pPr>
          </w:p>
        </w:tc>
        <w:tc>
          <w:tcPr>
            <w:tcW w:w="1040" w:type="dxa"/>
            <w:vAlign w:val="bottom"/>
            <w:shd w:val="clear" w:color="auto" w:fill="939598"/>
          </w:tcPr>
          <w:p>
            <w:pPr>
              <w:spacing w:after="0" w:line="20" w:lineRule="exact"/>
              <w:rPr>
                <w:sz w:val="1"/>
                <w:szCs w:val="1"/>
                <w:color w:val="auto"/>
              </w:rPr>
            </w:pPr>
          </w:p>
        </w:tc>
      </w:tr>
      <w:tr>
        <w:trPr>
          <w:trHeight w:val="182"/>
        </w:trPr>
        <w:tc>
          <w:tcPr>
            <w:tcW w:w="4920" w:type="dxa"/>
            <w:vAlign w:val="bottom"/>
            <w:gridSpan w:val="2"/>
          </w:tcPr>
          <w:p>
            <w:pPr>
              <w:spacing w:after="0"/>
              <w:rPr>
                <w:sz w:val="20"/>
                <w:szCs w:val="20"/>
                <w:color w:val="auto"/>
              </w:rPr>
            </w:pPr>
            <w:r>
              <w:rPr>
                <w:rFonts w:ascii="Arial" w:cs="Arial" w:eastAsia="Arial" w:hAnsi="Arial"/>
                <w:sz w:val="14"/>
                <w:szCs w:val="14"/>
                <w:b w:val="1"/>
                <w:bCs w:val="1"/>
                <w:color w:val="002E6D"/>
              </w:rPr>
              <w:t>arillyn A. Hewson</w:t>
            </w:r>
          </w:p>
        </w:tc>
        <w:tc>
          <w:tcPr>
            <w:tcW w:w="1960" w:type="dxa"/>
            <w:vAlign w:val="bottom"/>
            <w:shd w:val="clear" w:color="auto" w:fill="E4E6EF"/>
          </w:tcPr>
          <w:p>
            <w:pPr>
              <w:jc w:val="right"/>
              <w:ind w:right="372"/>
              <w:spacing w:after="0"/>
              <w:rPr>
                <w:sz w:val="20"/>
                <w:szCs w:val="20"/>
                <w:color w:val="auto"/>
              </w:rPr>
            </w:pPr>
            <w:r>
              <w:rPr>
                <w:rFonts w:ascii="Arial" w:cs="Arial" w:eastAsia="Arial" w:hAnsi="Arial"/>
                <w:sz w:val="14"/>
                <w:szCs w:val="14"/>
                <w:color w:val="auto"/>
              </w:rPr>
              <w:t>82,935</w:t>
            </w:r>
          </w:p>
        </w:tc>
        <w:tc>
          <w:tcPr>
            <w:tcW w:w="1040" w:type="dxa"/>
            <w:vAlign w:val="bottom"/>
            <w:shd w:val="clear" w:color="auto" w:fill="E4E6EF"/>
          </w:tcPr>
          <w:p>
            <w:pPr>
              <w:jc w:val="right"/>
              <w:ind w:right="12"/>
              <w:spacing w:after="0"/>
              <w:rPr>
                <w:sz w:val="20"/>
                <w:szCs w:val="20"/>
                <w:color w:val="auto"/>
              </w:rPr>
            </w:pPr>
            <w:r>
              <w:rPr>
                <w:rFonts w:ascii="Arial" w:cs="Arial" w:eastAsia="Arial" w:hAnsi="Arial"/>
                <w:sz w:val="14"/>
                <w:szCs w:val="14"/>
                <w:color w:val="auto"/>
              </w:rPr>
              <w:t>22,053,558</w:t>
            </w:r>
          </w:p>
        </w:tc>
        <w:tc>
          <w:tcPr>
            <w:tcW w:w="2140" w:type="dxa"/>
            <w:vAlign w:val="bottom"/>
            <w:gridSpan w:val="2"/>
            <w:shd w:val="clear" w:color="auto" w:fill="E4E6EF"/>
          </w:tcPr>
          <w:p>
            <w:pPr>
              <w:jc w:val="right"/>
              <w:ind w:right="336"/>
              <w:spacing w:after="0"/>
              <w:rPr>
                <w:sz w:val="20"/>
                <w:szCs w:val="20"/>
                <w:color w:val="auto"/>
              </w:rPr>
            </w:pPr>
            <w:r>
              <w:rPr>
                <w:rFonts w:ascii="Arial" w:cs="Arial" w:eastAsia="Arial" w:hAnsi="Arial"/>
                <w:sz w:val="14"/>
                <w:szCs w:val="14"/>
                <w:color w:val="auto"/>
              </w:rPr>
              <w:t>41,718</w:t>
            </w:r>
          </w:p>
        </w:tc>
        <w:tc>
          <w:tcPr>
            <w:tcW w:w="1040" w:type="dxa"/>
            <w:vAlign w:val="bottom"/>
            <w:shd w:val="clear" w:color="auto" w:fill="E4E6EF"/>
          </w:tcPr>
          <w:p>
            <w:pPr>
              <w:jc w:val="right"/>
              <w:spacing w:after="0"/>
              <w:rPr>
                <w:sz w:val="20"/>
                <w:szCs w:val="20"/>
                <w:color w:val="auto"/>
              </w:rPr>
            </w:pPr>
            <w:r>
              <w:rPr>
                <w:rFonts w:ascii="Arial" w:cs="Arial" w:eastAsia="Arial" w:hAnsi="Arial"/>
                <w:sz w:val="14"/>
                <w:szCs w:val="14"/>
                <w:color w:val="auto"/>
              </w:rPr>
              <w:t>14,203,727</w:t>
            </w:r>
          </w:p>
        </w:tc>
      </w:tr>
      <w:tr>
        <w:trPr>
          <w:trHeight w:val="20"/>
        </w:trPr>
        <w:tc>
          <w:tcPr>
            <w:tcW w:w="100" w:type="dxa"/>
            <w:vAlign w:val="bottom"/>
          </w:tcPr>
          <w:p>
            <w:pPr>
              <w:spacing w:after="0" w:line="20" w:lineRule="exact"/>
              <w:rPr>
                <w:sz w:val="1"/>
                <w:szCs w:val="1"/>
                <w:color w:val="auto"/>
              </w:rPr>
            </w:pPr>
          </w:p>
        </w:tc>
        <w:tc>
          <w:tcPr>
            <w:tcW w:w="4820" w:type="dxa"/>
            <w:vAlign w:val="bottom"/>
            <w:shd w:val="clear" w:color="auto" w:fill="939598"/>
          </w:tcPr>
          <w:p>
            <w:pPr>
              <w:spacing w:after="0" w:line="20" w:lineRule="exact"/>
              <w:rPr>
                <w:sz w:val="1"/>
                <w:szCs w:val="1"/>
                <w:color w:val="auto"/>
              </w:rPr>
            </w:pPr>
          </w:p>
        </w:tc>
        <w:tc>
          <w:tcPr>
            <w:tcW w:w="1960" w:type="dxa"/>
            <w:vAlign w:val="bottom"/>
            <w:shd w:val="clear" w:color="auto" w:fill="939598"/>
          </w:tcPr>
          <w:p>
            <w:pPr>
              <w:spacing w:after="0" w:line="20" w:lineRule="exact"/>
              <w:rPr>
                <w:sz w:val="1"/>
                <w:szCs w:val="1"/>
                <w:color w:val="auto"/>
              </w:rPr>
            </w:pPr>
          </w:p>
        </w:tc>
        <w:tc>
          <w:tcPr>
            <w:tcW w:w="1040" w:type="dxa"/>
            <w:vAlign w:val="bottom"/>
            <w:shd w:val="clear" w:color="auto" w:fill="939598"/>
          </w:tcPr>
          <w:p>
            <w:pPr>
              <w:spacing w:after="0" w:line="20" w:lineRule="exact"/>
              <w:rPr>
                <w:sz w:val="1"/>
                <w:szCs w:val="1"/>
                <w:color w:val="auto"/>
              </w:rPr>
            </w:pPr>
          </w:p>
        </w:tc>
        <w:tc>
          <w:tcPr>
            <w:tcW w:w="200" w:type="dxa"/>
            <w:vAlign w:val="bottom"/>
            <w:shd w:val="clear" w:color="auto" w:fill="939598"/>
          </w:tcPr>
          <w:p>
            <w:pPr>
              <w:spacing w:after="0" w:line="20" w:lineRule="exact"/>
              <w:rPr>
                <w:sz w:val="1"/>
                <w:szCs w:val="1"/>
                <w:color w:val="auto"/>
              </w:rPr>
            </w:pPr>
          </w:p>
        </w:tc>
        <w:tc>
          <w:tcPr>
            <w:tcW w:w="1940" w:type="dxa"/>
            <w:vAlign w:val="bottom"/>
            <w:shd w:val="clear" w:color="auto" w:fill="939598"/>
          </w:tcPr>
          <w:p>
            <w:pPr>
              <w:spacing w:after="0" w:line="20" w:lineRule="exact"/>
              <w:rPr>
                <w:sz w:val="1"/>
                <w:szCs w:val="1"/>
                <w:color w:val="auto"/>
              </w:rPr>
            </w:pPr>
          </w:p>
        </w:tc>
        <w:tc>
          <w:tcPr>
            <w:tcW w:w="1040" w:type="dxa"/>
            <w:vAlign w:val="bottom"/>
            <w:shd w:val="clear" w:color="auto" w:fill="939598"/>
          </w:tcPr>
          <w:p>
            <w:pPr>
              <w:spacing w:after="0" w:line="20" w:lineRule="exact"/>
              <w:rPr>
                <w:sz w:val="1"/>
                <w:szCs w:val="1"/>
                <w:color w:val="auto"/>
              </w:rPr>
            </w:pPr>
          </w:p>
        </w:tc>
      </w:tr>
    </w:tbl>
    <w:p>
      <w:pPr>
        <w:spacing w:after="0" w:line="153" w:lineRule="exact"/>
        <w:rPr>
          <w:sz w:val="20"/>
          <w:szCs w:val="20"/>
          <w:color w:val="auto"/>
        </w:rPr>
      </w:pPr>
    </w:p>
    <w:p>
      <w:pPr>
        <w:ind w:left="340" w:hanging="233"/>
        <w:spacing w:after="0" w:line="248" w:lineRule="auto"/>
        <w:tabs>
          <w:tab w:leader="none" w:pos="371" w:val="left"/>
        </w:tabs>
        <w:numPr>
          <w:ilvl w:val="0"/>
          <w:numId w:val="105"/>
        </w:numPr>
        <w:rPr>
          <w:rFonts w:ascii="Arial" w:cs="Arial" w:eastAsia="Arial" w:hAnsi="Arial"/>
          <w:sz w:val="19"/>
          <w:szCs w:val="19"/>
          <w:color w:val="auto"/>
          <w:vertAlign w:val="superscript"/>
        </w:rPr>
      </w:pPr>
      <w:r>
        <w:rPr>
          <w:rFonts w:ascii="Arial" w:cs="Arial" w:eastAsia="Arial" w:hAnsi="Arial"/>
          <w:sz w:val="14"/>
          <w:szCs w:val="14"/>
          <w:color w:val="auto"/>
        </w:rPr>
        <w:t>Represents (i) vesting on February 22, 2021 of RSUs and PSUs granted on February 22, 2018 following the three-year vesting period (for all NEOs except Mr. Taiclet); (ii) accelerated vesting on December 3, 2021 of a portion of RSUs granted on February 25, 2021 equal to the value of the tax withholding obligation due because the NEO is retirement-eligible (for all NEOs with outstanding 2021 RSUs except Mr. Taiclet); (iii) accelerated vesting on December 3, 2021 of a portion of RSUs granted on February 21, 2019, February 27, 2020 and July 27, 2020 equal to the value of the tax withholding obligation due upon retirement-eligibility of the NEO (Mr. St. John); (iv) vesting on April 25, 2021 of RSUs granted on April 25, 2018 following the three-year vesting period (Mr. Mollard) and (v) vesting on July 27, 2021 of 7,689 RSUs granted to Mr. Taiclet on July 27, 2020 as an equity replacement award to offset forfeited unvested incentives from his former employer. The amounts for the accelerated vesting for tax withholding represent the aggregate number of shares vested prior to the concurrent disposition of the vested shares to the Company to satisfy the tax withholding obligation.</w:t>
      </w:r>
    </w:p>
    <w:p>
      <w:pPr>
        <w:spacing w:after="0" w:line="52" w:lineRule="exact"/>
        <w:rPr>
          <w:rFonts w:ascii="Arial" w:cs="Arial" w:eastAsia="Arial" w:hAnsi="Arial"/>
          <w:sz w:val="19"/>
          <w:szCs w:val="19"/>
          <w:color w:val="auto"/>
          <w:vertAlign w:val="superscript"/>
        </w:rPr>
      </w:pPr>
    </w:p>
    <w:p>
      <w:pPr>
        <w:ind w:left="340" w:right="440" w:hanging="233"/>
        <w:spacing w:after="0" w:line="219" w:lineRule="auto"/>
        <w:tabs>
          <w:tab w:leader="none" w:pos="371" w:val="left"/>
        </w:tabs>
        <w:numPr>
          <w:ilvl w:val="0"/>
          <w:numId w:val="105"/>
        </w:numPr>
        <w:rPr>
          <w:rFonts w:ascii="Arial" w:cs="Arial" w:eastAsia="Arial" w:hAnsi="Arial"/>
          <w:sz w:val="19"/>
          <w:szCs w:val="19"/>
          <w:color w:val="auto"/>
          <w:vertAlign w:val="superscript"/>
        </w:rPr>
      </w:pPr>
      <w:r>
        <w:rPr>
          <w:rFonts w:ascii="Arial" w:cs="Arial" w:eastAsia="Arial" w:hAnsi="Arial"/>
          <w:sz w:val="14"/>
          <w:szCs w:val="14"/>
          <w:color w:val="auto"/>
        </w:rPr>
        <w:t>Value realized was calculated based on the number of shares acquired on vesting multiplied by the per share closing price of our common stock on the date of vesting (February 22, 2021, $340.47, April 25, 2021, $377.29, July 27, 2021, $374.73 and December 3, 2021, $333.81).</w:t>
      </w:r>
    </w:p>
    <w:p>
      <w:pPr>
        <w:spacing w:after="0" w:line="129" w:lineRule="exact"/>
        <w:rPr>
          <w:sz w:val="20"/>
          <w:szCs w:val="20"/>
          <w:color w:val="auto"/>
        </w:rPr>
      </w:pPr>
    </w:p>
    <w:p>
      <w:pPr>
        <w:ind w:left="100"/>
        <w:spacing w:after="0"/>
        <w:rPr>
          <w:sz w:val="20"/>
          <w:szCs w:val="20"/>
          <w:color w:val="auto"/>
        </w:rPr>
      </w:pPr>
      <w:r>
        <w:rPr>
          <w:rFonts w:ascii="Arial" w:cs="Arial" w:eastAsia="Arial" w:hAnsi="Arial"/>
          <w:sz w:val="29"/>
          <w:szCs w:val="29"/>
          <w:color w:val="003478"/>
        </w:rPr>
        <w:t>Pension Benefits</w:t>
      </w:r>
    </w:p>
    <w:p>
      <w:pPr>
        <w:spacing w:after="0" w:line="108" w:lineRule="exact"/>
        <w:rPr>
          <w:sz w:val="20"/>
          <w:szCs w:val="20"/>
          <w:color w:val="auto"/>
        </w:rPr>
      </w:pPr>
    </w:p>
    <w:p>
      <w:pPr>
        <w:ind w:left="100" w:right="140"/>
        <w:spacing w:after="0" w:line="266" w:lineRule="auto"/>
        <w:rPr>
          <w:sz w:val="20"/>
          <w:szCs w:val="20"/>
          <w:color w:val="auto"/>
        </w:rPr>
      </w:pPr>
      <w:r>
        <w:rPr>
          <w:rFonts w:ascii="Arial" w:cs="Arial" w:eastAsia="Arial" w:hAnsi="Arial"/>
          <w:sz w:val="17"/>
          <w:szCs w:val="17"/>
          <w:color w:val="auto"/>
        </w:rPr>
        <w:t>The NEOs (except Mr. Taiclet) have frozen benefits under (1) the Lockheed Martin Corporation Salaried Employee Retirement Program (LMRP), which is a tax-qualified plan that includes several prior plans (the Prior Plans), and (2) the Lockheed Martin Corporation Consolidated Supplemental Retirement Benefit Plan (Supplemental Pension), which is a restorative plan that provides benefits in excess of the benefit payable under IRS rules through the LMRP. These plans were frozen in two steps. Increases in compensation ceased to be taken into account effective January 1, 2016 and increases in service ceased to be taken into account effective January 1, 2020.</w:t>
      </w:r>
    </w:p>
    <w:p>
      <w:pPr>
        <w:spacing w:after="0" w:line="86" w:lineRule="exact"/>
        <w:rPr>
          <w:sz w:val="20"/>
          <w:szCs w:val="20"/>
          <w:color w:val="auto"/>
        </w:rPr>
      </w:pPr>
    </w:p>
    <w:p>
      <w:pPr>
        <w:ind w:left="100" w:right="180"/>
        <w:spacing w:after="0" w:line="269" w:lineRule="auto"/>
        <w:rPr>
          <w:sz w:val="20"/>
          <w:szCs w:val="20"/>
          <w:color w:val="auto"/>
        </w:rPr>
      </w:pPr>
      <w:r>
        <w:rPr>
          <w:rFonts w:ascii="Arial" w:cs="Arial" w:eastAsia="Arial" w:hAnsi="Arial"/>
          <w:sz w:val="17"/>
          <w:szCs w:val="17"/>
          <w:color w:val="auto"/>
        </w:rPr>
        <w:t>The annual pension benefit for all participants under the LMRP is determined by a final average compensation formula that multiplies (x) a percentage (1.25% of compensation below the social security wage base and 1.5% above that level) times (y) years of credited service ending with 2019 times (z) the average of the employee’s highest three years of compensation in the last ten years ending with</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spacing w:after="0"/>
        <w:tabs>
          <w:tab w:leader="none" w:pos="8700" w:val="left"/>
          <w:tab w:leader="none" w:pos="111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60</w:t>
      </w:r>
    </w:p>
    <w:p>
      <w:pPr>
        <w:sectPr>
          <w:pgSz w:w="11900" w:h="16838" w:orient="portrait"/>
          <w:cols w:equalWidth="0" w:num="1">
            <w:col w:w="11340"/>
          </w:cols>
          <w:pgMar w:left="220" w:top="254" w:right="339" w:bottom="1440" w:gutter="0" w:footer="0" w:header="0"/>
        </w:sectPr>
      </w:pPr>
    </w:p>
    <w:bookmarkStart w:id="66" w:name="page67"/>
    <w:bookmarkEnd w:id="66"/>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7"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2015. Average compensation includes the NEO’s base salary and annual incentive bonuses. None of the NEOs has been credited with any extra years of service or provided a benefit from a special or enhanced formula. Normal retirement age is 65; however, benefits are payable as early as age 55 at a reduced amount or without reduction for early retirement at age 60. Benefits are payable as a monthly annuity for the lifetime of the employee, as a joint and survivor annuity, as a life annuity with a five- or ten-year guarantee, or as a level income annuity. In addition, a portion of the retirement benefits for certain NEOs may be calculated based on the formulas specified by the Prior Plans. The Prior Plans have a number of formulas, some of which take into account the participant’s years of credited service and pay over the career of the NEO as of a specified date. Certain other formulas in the Prior Plans are based upon the final average compensation and credited service of the employee as of a specified date. Pay under certain formulas in the Prior Plans included salary, commissions, lump sum pay in lieu of a salary increase and annual incentive bonuses awarded that year. All of the NEOs who participate in the LMRP, including any portion with respect to Prior Plans, were vested and are eligible for early retirement as of December 31, 2021.</w:t>
      </w:r>
    </w:p>
    <w:p>
      <w:pPr>
        <w:spacing w:after="0" w:line="86"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Supplemental Pension uses the same formula for benefits as the tax-qualified plan uses for calculating the NEO’s benefit. Although all service recognized under the tax-qualified plan is recognized under the Supplemental Pension, a benefit would have been earned under the Supplemental Pension only in years when the NEO’s total accrued benefit would have exceeded the benefit accrued under the tax-qualified plan. The Supplemental Pension benefits are payable in the same forms as benefits are paid under the LMRP, except Mr. Mollard, Mr. Ambrose and Ms. Hewson may elect a lump sum payment of their Supplemental Pension benefits due to their initial date of participation.</w:t>
      </w:r>
    </w:p>
    <w:p>
      <w:pPr>
        <w:spacing w:after="0" w:line="115" w:lineRule="exact"/>
        <w:rPr>
          <w:sz w:val="20"/>
          <w:szCs w:val="20"/>
          <w:color w:val="auto"/>
        </w:rPr>
      </w:pPr>
    </w:p>
    <w:p>
      <w:pPr>
        <w:spacing w:after="0"/>
        <w:rPr>
          <w:sz w:val="20"/>
          <w:szCs w:val="20"/>
          <w:color w:val="auto"/>
        </w:rPr>
      </w:pPr>
      <w:r>
        <w:rPr>
          <w:rFonts w:ascii="Arial" w:cs="Arial" w:eastAsia="Arial" w:hAnsi="Arial"/>
          <w:sz w:val="29"/>
          <w:szCs w:val="29"/>
          <w:color w:val="003478"/>
        </w:rPr>
        <w:t>Pension Benefits Table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920" w:type="dxa"/>
            <w:vAlign w:val="bottom"/>
            <w:shd w:val="clear" w:color="auto" w:fill="E5E7EF"/>
          </w:tcPr>
          <w:p>
            <w:pPr>
              <w:spacing w:after="0"/>
              <w:rPr>
                <w:sz w:val="14"/>
                <w:szCs w:val="14"/>
                <w:color w:val="auto"/>
              </w:rPr>
            </w:pPr>
          </w:p>
        </w:tc>
        <w:tc>
          <w:tcPr>
            <w:tcW w:w="6020" w:type="dxa"/>
            <w:vAlign w:val="bottom"/>
            <w:shd w:val="clear" w:color="auto" w:fill="E5E7EF"/>
          </w:tcPr>
          <w:p>
            <w:pPr>
              <w:spacing w:after="0"/>
              <w:rPr>
                <w:sz w:val="14"/>
                <w:szCs w:val="14"/>
                <w:color w:val="auto"/>
              </w:rPr>
            </w:pPr>
          </w:p>
        </w:tc>
        <w:tc>
          <w:tcPr>
            <w:tcW w:w="1120" w:type="dxa"/>
            <w:vAlign w:val="bottom"/>
            <w:shd w:val="clear" w:color="auto" w:fill="E5E7EF"/>
          </w:tcPr>
          <w:p>
            <w:pPr>
              <w:jc w:val="right"/>
              <w:ind w:right="111"/>
              <w:spacing w:after="0"/>
              <w:rPr>
                <w:sz w:val="20"/>
                <w:szCs w:val="20"/>
                <w:color w:val="auto"/>
              </w:rPr>
            </w:pPr>
            <w:r>
              <w:rPr>
                <w:rFonts w:ascii="Arial" w:cs="Arial" w:eastAsia="Arial" w:hAnsi="Arial"/>
                <w:sz w:val="13"/>
                <w:szCs w:val="13"/>
                <w:color w:val="auto"/>
              </w:rPr>
              <w:t>Number of</w:t>
            </w:r>
          </w:p>
        </w:tc>
        <w:tc>
          <w:tcPr>
            <w:tcW w:w="1300" w:type="dxa"/>
            <w:vAlign w:val="bottom"/>
            <w:shd w:val="clear" w:color="auto" w:fill="E5E7EF"/>
          </w:tcPr>
          <w:p>
            <w:pPr>
              <w:spacing w:after="0"/>
              <w:rPr>
                <w:sz w:val="14"/>
                <w:szCs w:val="14"/>
                <w:color w:val="auto"/>
              </w:rPr>
            </w:pPr>
          </w:p>
        </w:tc>
        <w:tc>
          <w:tcPr>
            <w:tcW w:w="880" w:type="dxa"/>
            <w:vAlign w:val="bottom"/>
            <w:shd w:val="clear" w:color="auto" w:fill="E5E7EF"/>
          </w:tcPr>
          <w:p>
            <w:pPr>
              <w:spacing w:after="0"/>
              <w:rPr>
                <w:sz w:val="14"/>
                <w:szCs w:val="14"/>
                <w:color w:val="auto"/>
              </w:rPr>
            </w:pPr>
          </w:p>
        </w:tc>
      </w:tr>
      <w:tr>
        <w:trPr>
          <w:trHeight w:val="148"/>
        </w:trPr>
        <w:tc>
          <w:tcPr>
            <w:tcW w:w="1920" w:type="dxa"/>
            <w:vAlign w:val="bottom"/>
            <w:shd w:val="clear" w:color="auto" w:fill="E5E7EF"/>
          </w:tcPr>
          <w:p>
            <w:pPr>
              <w:spacing w:after="0"/>
              <w:rPr>
                <w:sz w:val="12"/>
                <w:szCs w:val="12"/>
                <w:color w:val="auto"/>
              </w:rPr>
            </w:pPr>
          </w:p>
        </w:tc>
        <w:tc>
          <w:tcPr>
            <w:tcW w:w="6020" w:type="dxa"/>
            <w:vAlign w:val="bottom"/>
            <w:shd w:val="clear" w:color="auto" w:fill="E5E7EF"/>
          </w:tcPr>
          <w:p>
            <w:pPr>
              <w:spacing w:after="0"/>
              <w:rPr>
                <w:sz w:val="12"/>
                <w:szCs w:val="12"/>
                <w:color w:val="auto"/>
              </w:rPr>
            </w:pPr>
          </w:p>
        </w:tc>
        <w:tc>
          <w:tcPr>
            <w:tcW w:w="1120" w:type="dxa"/>
            <w:vAlign w:val="bottom"/>
            <w:shd w:val="clear" w:color="auto" w:fill="E5E7EF"/>
          </w:tcPr>
          <w:p>
            <w:pPr>
              <w:jc w:val="right"/>
              <w:ind w:right="111"/>
              <w:spacing w:after="0" w:line="148" w:lineRule="exact"/>
              <w:rPr>
                <w:sz w:val="20"/>
                <w:szCs w:val="20"/>
                <w:color w:val="auto"/>
              </w:rPr>
            </w:pPr>
            <w:r>
              <w:rPr>
                <w:rFonts w:ascii="Arial" w:cs="Arial" w:eastAsia="Arial" w:hAnsi="Arial"/>
                <w:sz w:val="13"/>
                <w:szCs w:val="13"/>
                <w:color w:val="auto"/>
              </w:rPr>
              <w:t>Years of</w:t>
            </w:r>
          </w:p>
        </w:tc>
        <w:tc>
          <w:tcPr>
            <w:tcW w:w="1300" w:type="dxa"/>
            <w:vAlign w:val="bottom"/>
            <w:shd w:val="clear" w:color="auto" w:fill="E5E7EF"/>
          </w:tcPr>
          <w:p>
            <w:pPr>
              <w:jc w:val="right"/>
              <w:ind w:right="151"/>
              <w:spacing w:after="0" w:line="148" w:lineRule="exact"/>
              <w:rPr>
                <w:sz w:val="20"/>
                <w:szCs w:val="20"/>
                <w:color w:val="auto"/>
              </w:rPr>
            </w:pPr>
            <w:r>
              <w:rPr>
                <w:rFonts w:ascii="Arial" w:cs="Arial" w:eastAsia="Arial" w:hAnsi="Arial"/>
                <w:sz w:val="13"/>
                <w:szCs w:val="13"/>
                <w:color w:val="auto"/>
              </w:rPr>
              <w:t>Present Value of</w:t>
            </w:r>
          </w:p>
        </w:tc>
        <w:tc>
          <w:tcPr>
            <w:tcW w:w="880" w:type="dxa"/>
            <w:vAlign w:val="bottom"/>
            <w:shd w:val="clear" w:color="auto" w:fill="E5E7EF"/>
          </w:tcPr>
          <w:p>
            <w:pPr>
              <w:jc w:val="right"/>
              <w:spacing w:after="0" w:line="148" w:lineRule="exact"/>
              <w:rPr>
                <w:sz w:val="20"/>
                <w:szCs w:val="20"/>
                <w:color w:val="auto"/>
              </w:rPr>
            </w:pPr>
            <w:r>
              <w:rPr>
                <w:rFonts w:ascii="Arial" w:cs="Arial" w:eastAsia="Arial" w:hAnsi="Arial"/>
                <w:sz w:val="13"/>
                <w:szCs w:val="13"/>
                <w:color w:val="auto"/>
              </w:rPr>
              <w:t>Payments</w:t>
            </w:r>
          </w:p>
        </w:tc>
      </w:tr>
      <w:tr>
        <w:trPr>
          <w:trHeight w:val="147"/>
        </w:trPr>
        <w:tc>
          <w:tcPr>
            <w:tcW w:w="1920" w:type="dxa"/>
            <w:vAlign w:val="bottom"/>
            <w:shd w:val="clear" w:color="auto" w:fill="E5E7EF"/>
          </w:tcPr>
          <w:p>
            <w:pPr>
              <w:spacing w:after="0"/>
              <w:rPr>
                <w:sz w:val="12"/>
                <w:szCs w:val="12"/>
                <w:color w:val="auto"/>
              </w:rPr>
            </w:pPr>
          </w:p>
        </w:tc>
        <w:tc>
          <w:tcPr>
            <w:tcW w:w="6020" w:type="dxa"/>
            <w:vAlign w:val="bottom"/>
            <w:shd w:val="clear" w:color="auto" w:fill="E5E7EF"/>
          </w:tcPr>
          <w:p>
            <w:pPr>
              <w:spacing w:after="0"/>
              <w:rPr>
                <w:sz w:val="12"/>
                <w:szCs w:val="12"/>
                <w:color w:val="auto"/>
              </w:rPr>
            </w:pPr>
          </w:p>
        </w:tc>
        <w:tc>
          <w:tcPr>
            <w:tcW w:w="1120" w:type="dxa"/>
            <w:vAlign w:val="bottom"/>
            <w:shd w:val="clear" w:color="auto" w:fill="E5E7EF"/>
          </w:tcPr>
          <w:p>
            <w:pPr>
              <w:jc w:val="right"/>
              <w:ind w:right="111"/>
              <w:spacing w:after="0" w:line="148" w:lineRule="exact"/>
              <w:rPr>
                <w:sz w:val="20"/>
                <w:szCs w:val="20"/>
                <w:color w:val="auto"/>
              </w:rPr>
            </w:pPr>
            <w:r>
              <w:rPr>
                <w:rFonts w:ascii="Arial" w:cs="Arial" w:eastAsia="Arial" w:hAnsi="Arial"/>
                <w:sz w:val="13"/>
                <w:szCs w:val="13"/>
                <w:color w:val="auto"/>
              </w:rPr>
              <w:t>Credited</w:t>
            </w:r>
          </w:p>
        </w:tc>
        <w:tc>
          <w:tcPr>
            <w:tcW w:w="1300" w:type="dxa"/>
            <w:vAlign w:val="bottom"/>
            <w:shd w:val="clear" w:color="auto" w:fill="E5E7EF"/>
          </w:tcPr>
          <w:p>
            <w:pPr>
              <w:jc w:val="right"/>
              <w:ind w:right="151"/>
              <w:spacing w:after="0" w:line="148" w:lineRule="exact"/>
              <w:rPr>
                <w:sz w:val="20"/>
                <w:szCs w:val="20"/>
                <w:color w:val="auto"/>
              </w:rPr>
            </w:pPr>
            <w:r>
              <w:rPr>
                <w:rFonts w:ascii="Arial" w:cs="Arial" w:eastAsia="Arial" w:hAnsi="Arial"/>
                <w:sz w:val="13"/>
                <w:szCs w:val="13"/>
                <w:color w:val="auto"/>
              </w:rPr>
              <w:t>Accumulated</w:t>
            </w:r>
          </w:p>
        </w:tc>
        <w:tc>
          <w:tcPr>
            <w:tcW w:w="880" w:type="dxa"/>
            <w:vAlign w:val="bottom"/>
            <w:shd w:val="clear" w:color="auto" w:fill="E5E7EF"/>
          </w:tcPr>
          <w:p>
            <w:pPr>
              <w:jc w:val="right"/>
              <w:spacing w:after="0" w:line="148" w:lineRule="exact"/>
              <w:rPr>
                <w:sz w:val="20"/>
                <w:szCs w:val="20"/>
                <w:color w:val="auto"/>
              </w:rPr>
            </w:pPr>
            <w:r>
              <w:rPr>
                <w:rFonts w:ascii="Arial" w:cs="Arial" w:eastAsia="Arial" w:hAnsi="Arial"/>
                <w:sz w:val="13"/>
                <w:szCs w:val="13"/>
                <w:color w:val="auto"/>
              </w:rPr>
              <w:t>During Last</w:t>
            </w:r>
          </w:p>
        </w:tc>
      </w:tr>
      <w:tr>
        <w:trPr>
          <w:trHeight w:val="181"/>
        </w:trPr>
        <w:tc>
          <w:tcPr>
            <w:tcW w:w="1920" w:type="dxa"/>
            <w:vAlign w:val="bottom"/>
            <w:shd w:val="clear" w:color="auto" w:fill="E5E7EF"/>
          </w:tcPr>
          <w:p>
            <w:pPr>
              <w:spacing w:after="0"/>
              <w:rPr>
                <w:sz w:val="15"/>
                <w:szCs w:val="15"/>
                <w:color w:val="auto"/>
              </w:rPr>
            </w:pPr>
          </w:p>
        </w:tc>
        <w:tc>
          <w:tcPr>
            <w:tcW w:w="6020" w:type="dxa"/>
            <w:vAlign w:val="bottom"/>
            <w:shd w:val="clear" w:color="auto" w:fill="E5E7EF"/>
          </w:tcPr>
          <w:p>
            <w:pPr>
              <w:spacing w:after="0"/>
              <w:rPr>
                <w:sz w:val="15"/>
                <w:szCs w:val="15"/>
                <w:color w:val="auto"/>
              </w:rPr>
            </w:pPr>
          </w:p>
        </w:tc>
        <w:tc>
          <w:tcPr>
            <w:tcW w:w="1120" w:type="dxa"/>
            <w:vAlign w:val="bottom"/>
            <w:shd w:val="clear" w:color="auto" w:fill="E5E7EF"/>
          </w:tcPr>
          <w:p>
            <w:pPr>
              <w:jc w:val="right"/>
              <w:ind w:right="111"/>
              <w:spacing w:after="0" w:line="181" w:lineRule="exact"/>
              <w:rPr>
                <w:sz w:val="20"/>
                <w:szCs w:val="20"/>
                <w:color w:val="auto"/>
              </w:rPr>
            </w:pPr>
            <w:r>
              <w:rPr>
                <w:rFonts w:ascii="Arial" w:cs="Arial" w:eastAsia="Arial" w:hAnsi="Arial"/>
                <w:sz w:val="13"/>
                <w:szCs w:val="13"/>
                <w:color w:val="auto"/>
              </w:rPr>
              <w:t>Service</w:t>
            </w:r>
            <w:r>
              <w:rPr>
                <w:rFonts w:ascii="Arial" w:cs="Arial" w:eastAsia="Arial" w:hAnsi="Arial"/>
                <w:sz w:val="16"/>
                <w:szCs w:val="16"/>
                <w:color w:val="auto"/>
                <w:vertAlign w:val="superscript"/>
              </w:rPr>
              <w:t>(1)</w:t>
            </w:r>
          </w:p>
        </w:tc>
        <w:tc>
          <w:tcPr>
            <w:tcW w:w="1300" w:type="dxa"/>
            <w:vAlign w:val="bottom"/>
            <w:shd w:val="clear" w:color="auto" w:fill="E5E7EF"/>
          </w:tcPr>
          <w:p>
            <w:pPr>
              <w:jc w:val="right"/>
              <w:ind w:right="151"/>
              <w:spacing w:after="0" w:line="181" w:lineRule="exact"/>
              <w:rPr>
                <w:sz w:val="20"/>
                <w:szCs w:val="20"/>
                <w:color w:val="auto"/>
              </w:rPr>
            </w:pPr>
            <w:r>
              <w:rPr>
                <w:rFonts w:ascii="Arial" w:cs="Arial" w:eastAsia="Arial" w:hAnsi="Arial"/>
                <w:sz w:val="13"/>
                <w:szCs w:val="13"/>
                <w:color w:val="auto"/>
              </w:rPr>
              <w:t>Benefit</w:t>
            </w:r>
            <w:r>
              <w:rPr>
                <w:rFonts w:ascii="Arial" w:cs="Arial" w:eastAsia="Arial" w:hAnsi="Arial"/>
                <w:sz w:val="16"/>
                <w:szCs w:val="16"/>
                <w:color w:val="auto"/>
                <w:vertAlign w:val="superscript"/>
              </w:rPr>
              <w:t>(2)</w:t>
            </w:r>
          </w:p>
        </w:tc>
        <w:tc>
          <w:tcPr>
            <w:tcW w:w="8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Fiscal Year</w:t>
            </w:r>
          </w:p>
        </w:tc>
      </w:tr>
      <w:tr>
        <w:trPr>
          <w:trHeight w:val="207"/>
        </w:trPr>
        <w:tc>
          <w:tcPr>
            <w:tcW w:w="192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Name</w:t>
            </w:r>
          </w:p>
        </w:tc>
        <w:tc>
          <w:tcPr>
            <w:tcW w:w="602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Plan Name</w:t>
            </w:r>
          </w:p>
        </w:tc>
        <w:tc>
          <w:tcPr>
            <w:tcW w:w="1120" w:type="dxa"/>
            <w:vAlign w:val="bottom"/>
            <w:tcBorders>
              <w:bottom w:val="single" w:sz="8" w:color="E5E7EF"/>
            </w:tcBorders>
            <w:shd w:val="clear" w:color="auto" w:fill="E5E7EF"/>
          </w:tcPr>
          <w:p>
            <w:pPr>
              <w:jc w:val="right"/>
              <w:ind w:right="111"/>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E5E7EF"/>
            </w:tcBorders>
            <w:shd w:val="clear" w:color="auto" w:fill="E5E7EF"/>
          </w:tcPr>
          <w:p>
            <w:pPr>
              <w:jc w:val="right"/>
              <w:ind w:right="151"/>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200"/>
        </w:trPr>
        <w:tc>
          <w:tcPr>
            <w:tcW w:w="1920" w:type="dxa"/>
            <w:vAlign w:val="bottom"/>
            <w:tcBorders>
              <w:top w:val="single" w:sz="8" w:color="002E6D"/>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(a)</w:t>
            </w:r>
          </w:p>
        </w:tc>
        <w:tc>
          <w:tcPr>
            <w:tcW w:w="6020" w:type="dxa"/>
            <w:vAlign w:val="bottom"/>
            <w:tcBorders>
              <w:top w:val="single" w:sz="8" w:color="002E6D"/>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(b)</w:t>
            </w:r>
          </w:p>
        </w:tc>
        <w:tc>
          <w:tcPr>
            <w:tcW w:w="1120" w:type="dxa"/>
            <w:vAlign w:val="bottom"/>
            <w:tcBorders>
              <w:top w:val="single" w:sz="8" w:color="002E6D"/>
              <w:bottom w:val="single" w:sz="8" w:color="E5E7EF"/>
            </w:tcBorders>
            <w:shd w:val="clear" w:color="auto" w:fill="E5E7EF"/>
          </w:tcPr>
          <w:p>
            <w:pPr>
              <w:jc w:val="right"/>
              <w:ind w:right="111"/>
              <w:spacing w:after="0"/>
              <w:rPr>
                <w:sz w:val="20"/>
                <w:szCs w:val="20"/>
                <w:color w:val="auto"/>
              </w:rPr>
            </w:pPr>
            <w:r>
              <w:rPr>
                <w:rFonts w:ascii="Arial" w:cs="Arial" w:eastAsia="Arial" w:hAnsi="Arial"/>
                <w:sz w:val="13"/>
                <w:szCs w:val="13"/>
                <w:color w:val="auto"/>
              </w:rPr>
              <w:t>(c)</w:t>
            </w:r>
          </w:p>
        </w:tc>
        <w:tc>
          <w:tcPr>
            <w:tcW w:w="1300" w:type="dxa"/>
            <w:vAlign w:val="bottom"/>
            <w:tcBorders>
              <w:top w:val="single" w:sz="8" w:color="002E6D"/>
              <w:bottom w:val="single" w:sz="8" w:color="E5E7EF"/>
            </w:tcBorders>
            <w:shd w:val="clear" w:color="auto" w:fill="E5E7EF"/>
          </w:tcPr>
          <w:p>
            <w:pPr>
              <w:jc w:val="right"/>
              <w:ind w:right="151"/>
              <w:spacing w:after="0"/>
              <w:rPr>
                <w:sz w:val="20"/>
                <w:szCs w:val="20"/>
                <w:color w:val="auto"/>
              </w:rPr>
            </w:pPr>
            <w:r>
              <w:rPr>
                <w:rFonts w:ascii="Arial" w:cs="Arial" w:eastAsia="Arial" w:hAnsi="Arial"/>
                <w:sz w:val="13"/>
                <w:szCs w:val="13"/>
                <w:color w:val="auto"/>
              </w:rPr>
              <w:t>(d)</w:t>
            </w:r>
          </w:p>
        </w:tc>
        <w:tc>
          <w:tcPr>
            <w:tcW w:w="880" w:type="dxa"/>
            <w:vAlign w:val="bottom"/>
            <w:tcBorders>
              <w:top w:val="single" w:sz="8" w:color="002E6D"/>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(e)</w:t>
            </w:r>
          </w:p>
        </w:tc>
      </w:tr>
      <w:tr>
        <w:trPr>
          <w:trHeight w:val="182"/>
        </w:trPr>
        <w:tc>
          <w:tcPr>
            <w:tcW w:w="1920" w:type="dxa"/>
            <w:vAlign w:val="bottom"/>
            <w:tcBorders>
              <w:top w:val="single" w:sz="8" w:color="002E6D"/>
            </w:tcBorders>
          </w:tcPr>
          <w:p>
            <w:pPr>
              <w:ind w:left="20"/>
              <w:spacing w:after="0"/>
              <w:rPr>
                <w:sz w:val="20"/>
                <w:szCs w:val="20"/>
                <w:color w:val="auto"/>
              </w:rPr>
            </w:pPr>
            <w:r>
              <w:rPr>
                <w:rFonts w:ascii="Arial" w:cs="Arial" w:eastAsia="Arial" w:hAnsi="Arial"/>
                <w:sz w:val="14"/>
                <w:szCs w:val="14"/>
                <w:b w:val="1"/>
                <w:bCs w:val="1"/>
                <w:color w:val="002E6D"/>
              </w:rPr>
              <w:t>James D. Taiclet</w:t>
            </w:r>
          </w:p>
        </w:tc>
        <w:tc>
          <w:tcPr>
            <w:tcW w:w="6020" w:type="dxa"/>
            <w:vAlign w:val="bottom"/>
            <w:tcBorders>
              <w:top w:val="single" w:sz="8" w:color="002E6D"/>
              <w:bottom w:val="single" w:sz="8" w:color="939598"/>
            </w:tcBorders>
            <w:shd w:val="clear" w:color="auto" w:fill="E5E7EF"/>
          </w:tcPr>
          <w:p>
            <w:pPr>
              <w:ind w:left="20"/>
              <w:spacing w:after="0"/>
              <w:rPr>
                <w:sz w:val="20"/>
                <w:szCs w:val="20"/>
                <w:color w:val="auto"/>
              </w:rPr>
            </w:pPr>
            <w:r>
              <w:rPr>
                <w:rFonts w:ascii="Arial" w:cs="Arial" w:eastAsia="Arial" w:hAnsi="Arial"/>
                <w:sz w:val="14"/>
                <w:szCs w:val="14"/>
                <w:color w:val="auto"/>
              </w:rPr>
              <w:t>Lockheed Martin Corporation Salaried Employee Retirement Program</w:t>
            </w:r>
          </w:p>
        </w:tc>
        <w:tc>
          <w:tcPr>
            <w:tcW w:w="1120" w:type="dxa"/>
            <w:vAlign w:val="bottom"/>
            <w:tcBorders>
              <w:top w:val="single" w:sz="8" w:color="002E6D"/>
              <w:bottom w:val="single" w:sz="8" w:color="939598"/>
            </w:tcBorders>
            <w:shd w:val="clear" w:color="auto" w:fill="E5E7EF"/>
          </w:tcPr>
          <w:p>
            <w:pPr>
              <w:jc w:val="right"/>
              <w:ind w:right="151"/>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002E6D"/>
              <w:bottom w:val="single" w:sz="8" w:color="939598"/>
            </w:tcBorders>
            <w:shd w:val="clear" w:color="auto" w:fill="E5E7EF"/>
          </w:tcPr>
          <w:p>
            <w:pPr>
              <w:jc w:val="right"/>
              <w:ind w:right="211"/>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002E6D"/>
              <w:bottom w:val="single" w:sz="8" w:color="939598"/>
            </w:tcBorders>
            <w:shd w:val="clear" w:color="auto" w:fill="E5E7E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1920" w:type="dxa"/>
            <w:vAlign w:val="bottom"/>
            <w:tcBorders>
              <w:bottom w:val="single" w:sz="8" w:color="939598"/>
            </w:tcBorders>
          </w:tcPr>
          <w:p>
            <w:pPr>
              <w:spacing w:after="0"/>
              <w:rPr>
                <w:sz w:val="15"/>
                <w:szCs w:val="15"/>
                <w:color w:val="auto"/>
              </w:rPr>
            </w:pPr>
          </w:p>
        </w:tc>
        <w:tc>
          <w:tcPr>
            <w:tcW w:w="6020" w:type="dxa"/>
            <w:vAlign w:val="bottom"/>
            <w:tcBorders>
              <w:bottom w:val="single" w:sz="8" w:color="939598"/>
            </w:tcBorders>
            <w:shd w:val="clear" w:color="auto" w:fill="E5E7EF"/>
          </w:tcPr>
          <w:p>
            <w:pPr>
              <w:ind w:left="20"/>
              <w:spacing w:after="0"/>
              <w:rPr>
                <w:sz w:val="20"/>
                <w:szCs w:val="20"/>
                <w:color w:val="auto"/>
              </w:rPr>
            </w:pPr>
            <w:r>
              <w:rPr>
                <w:rFonts w:ascii="Arial" w:cs="Arial" w:eastAsia="Arial" w:hAnsi="Arial"/>
                <w:sz w:val="14"/>
                <w:szCs w:val="14"/>
                <w:color w:val="auto"/>
              </w:rPr>
              <w:t>Lockheed Martin Corporation Consolidated Supplemental Retirement Benefit Plan</w:t>
            </w:r>
          </w:p>
        </w:tc>
        <w:tc>
          <w:tcPr>
            <w:tcW w:w="1120" w:type="dxa"/>
            <w:vAlign w:val="bottom"/>
            <w:tcBorders>
              <w:bottom w:val="single" w:sz="8" w:color="939598"/>
            </w:tcBorders>
            <w:shd w:val="clear" w:color="auto" w:fill="E5E7EF"/>
          </w:tcPr>
          <w:p>
            <w:pPr>
              <w:jc w:val="right"/>
              <w:ind w:right="151"/>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39598"/>
            </w:tcBorders>
            <w:shd w:val="clear" w:color="auto" w:fill="E5E7EF"/>
          </w:tcPr>
          <w:p>
            <w:pPr>
              <w:jc w:val="right"/>
              <w:ind w:right="2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39598"/>
            </w:tcBorders>
            <w:shd w:val="clear" w:color="auto" w:fill="E5E7E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1920" w:type="dxa"/>
            <w:vAlign w:val="bottom"/>
          </w:tcPr>
          <w:p>
            <w:pPr>
              <w:ind w:left="20"/>
              <w:spacing w:after="0"/>
              <w:rPr>
                <w:sz w:val="20"/>
                <w:szCs w:val="20"/>
                <w:color w:val="auto"/>
              </w:rPr>
            </w:pPr>
            <w:r>
              <w:rPr>
                <w:rFonts w:ascii="Arial" w:cs="Arial" w:eastAsia="Arial" w:hAnsi="Arial"/>
                <w:sz w:val="14"/>
                <w:szCs w:val="14"/>
                <w:b w:val="1"/>
                <w:bCs w:val="1"/>
                <w:color w:val="002E6D"/>
              </w:rPr>
              <w:t>John W. Mollard</w:t>
            </w:r>
          </w:p>
        </w:tc>
        <w:tc>
          <w:tcPr>
            <w:tcW w:w="602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Lockheed Martin Corporation Salaried Employee Retirement Program</w:t>
            </w:r>
          </w:p>
        </w:tc>
        <w:tc>
          <w:tcPr>
            <w:tcW w:w="1120" w:type="dxa"/>
            <w:vAlign w:val="bottom"/>
            <w:tcBorders>
              <w:bottom w:val="single" w:sz="8" w:color="939598"/>
            </w:tcBorders>
          </w:tcPr>
          <w:p>
            <w:pPr>
              <w:jc w:val="right"/>
              <w:ind w:right="151"/>
              <w:spacing w:after="0"/>
              <w:rPr>
                <w:sz w:val="20"/>
                <w:szCs w:val="20"/>
                <w:color w:val="auto"/>
              </w:rPr>
            </w:pPr>
            <w:r>
              <w:rPr>
                <w:rFonts w:ascii="Arial" w:cs="Arial" w:eastAsia="Arial" w:hAnsi="Arial"/>
                <w:sz w:val="14"/>
                <w:szCs w:val="14"/>
                <w:color w:val="auto"/>
              </w:rPr>
              <w:t>36.8</w:t>
            </w:r>
          </w:p>
        </w:tc>
        <w:tc>
          <w:tcPr>
            <w:tcW w:w="1300" w:type="dxa"/>
            <w:vAlign w:val="bottom"/>
            <w:tcBorders>
              <w:bottom w:val="single" w:sz="8" w:color="939598"/>
            </w:tcBorders>
          </w:tcPr>
          <w:p>
            <w:pPr>
              <w:jc w:val="right"/>
              <w:ind w:right="211"/>
              <w:spacing w:after="0"/>
              <w:rPr>
                <w:sz w:val="20"/>
                <w:szCs w:val="20"/>
                <w:color w:val="auto"/>
              </w:rPr>
            </w:pPr>
            <w:r>
              <w:rPr>
                <w:rFonts w:ascii="Arial" w:cs="Arial" w:eastAsia="Arial" w:hAnsi="Arial"/>
                <w:sz w:val="14"/>
                <w:szCs w:val="14"/>
                <w:color w:val="auto"/>
              </w:rPr>
              <w:t>2,131,670</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1920" w:type="dxa"/>
            <w:vAlign w:val="bottom"/>
            <w:tcBorders>
              <w:bottom w:val="single" w:sz="8" w:color="939598"/>
            </w:tcBorders>
          </w:tcPr>
          <w:p>
            <w:pPr>
              <w:spacing w:after="0"/>
              <w:rPr>
                <w:sz w:val="15"/>
                <w:szCs w:val="15"/>
                <w:color w:val="auto"/>
              </w:rPr>
            </w:pPr>
          </w:p>
        </w:tc>
        <w:tc>
          <w:tcPr>
            <w:tcW w:w="602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Lockheed Martin Corporation Consolidated Supplemental Retirement Benefit Plan</w:t>
            </w:r>
          </w:p>
        </w:tc>
        <w:tc>
          <w:tcPr>
            <w:tcW w:w="1120" w:type="dxa"/>
            <w:vAlign w:val="bottom"/>
            <w:tcBorders>
              <w:bottom w:val="single" w:sz="8" w:color="939598"/>
            </w:tcBorders>
          </w:tcPr>
          <w:p>
            <w:pPr>
              <w:jc w:val="right"/>
              <w:ind w:right="151"/>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39598"/>
            </w:tcBorders>
          </w:tcPr>
          <w:p>
            <w:pPr>
              <w:jc w:val="right"/>
              <w:ind w:right="211"/>
              <w:spacing w:after="0"/>
              <w:rPr>
                <w:sz w:val="20"/>
                <w:szCs w:val="20"/>
                <w:color w:val="auto"/>
              </w:rPr>
            </w:pPr>
            <w:r>
              <w:rPr>
                <w:rFonts w:ascii="Arial" w:cs="Arial" w:eastAsia="Arial" w:hAnsi="Arial"/>
                <w:sz w:val="14"/>
                <w:szCs w:val="14"/>
                <w:color w:val="auto"/>
              </w:rPr>
              <w:t>2,580,987</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1920" w:type="dxa"/>
            <w:vAlign w:val="bottom"/>
          </w:tcPr>
          <w:p>
            <w:pPr>
              <w:ind w:left="20"/>
              <w:spacing w:after="0"/>
              <w:rPr>
                <w:sz w:val="20"/>
                <w:szCs w:val="20"/>
                <w:color w:val="auto"/>
              </w:rPr>
            </w:pPr>
            <w:r>
              <w:rPr>
                <w:rFonts w:ascii="Arial" w:cs="Arial" w:eastAsia="Arial" w:hAnsi="Arial"/>
                <w:sz w:val="14"/>
                <w:szCs w:val="14"/>
                <w:b w:val="1"/>
                <w:bCs w:val="1"/>
                <w:color w:val="002E6D"/>
              </w:rPr>
              <w:t>Kenneth R. Possenriede</w:t>
            </w:r>
            <w:r>
              <w:rPr>
                <w:rFonts w:ascii="Arial" w:cs="Arial" w:eastAsia="Arial" w:hAnsi="Arial"/>
                <w:sz w:val="9"/>
                <w:szCs w:val="9"/>
                <w:b w:val="1"/>
                <w:bCs w:val="1"/>
                <w:color w:val="002E6D"/>
              </w:rPr>
              <w:t>(3)</w:t>
            </w:r>
          </w:p>
        </w:tc>
        <w:tc>
          <w:tcPr>
            <w:tcW w:w="6020" w:type="dxa"/>
            <w:vAlign w:val="bottom"/>
            <w:tcBorders>
              <w:bottom w:val="single" w:sz="8" w:color="939598"/>
            </w:tcBorders>
            <w:shd w:val="clear" w:color="auto" w:fill="E4E6EF"/>
          </w:tcPr>
          <w:p>
            <w:pPr>
              <w:ind w:left="20"/>
              <w:spacing w:after="0"/>
              <w:rPr>
                <w:sz w:val="20"/>
                <w:szCs w:val="20"/>
                <w:color w:val="auto"/>
              </w:rPr>
            </w:pPr>
            <w:r>
              <w:rPr>
                <w:rFonts w:ascii="Arial" w:cs="Arial" w:eastAsia="Arial" w:hAnsi="Arial"/>
                <w:sz w:val="14"/>
                <w:szCs w:val="14"/>
                <w:color w:val="auto"/>
              </w:rPr>
              <w:t>Lockheed Martin Corporation Salaried Employee Retirement Program</w:t>
            </w:r>
          </w:p>
        </w:tc>
        <w:tc>
          <w:tcPr>
            <w:tcW w:w="1120" w:type="dxa"/>
            <w:vAlign w:val="bottom"/>
            <w:tcBorders>
              <w:bottom w:val="single" w:sz="8" w:color="939598"/>
            </w:tcBorders>
            <w:shd w:val="clear" w:color="auto" w:fill="E4E6EF"/>
          </w:tcPr>
          <w:p>
            <w:pPr>
              <w:jc w:val="right"/>
              <w:ind w:right="151"/>
              <w:spacing w:after="0"/>
              <w:rPr>
                <w:sz w:val="20"/>
                <w:szCs w:val="20"/>
                <w:color w:val="auto"/>
              </w:rPr>
            </w:pPr>
            <w:r>
              <w:rPr>
                <w:rFonts w:ascii="Arial" w:cs="Arial" w:eastAsia="Arial" w:hAnsi="Arial"/>
                <w:sz w:val="14"/>
                <w:szCs w:val="14"/>
                <w:color w:val="auto"/>
              </w:rPr>
              <w:t>33.4</w:t>
            </w:r>
          </w:p>
        </w:tc>
        <w:tc>
          <w:tcPr>
            <w:tcW w:w="1300" w:type="dxa"/>
            <w:vAlign w:val="bottom"/>
            <w:tcBorders>
              <w:bottom w:val="single" w:sz="8" w:color="939598"/>
            </w:tcBorders>
            <w:shd w:val="clear" w:color="auto" w:fill="E4E6EF"/>
          </w:tcPr>
          <w:p>
            <w:pPr>
              <w:jc w:val="right"/>
              <w:ind w:right="211"/>
              <w:spacing w:after="0"/>
              <w:rPr>
                <w:sz w:val="20"/>
                <w:szCs w:val="20"/>
                <w:color w:val="auto"/>
              </w:rPr>
            </w:pPr>
            <w:r>
              <w:rPr>
                <w:rFonts w:ascii="Arial" w:cs="Arial" w:eastAsia="Arial" w:hAnsi="Arial"/>
                <w:sz w:val="14"/>
                <w:szCs w:val="14"/>
                <w:color w:val="auto"/>
              </w:rPr>
              <w:t>2,082,119</w:t>
            </w:r>
          </w:p>
        </w:tc>
        <w:tc>
          <w:tcPr>
            <w:tcW w:w="88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36,023</w:t>
            </w:r>
          </w:p>
        </w:tc>
      </w:tr>
      <w:tr>
        <w:trPr>
          <w:trHeight w:val="182"/>
        </w:trPr>
        <w:tc>
          <w:tcPr>
            <w:tcW w:w="1920" w:type="dxa"/>
            <w:vAlign w:val="bottom"/>
            <w:tcBorders>
              <w:bottom w:val="single" w:sz="8" w:color="939598"/>
            </w:tcBorders>
          </w:tcPr>
          <w:p>
            <w:pPr>
              <w:spacing w:after="0"/>
              <w:rPr>
                <w:sz w:val="15"/>
                <w:szCs w:val="15"/>
                <w:color w:val="auto"/>
              </w:rPr>
            </w:pPr>
          </w:p>
        </w:tc>
        <w:tc>
          <w:tcPr>
            <w:tcW w:w="6020" w:type="dxa"/>
            <w:vAlign w:val="bottom"/>
            <w:tcBorders>
              <w:bottom w:val="single" w:sz="8" w:color="939598"/>
            </w:tcBorders>
            <w:shd w:val="clear" w:color="auto" w:fill="E4E6EF"/>
          </w:tcPr>
          <w:p>
            <w:pPr>
              <w:ind w:left="20"/>
              <w:spacing w:after="0"/>
              <w:rPr>
                <w:sz w:val="20"/>
                <w:szCs w:val="20"/>
                <w:color w:val="auto"/>
              </w:rPr>
            </w:pPr>
            <w:r>
              <w:rPr>
                <w:rFonts w:ascii="Arial" w:cs="Arial" w:eastAsia="Arial" w:hAnsi="Arial"/>
                <w:sz w:val="14"/>
                <w:szCs w:val="14"/>
                <w:color w:val="auto"/>
              </w:rPr>
              <w:t>Lockheed Martin Corporation Consolidated Supplemental Retirement Benefit Plan</w:t>
            </w:r>
          </w:p>
        </w:tc>
        <w:tc>
          <w:tcPr>
            <w:tcW w:w="1120" w:type="dxa"/>
            <w:vAlign w:val="bottom"/>
            <w:tcBorders>
              <w:bottom w:val="single" w:sz="8" w:color="939598"/>
            </w:tcBorders>
            <w:shd w:val="clear" w:color="auto" w:fill="E4E6EF"/>
          </w:tcPr>
          <w:p>
            <w:pPr>
              <w:jc w:val="right"/>
              <w:ind w:right="151"/>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39598"/>
            </w:tcBorders>
            <w:shd w:val="clear" w:color="auto" w:fill="E4E6EF"/>
          </w:tcPr>
          <w:p>
            <w:pPr>
              <w:jc w:val="right"/>
              <w:ind w:right="211"/>
              <w:spacing w:after="0"/>
              <w:rPr>
                <w:sz w:val="20"/>
                <w:szCs w:val="20"/>
                <w:color w:val="auto"/>
              </w:rPr>
            </w:pPr>
            <w:r>
              <w:rPr>
                <w:rFonts w:ascii="Arial" w:cs="Arial" w:eastAsia="Arial" w:hAnsi="Arial"/>
                <w:sz w:val="14"/>
                <w:szCs w:val="14"/>
                <w:color w:val="auto"/>
              </w:rPr>
              <w:t>6,168,182</w:t>
            </w:r>
          </w:p>
        </w:tc>
        <w:tc>
          <w:tcPr>
            <w:tcW w:w="88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1920" w:type="dxa"/>
            <w:vAlign w:val="bottom"/>
          </w:tcPr>
          <w:p>
            <w:pPr>
              <w:ind w:left="20"/>
              <w:spacing w:after="0"/>
              <w:rPr>
                <w:sz w:val="20"/>
                <w:szCs w:val="20"/>
                <w:color w:val="auto"/>
              </w:rPr>
            </w:pPr>
            <w:r>
              <w:rPr>
                <w:rFonts w:ascii="Arial" w:cs="Arial" w:eastAsia="Arial" w:hAnsi="Arial"/>
                <w:sz w:val="14"/>
                <w:szCs w:val="14"/>
                <w:b w:val="1"/>
                <w:bCs w:val="1"/>
                <w:color w:val="002E6D"/>
              </w:rPr>
              <w:t>Frank A. St. John</w:t>
            </w:r>
          </w:p>
        </w:tc>
        <w:tc>
          <w:tcPr>
            <w:tcW w:w="602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Lockheed Martin Corporation Salaried Employee Retirement Program</w:t>
            </w:r>
          </w:p>
        </w:tc>
        <w:tc>
          <w:tcPr>
            <w:tcW w:w="1120" w:type="dxa"/>
            <w:vAlign w:val="bottom"/>
            <w:tcBorders>
              <w:bottom w:val="single" w:sz="8" w:color="939598"/>
            </w:tcBorders>
          </w:tcPr>
          <w:p>
            <w:pPr>
              <w:jc w:val="right"/>
              <w:ind w:right="151"/>
              <w:spacing w:after="0"/>
              <w:rPr>
                <w:sz w:val="20"/>
                <w:szCs w:val="20"/>
                <w:color w:val="auto"/>
              </w:rPr>
            </w:pPr>
            <w:r>
              <w:rPr>
                <w:rFonts w:ascii="Arial" w:cs="Arial" w:eastAsia="Arial" w:hAnsi="Arial"/>
                <w:sz w:val="14"/>
                <w:szCs w:val="14"/>
                <w:color w:val="auto"/>
              </w:rPr>
              <w:t>32.6</w:t>
            </w:r>
          </w:p>
        </w:tc>
        <w:tc>
          <w:tcPr>
            <w:tcW w:w="1300" w:type="dxa"/>
            <w:vAlign w:val="bottom"/>
            <w:tcBorders>
              <w:bottom w:val="single" w:sz="8" w:color="939598"/>
            </w:tcBorders>
          </w:tcPr>
          <w:p>
            <w:pPr>
              <w:jc w:val="right"/>
              <w:ind w:right="211"/>
              <w:spacing w:after="0"/>
              <w:rPr>
                <w:sz w:val="20"/>
                <w:szCs w:val="20"/>
                <w:color w:val="auto"/>
              </w:rPr>
            </w:pPr>
            <w:r>
              <w:rPr>
                <w:rFonts w:ascii="Arial" w:cs="Arial" w:eastAsia="Arial" w:hAnsi="Arial"/>
                <w:sz w:val="14"/>
                <w:szCs w:val="14"/>
                <w:color w:val="auto"/>
              </w:rPr>
              <w:t>1,859,443</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1920" w:type="dxa"/>
            <w:vAlign w:val="bottom"/>
            <w:tcBorders>
              <w:bottom w:val="single" w:sz="8" w:color="939598"/>
            </w:tcBorders>
          </w:tcPr>
          <w:p>
            <w:pPr>
              <w:spacing w:after="0"/>
              <w:rPr>
                <w:sz w:val="15"/>
                <w:szCs w:val="15"/>
                <w:color w:val="auto"/>
              </w:rPr>
            </w:pPr>
          </w:p>
        </w:tc>
        <w:tc>
          <w:tcPr>
            <w:tcW w:w="602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Lockheed Martin Corporation Consolidated Supplemental Retirement Benefit Plan</w:t>
            </w:r>
          </w:p>
        </w:tc>
        <w:tc>
          <w:tcPr>
            <w:tcW w:w="1120" w:type="dxa"/>
            <w:vAlign w:val="bottom"/>
            <w:tcBorders>
              <w:bottom w:val="single" w:sz="8" w:color="939598"/>
            </w:tcBorders>
          </w:tcPr>
          <w:p>
            <w:pPr>
              <w:jc w:val="right"/>
              <w:ind w:right="151"/>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39598"/>
            </w:tcBorders>
          </w:tcPr>
          <w:p>
            <w:pPr>
              <w:jc w:val="right"/>
              <w:ind w:right="211"/>
              <w:spacing w:after="0"/>
              <w:rPr>
                <w:sz w:val="20"/>
                <w:szCs w:val="20"/>
                <w:color w:val="auto"/>
              </w:rPr>
            </w:pPr>
            <w:r>
              <w:rPr>
                <w:rFonts w:ascii="Arial" w:cs="Arial" w:eastAsia="Arial" w:hAnsi="Arial"/>
                <w:sz w:val="14"/>
                <w:szCs w:val="14"/>
                <w:color w:val="auto"/>
              </w:rPr>
              <w:t>4,403,808</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1920" w:type="dxa"/>
            <w:vAlign w:val="bottom"/>
          </w:tcPr>
          <w:p>
            <w:pPr>
              <w:ind w:left="20"/>
              <w:spacing w:after="0"/>
              <w:rPr>
                <w:sz w:val="20"/>
                <w:szCs w:val="20"/>
                <w:color w:val="auto"/>
              </w:rPr>
            </w:pPr>
            <w:r>
              <w:rPr>
                <w:rFonts w:ascii="Arial" w:cs="Arial" w:eastAsia="Arial" w:hAnsi="Arial"/>
                <w:sz w:val="14"/>
                <w:szCs w:val="14"/>
                <w:b w:val="1"/>
                <w:bCs w:val="1"/>
                <w:color w:val="002E6D"/>
              </w:rPr>
              <w:t>Richard F. Ambrose</w:t>
            </w:r>
          </w:p>
        </w:tc>
        <w:tc>
          <w:tcPr>
            <w:tcW w:w="6020" w:type="dxa"/>
            <w:vAlign w:val="bottom"/>
            <w:tcBorders>
              <w:bottom w:val="single" w:sz="8" w:color="939598"/>
            </w:tcBorders>
            <w:shd w:val="clear" w:color="auto" w:fill="E4E6EF"/>
          </w:tcPr>
          <w:p>
            <w:pPr>
              <w:ind w:left="20"/>
              <w:spacing w:after="0"/>
              <w:rPr>
                <w:sz w:val="20"/>
                <w:szCs w:val="20"/>
                <w:color w:val="auto"/>
              </w:rPr>
            </w:pPr>
            <w:r>
              <w:rPr>
                <w:rFonts w:ascii="Arial" w:cs="Arial" w:eastAsia="Arial" w:hAnsi="Arial"/>
                <w:sz w:val="14"/>
                <w:szCs w:val="14"/>
                <w:color w:val="auto"/>
              </w:rPr>
              <w:t>Lockheed Martin Corporation Salaried Employee Retirement Program</w:t>
            </w:r>
          </w:p>
        </w:tc>
        <w:tc>
          <w:tcPr>
            <w:tcW w:w="1120" w:type="dxa"/>
            <w:vAlign w:val="bottom"/>
            <w:tcBorders>
              <w:bottom w:val="single" w:sz="8" w:color="939598"/>
            </w:tcBorders>
            <w:shd w:val="clear" w:color="auto" w:fill="E4E6EF"/>
          </w:tcPr>
          <w:p>
            <w:pPr>
              <w:jc w:val="right"/>
              <w:ind w:right="151"/>
              <w:spacing w:after="0"/>
              <w:rPr>
                <w:sz w:val="20"/>
                <w:szCs w:val="20"/>
                <w:color w:val="auto"/>
              </w:rPr>
            </w:pPr>
            <w:r>
              <w:rPr>
                <w:rFonts w:ascii="Arial" w:cs="Arial" w:eastAsia="Arial" w:hAnsi="Arial"/>
                <w:sz w:val="14"/>
                <w:szCs w:val="14"/>
                <w:color w:val="auto"/>
              </w:rPr>
              <w:t>19.5</w:t>
            </w:r>
          </w:p>
        </w:tc>
        <w:tc>
          <w:tcPr>
            <w:tcW w:w="1300" w:type="dxa"/>
            <w:vAlign w:val="bottom"/>
            <w:tcBorders>
              <w:bottom w:val="single" w:sz="8" w:color="939598"/>
            </w:tcBorders>
            <w:shd w:val="clear" w:color="auto" w:fill="E4E6EF"/>
          </w:tcPr>
          <w:p>
            <w:pPr>
              <w:jc w:val="right"/>
              <w:ind w:right="211"/>
              <w:spacing w:after="0"/>
              <w:rPr>
                <w:sz w:val="20"/>
                <w:szCs w:val="20"/>
                <w:color w:val="auto"/>
              </w:rPr>
            </w:pPr>
            <w:r>
              <w:rPr>
                <w:rFonts w:ascii="Arial" w:cs="Arial" w:eastAsia="Arial" w:hAnsi="Arial"/>
                <w:sz w:val="14"/>
                <w:szCs w:val="14"/>
                <w:color w:val="auto"/>
              </w:rPr>
              <w:t>1,191,355</w:t>
            </w:r>
          </w:p>
        </w:tc>
        <w:tc>
          <w:tcPr>
            <w:tcW w:w="88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1920" w:type="dxa"/>
            <w:vAlign w:val="bottom"/>
            <w:tcBorders>
              <w:bottom w:val="single" w:sz="8" w:color="939598"/>
            </w:tcBorders>
          </w:tcPr>
          <w:p>
            <w:pPr>
              <w:spacing w:after="0"/>
              <w:rPr>
                <w:sz w:val="15"/>
                <w:szCs w:val="15"/>
                <w:color w:val="auto"/>
              </w:rPr>
            </w:pPr>
          </w:p>
        </w:tc>
        <w:tc>
          <w:tcPr>
            <w:tcW w:w="6020" w:type="dxa"/>
            <w:vAlign w:val="bottom"/>
            <w:tcBorders>
              <w:bottom w:val="single" w:sz="8" w:color="939598"/>
            </w:tcBorders>
            <w:shd w:val="clear" w:color="auto" w:fill="E4E6EF"/>
          </w:tcPr>
          <w:p>
            <w:pPr>
              <w:ind w:left="20"/>
              <w:spacing w:after="0"/>
              <w:rPr>
                <w:sz w:val="20"/>
                <w:szCs w:val="20"/>
                <w:color w:val="auto"/>
              </w:rPr>
            </w:pPr>
            <w:r>
              <w:rPr>
                <w:rFonts w:ascii="Arial" w:cs="Arial" w:eastAsia="Arial" w:hAnsi="Arial"/>
                <w:sz w:val="14"/>
                <w:szCs w:val="14"/>
                <w:color w:val="auto"/>
              </w:rPr>
              <w:t>Lockheed Martin Corporation Consolidated Supplemental Retirement Benefit Plan</w:t>
            </w:r>
          </w:p>
        </w:tc>
        <w:tc>
          <w:tcPr>
            <w:tcW w:w="1120" w:type="dxa"/>
            <w:vAlign w:val="bottom"/>
            <w:tcBorders>
              <w:bottom w:val="single" w:sz="8" w:color="939598"/>
            </w:tcBorders>
            <w:shd w:val="clear" w:color="auto" w:fill="E4E6EF"/>
          </w:tcPr>
          <w:p>
            <w:pPr>
              <w:jc w:val="right"/>
              <w:ind w:right="151"/>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39598"/>
            </w:tcBorders>
            <w:shd w:val="clear" w:color="auto" w:fill="E4E6EF"/>
          </w:tcPr>
          <w:p>
            <w:pPr>
              <w:jc w:val="right"/>
              <w:ind w:right="211"/>
              <w:spacing w:after="0"/>
              <w:rPr>
                <w:sz w:val="20"/>
                <w:szCs w:val="20"/>
                <w:color w:val="auto"/>
              </w:rPr>
            </w:pPr>
            <w:r>
              <w:rPr>
                <w:rFonts w:ascii="Arial" w:cs="Arial" w:eastAsia="Arial" w:hAnsi="Arial"/>
                <w:sz w:val="14"/>
                <w:szCs w:val="14"/>
                <w:color w:val="auto"/>
              </w:rPr>
              <w:t>7,627,753</w:t>
            </w:r>
          </w:p>
        </w:tc>
        <w:tc>
          <w:tcPr>
            <w:tcW w:w="88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1920" w:type="dxa"/>
            <w:vAlign w:val="bottom"/>
          </w:tcPr>
          <w:p>
            <w:pPr>
              <w:ind w:left="20"/>
              <w:spacing w:after="0"/>
              <w:rPr>
                <w:sz w:val="20"/>
                <w:szCs w:val="20"/>
                <w:color w:val="auto"/>
              </w:rPr>
            </w:pPr>
            <w:r>
              <w:rPr>
                <w:rFonts w:ascii="Arial" w:cs="Arial" w:eastAsia="Arial" w:hAnsi="Arial"/>
                <w:sz w:val="14"/>
                <w:szCs w:val="14"/>
                <w:b w:val="1"/>
                <w:bCs w:val="1"/>
                <w:color w:val="002E6D"/>
              </w:rPr>
              <w:t>Stephanie C. Hill</w:t>
            </w:r>
          </w:p>
        </w:tc>
        <w:tc>
          <w:tcPr>
            <w:tcW w:w="602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Lockheed Martin Corporation Salaried Employee Retirement Program</w:t>
            </w:r>
          </w:p>
        </w:tc>
        <w:tc>
          <w:tcPr>
            <w:tcW w:w="1120" w:type="dxa"/>
            <w:vAlign w:val="bottom"/>
            <w:tcBorders>
              <w:bottom w:val="single" w:sz="8" w:color="939598"/>
            </w:tcBorders>
          </w:tcPr>
          <w:p>
            <w:pPr>
              <w:jc w:val="right"/>
              <w:ind w:right="151"/>
              <w:spacing w:after="0"/>
              <w:rPr>
                <w:sz w:val="20"/>
                <w:szCs w:val="20"/>
                <w:color w:val="auto"/>
              </w:rPr>
            </w:pPr>
            <w:r>
              <w:rPr>
                <w:rFonts w:ascii="Arial" w:cs="Arial" w:eastAsia="Arial" w:hAnsi="Arial"/>
                <w:sz w:val="14"/>
                <w:szCs w:val="14"/>
                <w:color w:val="auto"/>
              </w:rPr>
              <w:t>33.0</w:t>
            </w:r>
          </w:p>
        </w:tc>
        <w:tc>
          <w:tcPr>
            <w:tcW w:w="1300" w:type="dxa"/>
            <w:vAlign w:val="bottom"/>
            <w:tcBorders>
              <w:bottom w:val="single" w:sz="8" w:color="939598"/>
            </w:tcBorders>
          </w:tcPr>
          <w:p>
            <w:pPr>
              <w:jc w:val="right"/>
              <w:ind w:right="211"/>
              <w:spacing w:after="0"/>
              <w:rPr>
                <w:sz w:val="20"/>
                <w:szCs w:val="20"/>
                <w:color w:val="auto"/>
              </w:rPr>
            </w:pPr>
            <w:r>
              <w:rPr>
                <w:rFonts w:ascii="Arial" w:cs="Arial" w:eastAsia="Arial" w:hAnsi="Arial"/>
                <w:sz w:val="14"/>
                <w:szCs w:val="14"/>
                <w:color w:val="auto"/>
              </w:rPr>
              <w:t>2,063,865</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1920" w:type="dxa"/>
            <w:vAlign w:val="bottom"/>
            <w:tcBorders>
              <w:bottom w:val="single" w:sz="8" w:color="939598"/>
            </w:tcBorders>
          </w:tcPr>
          <w:p>
            <w:pPr>
              <w:spacing w:after="0"/>
              <w:rPr>
                <w:sz w:val="15"/>
                <w:szCs w:val="15"/>
                <w:color w:val="auto"/>
              </w:rPr>
            </w:pPr>
          </w:p>
        </w:tc>
        <w:tc>
          <w:tcPr>
            <w:tcW w:w="6020" w:type="dxa"/>
            <w:vAlign w:val="bottom"/>
            <w:tcBorders>
              <w:bottom w:val="single" w:sz="8" w:color="939598"/>
            </w:tcBorders>
          </w:tcPr>
          <w:p>
            <w:pPr>
              <w:ind w:left="20"/>
              <w:spacing w:after="0"/>
              <w:rPr>
                <w:sz w:val="20"/>
                <w:szCs w:val="20"/>
                <w:color w:val="auto"/>
              </w:rPr>
            </w:pPr>
            <w:r>
              <w:rPr>
                <w:rFonts w:ascii="Arial" w:cs="Arial" w:eastAsia="Arial" w:hAnsi="Arial"/>
                <w:sz w:val="14"/>
                <w:szCs w:val="14"/>
                <w:color w:val="auto"/>
              </w:rPr>
              <w:t>Lockheed Martin Corporation Consolidated Supplemental Retirement Benefit Plan</w:t>
            </w:r>
          </w:p>
        </w:tc>
        <w:tc>
          <w:tcPr>
            <w:tcW w:w="1120" w:type="dxa"/>
            <w:vAlign w:val="bottom"/>
            <w:tcBorders>
              <w:bottom w:val="single" w:sz="8" w:color="939598"/>
            </w:tcBorders>
          </w:tcPr>
          <w:p>
            <w:pPr>
              <w:jc w:val="right"/>
              <w:ind w:right="151"/>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39598"/>
            </w:tcBorders>
          </w:tcPr>
          <w:p>
            <w:pPr>
              <w:jc w:val="right"/>
              <w:ind w:right="211"/>
              <w:spacing w:after="0"/>
              <w:rPr>
                <w:sz w:val="20"/>
                <w:szCs w:val="20"/>
                <w:color w:val="auto"/>
              </w:rPr>
            </w:pPr>
            <w:r>
              <w:rPr>
                <w:rFonts w:ascii="Arial" w:cs="Arial" w:eastAsia="Arial" w:hAnsi="Arial"/>
                <w:sz w:val="14"/>
                <w:szCs w:val="14"/>
                <w:color w:val="auto"/>
              </w:rPr>
              <w:t>5,666,495</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1920" w:type="dxa"/>
            <w:vAlign w:val="bottom"/>
          </w:tcPr>
          <w:p>
            <w:pPr>
              <w:ind w:left="20"/>
              <w:spacing w:after="0"/>
              <w:rPr>
                <w:sz w:val="20"/>
                <w:szCs w:val="20"/>
                <w:color w:val="auto"/>
              </w:rPr>
            </w:pPr>
            <w:r>
              <w:rPr>
                <w:rFonts w:ascii="Arial" w:cs="Arial" w:eastAsia="Arial" w:hAnsi="Arial"/>
                <w:sz w:val="14"/>
                <w:szCs w:val="14"/>
                <w:b w:val="1"/>
                <w:bCs w:val="1"/>
                <w:color w:val="002E6D"/>
              </w:rPr>
              <w:t>Marillyn A. Hewson</w:t>
            </w:r>
          </w:p>
        </w:tc>
        <w:tc>
          <w:tcPr>
            <w:tcW w:w="6020" w:type="dxa"/>
            <w:vAlign w:val="bottom"/>
            <w:tcBorders>
              <w:bottom w:val="single" w:sz="8" w:color="939598"/>
            </w:tcBorders>
            <w:shd w:val="clear" w:color="auto" w:fill="E4E6EF"/>
          </w:tcPr>
          <w:p>
            <w:pPr>
              <w:ind w:left="20"/>
              <w:spacing w:after="0"/>
              <w:rPr>
                <w:sz w:val="20"/>
                <w:szCs w:val="20"/>
                <w:color w:val="auto"/>
              </w:rPr>
            </w:pPr>
            <w:r>
              <w:rPr>
                <w:rFonts w:ascii="Arial" w:cs="Arial" w:eastAsia="Arial" w:hAnsi="Arial"/>
                <w:sz w:val="14"/>
                <w:szCs w:val="14"/>
                <w:color w:val="auto"/>
              </w:rPr>
              <w:t>Lockheed Martin Corporation Salaried Employee Retirement Program</w:t>
            </w:r>
          </w:p>
        </w:tc>
        <w:tc>
          <w:tcPr>
            <w:tcW w:w="1120" w:type="dxa"/>
            <w:vAlign w:val="bottom"/>
            <w:tcBorders>
              <w:bottom w:val="single" w:sz="8" w:color="939598"/>
            </w:tcBorders>
            <w:shd w:val="clear" w:color="auto" w:fill="E4E6EF"/>
          </w:tcPr>
          <w:p>
            <w:pPr>
              <w:jc w:val="right"/>
              <w:ind w:right="151"/>
              <w:spacing w:after="0"/>
              <w:rPr>
                <w:sz w:val="20"/>
                <w:szCs w:val="20"/>
                <w:color w:val="auto"/>
              </w:rPr>
            </w:pPr>
            <w:r>
              <w:rPr>
                <w:rFonts w:ascii="Arial" w:cs="Arial" w:eastAsia="Arial" w:hAnsi="Arial"/>
                <w:sz w:val="14"/>
                <w:szCs w:val="14"/>
                <w:color w:val="auto"/>
              </w:rPr>
              <w:t>37.1</w:t>
            </w:r>
          </w:p>
        </w:tc>
        <w:tc>
          <w:tcPr>
            <w:tcW w:w="1300" w:type="dxa"/>
            <w:vAlign w:val="bottom"/>
            <w:tcBorders>
              <w:bottom w:val="single" w:sz="8" w:color="939598"/>
            </w:tcBorders>
            <w:shd w:val="clear" w:color="auto" w:fill="E4E6EF"/>
          </w:tcPr>
          <w:p>
            <w:pPr>
              <w:jc w:val="right"/>
              <w:ind w:right="211"/>
              <w:spacing w:after="0"/>
              <w:rPr>
                <w:sz w:val="20"/>
                <w:szCs w:val="20"/>
                <w:color w:val="auto"/>
              </w:rPr>
            </w:pPr>
            <w:r>
              <w:rPr>
                <w:rFonts w:ascii="Arial" w:cs="Arial" w:eastAsia="Arial" w:hAnsi="Arial"/>
                <w:sz w:val="14"/>
                <w:szCs w:val="14"/>
                <w:color w:val="auto"/>
              </w:rPr>
              <w:t>2,100,502</w:t>
            </w:r>
          </w:p>
        </w:tc>
        <w:tc>
          <w:tcPr>
            <w:tcW w:w="88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1920" w:type="dxa"/>
            <w:vAlign w:val="bottom"/>
            <w:tcBorders>
              <w:bottom w:val="single" w:sz="8" w:color="939598"/>
            </w:tcBorders>
          </w:tcPr>
          <w:p>
            <w:pPr>
              <w:spacing w:after="0"/>
              <w:rPr>
                <w:sz w:val="15"/>
                <w:szCs w:val="15"/>
                <w:color w:val="auto"/>
              </w:rPr>
            </w:pPr>
          </w:p>
        </w:tc>
        <w:tc>
          <w:tcPr>
            <w:tcW w:w="6020" w:type="dxa"/>
            <w:vAlign w:val="bottom"/>
            <w:tcBorders>
              <w:bottom w:val="single" w:sz="8" w:color="939598"/>
            </w:tcBorders>
            <w:shd w:val="clear" w:color="auto" w:fill="E4E6EF"/>
          </w:tcPr>
          <w:p>
            <w:pPr>
              <w:ind w:left="20"/>
              <w:spacing w:after="0"/>
              <w:rPr>
                <w:sz w:val="20"/>
                <w:szCs w:val="20"/>
                <w:color w:val="auto"/>
              </w:rPr>
            </w:pPr>
            <w:r>
              <w:rPr>
                <w:rFonts w:ascii="Arial" w:cs="Arial" w:eastAsia="Arial" w:hAnsi="Arial"/>
                <w:sz w:val="14"/>
                <w:szCs w:val="14"/>
                <w:color w:val="auto"/>
              </w:rPr>
              <w:t>Lockheed Martin Corporation Consolidated Supplemental Retirement Benefit Plan</w:t>
            </w:r>
          </w:p>
        </w:tc>
        <w:tc>
          <w:tcPr>
            <w:tcW w:w="1120" w:type="dxa"/>
            <w:vAlign w:val="bottom"/>
            <w:tcBorders>
              <w:bottom w:val="single" w:sz="8" w:color="939598"/>
            </w:tcBorders>
            <w:shd w:val="clear" w:color="auto" w:fill="E4E6EF"/>
          </w:tcPr>
          <w:p>
            <w:pPr>
              <w:jc w:val="right"/>
              <w:ind w:right="151"/>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939598"/>
            </w:tcBorders>
            <w:shd w:val="clear" w:color="auto" w:fill="E4E6EF"/>
          </w:tcPr>
          <w:p>
            <w:pPr>
              <w:jc w:val="right"/>
              <w:ind w:right="211"/>
              <w:spacing w:after="0"/>
              <w:rPr>
                <w:sz w:val="20"/>
                <w:szCs w:val="20"/>
                <w:color w:val="auto"/>
              </w:rPr>
            </w:pPr>
            <w:r>
              <w:rPr>
                <w:rFonts w:ascii="Arial" w:cs="Arial" w:eastAsia="Arial" w:hAnsi="Arial"/>
                <w:sz w:val="14"/>
                <w:szCs w:val="14"/>
                <w:color w:val="auto"/>
              </w:rPr>
              <w:t>51,097,131</w:t>
            </w:r>
          </w:p>
        </w:tc>
        <w:tc>
          <w:tcPr>
            <w:tcW w:w="88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w:t>
            </w:r>
          </w:p>
        </w:tc>
      </w:tr>
    </w:tbl>
    <w:p>
      <w:pPr>
        <w:spacing w:after="0" w:line="139" w:lineRule="exact"/>
        <w:rPr>
          <w:sz w:val="20"/>
          <w:szCs w:val="20"/>
          <w:color w:val="auto"/>
        </w:rPr>
      </w:pPr>
    </w:p>
    <w:p>
      <w:pPr>
        <w:ind w:left="240" w:right="220" w:hanging="233"/>
        <w:spacing w:after="0" w:line="219" w:lineRule="auto"/>
        <w:tabs>
          <w:tab w:leader="none" w:pos="268" w:val="left"/>
        </w:tabs>
        <w:numPr>
          <w:ilvl w:val="0"/>
          <w:numId w:val="106"/>
        </w:numPr>
        <w:rPr>
          <w:rFonts w:ascii="Arial" w:cs="Arial" w:eastAsia="Arial" w:hAnsi="Arial"/>
          <w:sz w:val="19"/>
          <w:szCs w:val="19"/>
          <w:color w:val="auto"/>
          <w:vertAlign w:val="superscript"/>
        </w:rPr>
      </w:pPr>
      <w:r>
        <w:rPr>
          <w:rFonts w:ascii="Arial" w:cs="Arial" w:eastAsia="Arial" w:hAnsi="Arial"/>
          <w:sz w:val="14"/>
          <w:szCs w:val="14"/>
          <w:color w:val="auto"/>
        </w:rPr>
        <w:t>The Number of Years of Credited Service is two years less than the actual number of years of service for the NEOs listed in the table as increases in service ceased to be taken into account effective January 1, 2020.</w:t>
      </w:r>
    </w:p>
    <w:p>
      <w:pPr>
        <w:spacing w:after="0" w:line="38" w:lineRule="exact"/>
        <w:rPr>
          <w:rFonts w:ascii="Arial" w:cs="Arial" w:eastAsia="Arial" w:hAnsi="Arial"/>
          <w:sz w:val="19"/>
          <w:szCs w:val="19"/>
          <w:color w:val="auto"/>
          <w:vertAlign w:val="superscript"/>
        </w:rPr>
      </w:pPr>
    </w:p>
    <w:p>
      <w:pPr>
        <w:ind w:left="240" w:hanging="233"/>
        <w:spacing w:after="0" w:line="252" w:lineRule="auto"/>
        <w:tabs>
          <w:tab w:leader="none" w:pos="268" w:val="left"/>
        </w:tabs>
        <w:numPr>
          <w:ilvl w:val="0"/>
          <w:numId w:val="106"/>
        </w:numPr>
        <w:rPr>
          <w:rFonts w:ascii="Arial" w:cs="Arial" w:eastAsia="Arial" w:hAnsi="Arial"/>
          <w:sz w:val="19"/>
          <w:szCs w:val="19"/>
          <w:color w:val="auto"/>
          <w:vertAlign w:val="superscript"/>
        </w:rPr>
      </w:pPr>
      <w:r>
        <w:rPr>
          <w:rFonts w:ascii="Arial" w:cs="Arial" w:eastAsia="Arial" w:hAnsi="Arial"/>
          <w:sz w:val="14"/>
          <w:szCs w:val="14"/>
          <w:color w:val="auto"/>
        </w:rPr>
        <w:t xml:space="preserve">The amounts reported in the </w:t>
      </w:r>
      <w:r>
        <w:rPr>
          <w:rFonts w:ascii="Arial" w:cs="Arial" w:eastAsia="Arial" w:hAnsi="Arial"/>
          <w:sz w:val="14"/>
          <w:szCs w:val="14"/>
          <w:b w:val="1"/>
          <w:bCs w:val="1"/>
          <w:color w:val="auto"/>
        </w:rPr>
        <w:t>Present Value of Accumulated Benefit</w:t>
      </w:r>
      <w:r>
        <w:rPr>
          <w:rFonts w:ascii="Arial" w:cs="Arial" w:eastAsia="Arial" w:hAnsi="Arial"/>
          <w:sz w:val="14"/>
          <w:szCs w:val="14"/>
          <w:color w:val="auto"/>
        </w:rPr>
        <w:t xml:space="preserve"> column were computed using the same assumptions we used to account for pension liabilities in our financial statements and as described in Note 12 to our financial statements contained in our 2021 Annual Report, except that the amounts were calculated based on benefits commencing at age 60 (or current age if greater). We used these ages rather than the plan’s normal retirement age of 65 because an employee may commence receiving pension benefits at age 60 without any reduction for early commencement. Amounts paid under our plans use assumptions contained in the plans and may be different than those used for financial statement reporting purposes. If a NEO is eligible to elect a lump sum payment under the Supplemental Pension, the amount of the lump sum would be based on plan assumptions and not the assumptions used for financial statement reporting purposes. As a result, the actual lump sum payment would be an amount different than what is reported in this table. The age of the NEO at retirement would also impact the size of the lump sum payment.</w:t>
      </w:r>
    </w:p>
    <w:p>
      <w:pPr>
        <w:spacing w:after="0" w:line="3" w:lineRule="exact"/>
        <w:rPr>
          <w:rFonts w:ascii="Arial" w:cs="Arial" w:eastAsia="Arial" w:hAnsi="Arial"/>
          <w:sz w:val="19"/>
          <w:szCs w:val="19"/>
          <w:color w:val="auto"/>
          <w:vertAlign w:val="superscript"/>
        </w:rPr>
      </w:pPr>
    </w:p>
    <w:p>
      <w:pPr>
        <w:ind w:left="280" w:hanging="273"/>
        <w:spacing w:after="0"/>
        <w:tabs>
          <w:tab w:leader="none" w:pos="280" w:val="left"/>
        </w:tabs>
        <w:numPr>
          <w:ilvl w:val="0"/>
          <w:numId w:val="106"/>
        </w:numPr>
        <w:rPr>
          <w:rFonts w:ascii="Arial" w:cs="Arial" w:eastAsia="Arial" w:hAnsi="Arial"/>
          <w:sz w:val="19"/>
          <w:szCs w:val="19"/>
          <w:color w:val="auto"/>
          <w:vertAlign w:val="superscript"/>
        </w:rPr>
      </w:pPr>
      <w:r>
        <w:rPr>
          <w:rFonts w:ascii="Arial" w:cs="Arial" w:eastAsia="Arial" w:hAnsi="Arial"/>
          <w:sz w:val="14"/>
          <w:szCs w:val="14"/>
          <w:color w:val="auto"/>
        </w:rPr>
        <w:t>Mr. Possenriede began receiving qualified pension payments after his retirement in August 2021. He received his supplemental pension payments in a lump sum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229235</wp:posOffset>
            </wp:positionV>
            <wp:extent cx="963930" cy="2216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61</w:t>
      </w:r>
    </w:p>
    <w:p>
      <w:pPr>
        <w:sectPr>
          <w:pgSz w:w="11900" w:h="16838" w:orient="portrait"/>
          <w:cols w:equalWidth="0" w:num="1">
            <w:col w:w="11240"/>
          </w:cols>
          <w:pgMar w:left="320" w:top="254" w:right="339" w:bottom="1440" w:gutter="0" w:footer="0" w:header="0"/>
        </w:sectPr>
      </w:pPr>
    </w:p>
    <w:bookmarkStart w:id="67" w:name="page68"/>
    <w:bookmarkEnd w:id="67"/>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9"/>
          <w:szCs w:val="29"/>
          <w:color w:val="003478"/>
        </w:rPr>
        <w:t>Nonqualified Deferred Compensation</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Participants in our tax-qualified defined contribution plan may defer up to 40% of base salary on a pre-tax, Roth or after-tax basis. In addition, we make a matching contribution equal to 50% of up to the first 8% of base salary contributed by the participant plus a nonelective contribution equal to 6% of the participant’s base pay. Employee and Company matching contributions in excess of the Internal Revenue Code limitations may be contributed to a nonqualified defined contribution plan called the Lockheed Martin Corporation Supplemental Savings Plan (NQSSP) on a pre-tax basis at the election of the NEO. We also make Company nonelective contributions in excess of the Internal Revenue Code limitations to a nonqualified defined contribution excess plan called the Lockheed Martin Corporation Nonqualified Capital Accumulation Plan (NCAP) equal to 6% of the NEO’s base salary. Employee contributions and Company matching and nonelective contributions to the plans are nonforfeitable at all times. NQSSP and NCAP contributions are credited with earnings or losses, as appropriate, based on the investment options in which the account has been invested, as elected by the participant. Each of the NQSSP and NCAP investment options is available under our tax-qualified defined contribution plan for salaried employees. The NQSSP and NCAP provide for payment following termination of employment in a lump sum or up to 25 annual installments at the participant’s election. All amounts accumulated and unpaid under the NQSSP and NCAP must be paid in a lump sum within 15 calendar days following a change in control.</w:t>
      </w:r>
    </w:p>
    <w:p>
      <w:pPr>
        <w:spacing w:after="0" w:line="107"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The Deferred Management Incentive Compensation Plan (DMICP) is a nonqualified deferred compensation plan that provides the opportunity to defer, until termination of employment or beyond, the receipt of all or a portion of annual incentive bonuses and LTIP awards. NEOs may elect any of the investment funds available in the NQSSP (with the exception of the Company Stock Fund) and two investment alternatives available only under the DMICP for crediting earnings (losses). Under the DMICP Stock Investment Option, earnings (losses) on deferred amounts will accrue at a rate that tracks the performance of our common stock, including reinvestment of dividends. Under the DMICP Interest Investment Option, earnings accrue at a rate equivalent to the then published rate for computing the present value of future benefits under Cost Accounting Standards 415, Deferred Compensation (CAS 415 rate). The Interest Investment Option was closed to new deferrals and transfers from other investment options effective July 1, 2009. Amounts credited to the Stock Investment Option may not be reallocated to other options and will be paid in shares of our common stock upon distribution. The DMICP provides for payment in January or July following termination of employment in a lump sum or up to 25 annual installments at the NEO’s election. All amounts accumulated under the DMICP must be paid in a lump sum within 15 days following a change in control.</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reports compensation earned by the NEOs and deferred under NQSSP, NCAP and DMICP.</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62</w:t>
      </w:r>
    </w:p>
    <w:p>
      <w:pPr>
        <w:sectPr>
          <w:pgSz w:w="11900" w:h="16838" w:orient="portrait"/>
          <w:cols w:equalWidth="0" w:num="1">
            <w:col w:w="11240"/>
          </w:cols>
          <w:pgMar w:left="320" w:top="254" w:right="339" w:bottom="1440" w:gutter="0" w:footer="0" w:header="0"/>
        </w:sectPr>
      </w:pPr>
    </w:p>
    <w:bookmarkStart w:id="68" w:name="page69"/>
    <w:bookmarkEnd w:id="68"/>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9"/>
          <w:szCs w:val="29"/>
          <w:color w:val="003478"/>
        </w:rPr>
        <w:t>Nonqualified Deferred Compensation Table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20" w:type="dxa"/>
            <w:vAlign w:val="bottom"/>
            <w:shd w:val="clear" w:color="auto" w:fill="E5E7EF"/>
          </w:tcPr>
          <w:p>
            <w:pPr>
              <w:spacing w:after="0"/>
              <w:rPr>
                <w:sz w:val="14"/>
                <w:szCs w:val="14"/>
                <w:color w:val="auto"/>
              </w:rPr>
            </w:pPr>
          </w:p>
        </w:tc>
        <w:tc>
          <w:tcPr>
            <w:tcW w:w="1360" w:type="dxa"/>
            <w:vAlign w:val="bottom"/>
            <w:shd w:val="clear" w:color="auto" w:fill="E5E7EF"/>
          </w:tcPr>
          <w:p>
            <w:pPr>
              <w:spacing w:after="0"/>
              <w:rPr>
                <w:sz w:val="14"/>
                <w:szCs w:val="14"/>
                <w:color w:val="auto"/>
              </w:rPr>
            </w:pPr>
          </w:p>
        </w:tc>
        <w:tc>
          <w:tcPr>
            <w:tcW w:w="1300" w:type="dxa"/>
            <w:vAlign w:val="bottom"/>
            <w:shd w:val="clear" w:color="auto" w:fill="E5E7EF"/>
          </w:tcPr>
          <w:p>
            <w:pPr>
              <w:spacing w:after="0"/>
              <w:rPr>
                <w:sz w:val="14"/>
                <w:szCs w:val="14"/>
                <w:color w:val="auto"/>
              </w:rPr>
            </w:pPr>
          </w:p>
        </w:tc>
        <w:tc>
          <w:tcPr>
            <w:tcW w:w="1100" w:type="dxa"/>
            <w:vAlign w:val="bottom"/>
            <w:shd w:val="clear" w:color="auto" w:fill="E5E7EF"/>
          </w:tcPr>
          <w:p>
            <w:pPr>
              <w:spacing w:after="0"/>
              <w:rPr>
                <w:sz w:val="14"/>
                <w:szCs w:val="14"/>
                <w:color w:val="auto"/>
              </w:rPr>
            </w:pPr>
          </w:p>
        </w:tc>
        <w:tc>
          <w:tcPr>
            <w:tcW w:w="900" w:type="dxa"/>
            <w:vAlign w:val="bottom"/>
            <w:shd w:val="clear" w:color="auto" w:fill="E5E7EF"/>
          </w:tcPr>
          <w:p>
            <w:pPr>
              <w:spacing w:after="0"/>
              <w:rPr>
                <w:sz w:val="14"/>
                <w:szCs w:val="14"/>
                <w:color w:val="auto"/>
              </w:rPr>
            </w:pPr>
          </w:p>
        </w:tc>
        <w:tc>
          <w:tcPr>
            <w:tcW w:w="1220" w:type="dxa"/>
            <w:vAlign w:val="bottom"/>
            <w:shd w:val="clear" w:color="auto" w:fill="E5E7EF"/>
          </w:tcPr>
          <w:p>
            <w:pPr>
              <w:jc w:val="right"/>
              <w:ind w:right="30"/>
              <w:spacing w:after="0"/>
              <w:rPr>
                <w:sz w:val="20"/>
                <w:szCs w:val="20"/>
                <w:color w:val="auto"/>
              </w:rPr>
            </w:pPr>
            <w:r>
              <w:rPr>
                <w:rFonts w:ascii="Arial" w:cs="Arial" w:eastAsia="Arial" w:hAnsi="Arial"/>
                <w:sz w:val="13"/>
                <w:szCs w:val="13"/>
                <w:color w:val="auto"/>
              </w:rPr>
              <w:t>Aggregate</w:t>
            </w:r>
          </w:p>
        </w:tc>
        <w:tc>
          <w:tcPr>
            <w:tcW w:w="880" w:type="dxa"/>
            <w:vAlign w:val="bottom"/>
            <w:shd w:val="clear" w:color="auto" w:fill="E5E7EF"/>
          </w:tcPr>
          <w:p>
            <w:pPr>
              <w:spacing w:after="0"/>
              <w:rPr>
                <w:sz w:val="14"/>
                <w:szCs w:val="14"/>
                <w:color w:val="auto"/>
              </w:rPr>
            </w:pPr>
          </w:p>
        </w:tc>
      </w:tr>
      <w:tr>
        <w:trPr>
          <w:trHeight w:val="148"/>
        </w:trPr>
        <w:tc>
          <w:tcPr>
            <w:tcW w:w="4420" w:type="dxa"/>
            <w:vAlign w:val="bottom"/>
            <w:shd w:val="clear" w:color="auto" w:fill="E5E7EF"/>
          </w:tcPr>
          <w:p>
            <w:pPr>
              <w:spacing w:after="0"/>
              <w:rPr>
                <w:sz w:val="12"/>
                <w:szCs w:val="12"/>
                <w:color w:val="auto"/>
              </w:rPr>
            </w:pPr>
          </w:p>
        </w:tc>
        <w:tc>
          <w:tcPr>
            <w:tcW w:w="1360" w:type="dxa"/>
            <w:vAlign w:val="bottom"/>
            <w:shd w:val="clear" w:color="auto" w:fill="E5E7EF"/>
          </w:tcPr>
          <w:p>
            <w:pPr>
              <w:spacing w:after="0"/>
              <w:rPr>
                <w:sz w:val="12"/>
                <w:szCs w:val="12"/>
                <w:color w:val="auto"/>
              </w:rPr>
            </w:pPr>
          </w:p>
        </w:tc>
        <w:tc>
          <w:tcPr>
            <w:tcW w:w="1300" w:type="dxa"/>
            <w:vAlign w:val="bottom"/>
            <w:shd w:val="clear" w:color="auto" w:fill="E5E7EF"/>
          </w:tcPr>
          <w:p>
            <w:pPr>
              <w:jc w:val="right"/>
              <w:ind w:right="110"/>
              <w:spacing w:after="0" w:line="148" w:lineRule="exact"/>
              <w:rPr>
                <w:sz w:val="20"/>
                <w:szCs w:val="20"/>
                <w:color w:val="auto"/>
              </w:rPr>
            </w:pPr>
            <w:r>
              <w:rPr>
                <w:rFonts w:ascii="Arial" w:cs="Arial" w:eastAsia="Arial" w:hAnsi="Arial"/>
                <w:sz w:val="13"/>
                <w:szCs w:val="13"/>
                <w:color w:val="auto"/>
              </w:rPr>
              <w:t>Executive</w:t>
            </w:r>
          </w:p>
        </w:tc>
        <w:tc>
          <w:tcPr>
            <w:tcW w:w="1100" w:type="dxa"/>
            <w:vAlign w:val="bottom"/>
            <w:shd w:val="clear" w:color="auto" w:fill="E5E7EF"/>
          </w:tcPr>
          <w:p>
            <w:pPr>
              <w:jc w:val="right"/>
              <w:ind w:right="110"/>
              <w:spacing w:after="0" w:line="148" w:lineRule="exact"/>
              <w:rPr>
                <w:sz w:val="20"/>
                <w:szCs w:val="20"/>
                <w:color w:val="auto"/>
              </w:rPr>
            </w:pPr>
            <w:r>
              <w:rPr>
                <w:rFonts w:ascii="Arial" w:cs="Arial" w:eastAsia="Arial" w:hAnsi="Arial"/>
                <w:sz w:val="13"/>
                <w:szCs w:val="13"/>
                <w:color w:val="auto"/>
              </w:rPr>
              <w:t>Registrant</w:t>
            </w:r>
          </w:p>
        </w:tc>
        <w:tc>
          <w:tcPr>
            <w:tcW w:w="900" w:type="dxa"/>
            <w:vAlign w:val="bottom"/>
            <w:shd w:val="clear" w:color="auto" w:fill="E5E7EF"/>
          </w:tcPr>
          <w:p>
            <w:pPr>
              <w:jc w:val="right"/>
              <w:spacing w:after="0" w:line="148" w:lineRule="exact"/>
              <w:rPr>
                <w:sz w:val="20"/>
                <w:szCs w:val="20"/>
                <w:color w:val="auto"/>
              </w:rPr>
            </w:pPr>
            <w:r>
              <w:rPr>
                <w:rFonts w:ascii="Arial" w:cs="Arial" w:eastAsia="Arial" w:hAnsi="Arial"/>
                <w:sz w:val="13"/>
                <w:szCs w:val="13"/>
                <w:color w:val="auto"/>
              </w:rPr>
              <w:t>Aggregate</w:t>
            </w:r>
          </w:p>
        </w:tc>
        <w:tc>
          <w:tcPr>
            <w:tcW w:w="1220" w:type="dxa"/>
            <w:vAlign w:val="bottom"/>
            <w:shd w:val="clear" w:color="auto" w:fill="E5E7EF"/>
          </w:tcPr>
          <w:p>
            <w:pPr>
              <w:jc w:val="right"/>
              <w:ind w:right="30"/>
              <w:spacing w:after="0" w:line="148" w:lineRule="exact"/>
              <w:rPr>
                <w:sz w:val="20"/>
                <w:szCs w:val="20"/>
                <w:color w:val="auto"/>
              </w:rPr>
            </w:pPr>
            <w:r>
              <w:rPr>
                <w:rFonts w:ascii="Arial" w:cs="Arial" w:eastAsia="Arial" w:hAnsi="Arial"/>
                <w:sz w:val="13"/>
                <w:szCs w:val="13"/>
                <w:color w:val="auto"/>
              </w:rPr>
              <w:t>Withdrawals/</w:t>
            </w:r>
          </w:p>
        </w:tc>
        <w:tc>
          <w:tcPr>
            <w:tcW w:w="880" w:type="dxa"/>
            <w:vAlign w:val="bottom"/>
            <w:shd w:val="clear" w:color="auto" w:fill="E5E7EF"/>
          </w:tcPr>
          <w:p>
            <w:pPr>
              <w:jc w:val="right"/>
              <w:spacing w:after="0" w:line="148" w:lineRule="exact"/>
              <w:rPr>
                <w:sz w:val="20"/>
                <w:szCs w:val="20"/>
                <w:color w:val="auto"/>
              </w:rPr>
            </w:pPr>
            <w:r>
              <w:rPr>
                <w:rFonts w:ascii="Arial" w:cs="Arial" w:eastAsia="Arial" w:hAnsi="Arial"/>
                <w:sz w:val="13"/>
                <w:szCs w:val="13"/>
                <w:color w:val="auto"/>
              </w:rPr>
              <w:t>Aggregate</w:t>
            </w:r>
          </w:p>
        </w:tc>
      </w:tr>
      <w:tr>
        <w:trPr>
          <w:trHeight w:val="134"/>
        </w:trPr>
        <w:tc>
          <w:tcPr>
            <w:tcW w:w="4420" w:type="dxa"/>
            <w:vAlign w:val="bottom"/>
            <w:shd w:val="clear" w:color="auto" w:fill="E5E7EF"/>
          </w:tcPr>
          <w:p>
            <w:pPr>
              <w:spacing w:after="0"/>
              <w:rPr>
                <w:sz w:val="11"/>
                <w:szCs w:val="11"/>
                <w:color w:val="auto"/>
              </w:rPr>
            </w:pPr>
          </w:p>
        </w:tc>
        <w:tc>
          <w:tcPr>
            <w:tcW w:w="1360" w:type="dxa"/>
            <w:vAlign w:val="bottom"/>
            <w:shd w:val="clear" w:color="auto" w:fill="E5E7EF"/>
          </w:tcPr>
          <w:p>
            <w:pPr>
              <w:spacing w:after="0"/>
              <w:rPr>
                <w:sz w:val="11"/>
                <w:szCs w:val="11"/>
                <w:color w:val="auto"/>
              </w:rPr>
            </w:pPr>
          </w:p>
        </w:tc>
        <w:tc>
          <w:tcPr>
            <w:tcW w:w="1300" w:type="dxa"/>
            <w:vAlign w:val="bottom"/>
            <w:shd w:val="clear" w:color="auto" w:fill="E5E7EF"/>
          </w:tcPr>
          <w:p>
            <w:pPr>
              <w:jc w:val="right"/>
              <w:ind w:right="110"/>
              <w:spacing w:after="0" w:line="134" w:lineRule="exact"/>
              <w:rPr>
                <w:sz w:val="20"/>
                <w:szCs w:val="20"/>
                <w:color w:val="auto"/>
              </w:rPr>
            </w:pPr>
            <w:r>
              <w:rPr>
                <w:rFonts w:ascii="Arial" w:cs="Arial" w:eastAsia="Arial" w:hAnsi="Arial"/>
                <w:sz w:val="13"/>
                <w:szCs w:val="13"/>
                <w:color w:val="auto"/>
              </w:rPr>
              <w:t>Contributions</w:t>
            </w:r>
          </w:p>
        </w:tc>
        <w:tc>
          <w:tcPr>
            <w:tcW w:w="1100" w:type="dxa"/>
            <w:vAlign w:val="bottom"/>
            <w:shd w:val="clear" w:color="auto" w:fill="E5E7EF"/>
          </w:tcPr>
          <w:p>
            <w:pPr>
              <w:jc w:val="right"/>
              <w:ind w:right="110"/>
              <w:spacing w:after="0" w:line="134" w:lineRule="exact"/>
              <w:rPr>
                <w:sz w:val="20"/>
                <w:szCs w:val="20"/>
                <w:color w:val="auto"/>
              </w:rPr>
            </w:pPr>
            <w:r>
              <w:rPr>
                <w:rFonts w:ascii="Arial" w:cs="Arial" w:eastAsia="Arial" w:hAnsi="Arial"/>
                <w:sz w:val="13"/>
                <w:szCs w:val="13"/>
                <w:color w:val="auto"/>
              </w:rPr>
              <w:t>Contributions</w:t>
            </w:r>
          </w:p>
        </w:tc>
        <w:tc>
          <w:tcPr>
            <w:tcW w:w="900" w:type="dxa"/>
            <w:vAlign w:val="bottom"/>
            <w:shd w:val="clear" w:color="auto" w:fill="E5E7EF"/>
          </w:tcPr>
          <w:p>
            <w:pPr>
              <w:jc w:val="right"/>
              <w:spacing w:after="0" w:line="134" w:lineRule="exact"/>
              <w:rPr>
                <w:sz w:val="20"/>
                <w:szCs w:val="20"/>
                <w:color w:val="auto"/>
              </w:rPr>
            </w:pPr>
            <w:r>
              <w:rPr>
                <w:rFonts w:ascii="Arial" w:cs="Arial" w:eastAsia="Arial" w:hAnsi="Arial"/>
                <w:sz w:val="13"/>
                <w:szCs w:val="13"/>
                <w:color w:val="auto"/>
              </w:rPr>
              <w:t>Earnings in</w:t>
            </w:r>
          </w:p>
        </w:tc>
        <w:tc>
          <w:tcPr>
            <w:tcW w:w="1220" w:type="dxa"/>
            <w:vAlign w:val="bottom"/>
            <w:shd w:val="clear" w:color="auto" w:fill="E5E7EF"/>
          </w:tcPr>
          <w:p>
            <w:pPr>
              <w:jc w:val="right"/>
              <w:ind w:right="30"/>
              <w:spacing w:after="0" w:line="134" w:lineRule="exact"/>
              <w:rPr>
                <w:sz w:val="20"/>
                <w:szCs w:val="20"/>
                <w:color w:val="auto"/>
              </w:rPr>
            </w:pPr>
            <w:r>
              <w:rPr>
                <w:rFonts w:ascii="Arial" w:cs="Arial" w:eastAsia="Arial" w:hAnsi="Arial"/>
                <w:sz w:val="13"/>
                <w:szCs w:val="13"/>
                <w:color w:val="auto"/>
                <w:w w:val="96"/>
              </w:rPr>
              <w:t>Distributions in Last</w:t>
            </w:r>
          </w:p>
        </w:tc>
        <w:tc>
          <w:tcPr>
            <w:tcW w:w="880" w:type="dxa"/>
            <w:vAlign w:val="bottom"/>
            <w:shd w:val="clear" w:color="auto" w:fill="E5E7EF"/>
          </w:tcPr>
          <w:p>
            <w:pPr>
              <w:jc w:val="right"/>
              <w:spacing w:after="0" w:line="134" w:lineRule="exact"/>
              <w:rPr>
                <w:sz w:val="20"/>
                <w:szCs w:val="20"/>
                <w:color w:val="auto"/>
              </w:rPr>
            </w:pPr>
            <w:r>
              <w:rPr>
                <w:rFonts w:ascii="Arial" w:cs="Arial" w:eastAsia="Arial" w:hAnsi="Arial"/>
                <w:sz w:val="13"/>
                <w:szCs w:val="13"/>
                <w:color w:val="auto"/>
              </w:rPr>
              <w:t>Balance at</w:t>
            </w:r>
          </w:p>
        </w:tc>
      </w:tr>
      <w:tr>
        <w:trPr>
          <w:trHeight w:val="195"/>
        </w:trPr>
        <w:tc>
          <w:tcPr>
            <w:tcW w:w="4420" w:type="dxa"/>
            <w:vAlign w:val="bottom"/>
            <w:shd w:val="clear" w:color="auto" w:fill="E5E7EF"/>
          </w:tcPr>
          <w:p>
            <w:pPr>
              <w:spacing w:after="0"/>
              <w:rPr>
                <w:sz w:val="16"/>
                <w:szCs w:val="16"/>
                <w:color w:val="auto"/>
              </w:rPr>
            </w:pPr>
          </w:p>
        </w:tc>
        <w:tc>
          <w:tcPr>
            <w:tcW w:w="1360" w:type="dxa"/>
            <w:vAlign w:val="bottom"/>
            <w:shd w:val="clear" w:color="auto" w:fill="E5E7EF"/>
          </w:tcPr>
          <w:p>
            <w:pPr>
              <w:spacing w:after="0"/>
              <w:rPr>
                <w:sz w:val="16"/>
                <w:szCs w:val="16"/>
                <w:color w:val="auto"/>
              </w:rPr>
            </w:pPr>
          </w:p>
        </w:tc>
        <w:tc>
          <w:tcPr>
            <w:tcW w:w="1300" w:type="dxa"/>
            <w:vAlign w:val="bottom"/>
            <w:shd w:val="clear" w:color="auto" w:fill="E5E7EF"/>
          </w:tcPr>
          <w:p>
            <w:pPr>
              <w:jc w:val="right"/>
              <w:ind w:right="110"/>
              <w:spacing w:after="0"/>
              <w:rPr>
                <w:sz w:val="20"/>
                <w:szCs w:val="20"/>
                <w:color w:val="auto"/>
              </w:rPr>
            </w:pPr>
            <w:r>
              <w:rPr>
                <w:rFonts w:ascii="Arial" w:cs="Arial" w:eastAsia="Arial" w:hAnsi="Arial"/>
                <w:sz w:val="13"/>
                <w:szCs w:val="13"/>
                <w:color w:val="auto"/>
              </w:rPr>
              <w:t>in Last FY</w:t>
            </w:r>
            <w:r>
              <w:rPr>
                <w:rFonts w:ascii="Arial" w:cs="Arial" w:eastAsia="Arial" w:hAnsi="Arial"/>
                <w:sz w:val="16"/>
                <w:szCs w:val="16"/>
                <w:color w:val="auto"/>
                <w:vertAlign w:val="superscript"/>
              </w:rPr>
              <w:t>(1)</w:t>
            </w:r>
          </w:p>
        </w:tc>
        <w:tc>
          <w:tcPr>
            <w:tcW w:w="1100" w:type="dxa"/>
            <w:vAlign w:val="bottom"/>
            <w:shd w:val="clear" w:color="auto" w:fill="E5E7EF"/>
          </w:tcPr>
          <w:p>
            <w:pPr>
              <w:jc w:val="right"/>
              <w:ind w:right="110"/>
              <w:spacing w:after="0"/>
              <w:rPr>
                <w:sz w:val="20"/>
                <w:szCs w:val="20"/>
                <w:color w:val="auto"/>
              </w:rPr>
            </w:pPr>
            <w:r>
              <w:rPr>
                <w:rFonts w:ascii="Arial" w:cs="Arial" w:eastAsia="Arial" w:hAnsi="Arial"/>
                <w:sz w:val="13"/>
                <w:szCs w:val="13"/>
                <w:color w:val="auto"/>
              </w:rPr>
              <w:t>in Last FY</w:t>
            </w:r>
            <w:r>
              <w:rPr>
                <w:rFonts w:ascii="Arial" w:cs="Arial" w:eastAsia="Arial" w:hAnsi="Arial"/>
                <w:sz w:val="16"/>
                <w:szCs w:val="16"/>
                <w:color w:val="auto"/>
                <w:vertAlign w:val="superscript"/>
              </w:rPr>
              <w:t>(2)</w:t>
            </w:r>
          </w:p>
        </w:tc>
        <w:tc>
          <w:tcPr>
            <w:tcW w:w="900" w:type="dxa"/>
            <w:vAlign w:val="bottom"/>
            <w:shd w:val="clear" w:color="auto" w:fill="E5E7EF"/>
          </w:tcPr>
          <w:p>
            <w:pPr>
              <w:jc w:val="right"/>
              <w:spacing w:after="0"/>
              <w:rPr>
                <w:sz w:val="20"/>
                <w:szCs w:val="20"/>
                <w:color w:val="auto"/>
              </w:rPr>
            </w:pPr>
            <w:r>
              <w:rPr>
                <w:rFonts w:ascii="Arial" w:cs="Arial" w:eastAsia="Arial" w:hAnsi="Arial"/>
                <w:sz w:val="13"/>
                <w:szCs w:val="13"/>
                <w:color w:val="auto"/>
              </w:rPr>
              <w:t>Last FY</w:t>
            </w:r>
          </w:p>
        </w:tc>
        <w:tc>
          <w:tcPr>
            <w:tcW w:w="1220" w:type="dxa"/>
            <w:vAlign w:val="bottom"/>
            <w:shd w:val="clear" w:color="auto" w:fill="E5E7EF"/>
          </w:tcPr>
          <w:p>
            <w:pPr>
              <w:jc w:val="right"/>
              <w:ind w:right="30"/>
              <w:spacing w:after="0"/>
              <w:rPr>
                <w:sz w:val="20"/>
                <w:szCs w:val="20"/>
                <w:color w:val="auto"/>
              </w:rPr>
            </w:pPr>
            <w:r>
              <w:rPr>
                <w:rFonts w:ascii="Arial" w:cs="Arial" w:eastAsia="Arial" w:hAnsi="Arial"/>
                <w:sz w:val="13"/>
                <w:szCs w:val="13"/>
                <w:color w:val="auto"/>
              </w:rPr>
              <w:t>FY</w:t>
            </w:r>
          </w:p>
        </w:tc>
        <w:tc>
          <w:tcPr>
            <w:tcW w:w="8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Last FYE</w:t>
            </w:r>
            <w:r>
              <w:rPr>
                <w:rFonts w:ascii="Arial" w:cs="Arial" w:eastAsia="Arial" w:hAnsi="Arial"/>
                <w:sz w:val="16"/>
                <w:szCs w:val="16"/>
                <w:color w:val="auto"/>
                <w:vertAlign w:val="superscript"/>
              </w:rPr>
              <w:t>(3)</w:t>
            </w:r>
          </w:p>
        </w:tc>
      </w:tr>
      <w:tr>
        <w:trPr>
          <w:trHeight w:val="207"/>
        </w:trPr>
        <w:tc>
          <w:tcPr>
            <w:tcW w:w="442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Name</w:t>
            </w:r>
          </w:p>
        </w:tc>
        <w:tc>
          <w:tcPr>
            <w:tcW w:w="1360" w:type="dxa"/>
            <w:vAlign w:val="bottom"/>
            <w:tcBorders>
              <w:bottom w:val="single" w:sz="8" w:color="E5E7EF"/>
            </w:tcBorders>
            <w:shd w:val="clear" w:color="auto" w:fill="E5E7EF"/>
          </w:tcPr>
          <w:p>
            <w:pPr>
              <w:spacing w:after="0"/>
              <w:rPr>
                <w:sz w:val="17"/>
                <w:szCs w:val="17"/>
                <w:color w:val="auto"/>
              </w:rPr>
            </w:pPr>
          </w:p>
        </w:tc>
        <w:tc>
          <w:tcPr>
            <w:tcW w:w="1300" w:type="dxa"/>
            <w:vAlign w:val="bottom"/>
            <w:tcBorders>
              <w:bottom w:val="single" w:sz="8" w:color="E5E7EF"/>
            </w:tcBorders>
            <w:shd w:val="clear" w:color="auto" w:fill="E5E7EF"/>
          </w:tcPr>
          <w:p>
            <w:pPr>
              <w:jc w:val="right"/>
              <w:ind w:right="110"/>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E5E7EF"/>
            </w:tcBorders>
            <w:shd w:val="clear" w:color="auto" w:fill="E5E7EF"/>
          </w:tcPr>
          <w:p>
            <w:pPr>
              <w:jc w:val="right"/>
              <w:ind w:right="110"/>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E5E7EF"/>
            </w:tcBorders>
            <w:shd w:val="clear" w:color="auto" w:fill="E5E7EF"/>
          </w:tcPr>
          <w:p>
            <w:pPr>
              <w:jc w:val="right"/>
              <w:ind w:right="30"/>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200"/>
        </w:trPr>
        <w:tc>
          <w:tcPr>
            <w:tcW w:w="4420" w:type="dxa"/>
            <w:vAlign w:val="bottom"/>
            <w:tcBorders>
              <w:top w:val="single" w:sz="8" w:color="002E6D"/>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(a)</w:t>
            </w:r>
          </w:p>
        </w:tc>
        <w:tc>
          <w:tcPr>
            <w:tcW w:w="1360" w:type="dxa"/>
            <w:vAlign w:val="bottom"/>
            <w:tcBorders>
              <w:top w:val="single" w:sz="8" w:color="002E6D"/>
              <w:bottom w:val="single" w:sz="8" w:color="E5E7EF"/>
            </w:tcBorders>
            <w:shd w:val="clear" w:color="auto" w:fill="E5E7EF"/>
          </w:tcPr>
          <w:p>
            <w:pPr>
              <w:spacing w:after="0"/>
              <w:rPr>
                <w:sz w:val="16"/>
                <w:szCs w:val="16"/>
                <w:color w:val="auto"/>
              </w:rPr>
            </w:pPr>
          </w:p>
        </w:tc>
        <w:tc>
          <w:tcPr>
            <w:tcW w:w="1300" w:type="dxa"/>
            <w:vAlign w:val="bottom"/>
            <w:tcBorders>
              <w:top w:val="single" w:sz="8" w:color="002E6D"/>
              <w:bottom w:val="single" w:sz="8" w:color="E5E7EF"/>
            </w:tcBorders>
            <w:shd w:val="clear" w:color="auto" w:fill="E5E7EF"/>
          </w:tcPr>
          <w:p>
            <w:pPr>
              <w:jc w:val="right"/>
              <w:ind w:right="110"/>
              <w:spacing w:after="0"/>
              <w:rPr>
                <w:sz w:val="20"/>
                <w:szCs w:val="20"/>
                <w:color w:val="auto"/>
              </w:rPr>
            </w:pPr>
            <w:r>
              <w:rPr>
                <w:rFonts w:ascii="Arial" w:cs="Arial" w:eastAsia="Arial" w:hAnsi="Arial"/>
                <w:sz w:val="13"/>
                <w:szCs w:val="13"/>
                <w:color w:val="auto"/>
              </w:rPr>
              <w:t>(b)</w:t>
            </w:r>
          </w:p>
        </w:tc>
        <w:tc>
          <w:tcPr>
            <w:tcW w:w="1100" w:type="dxa"/>
            <w:vAlign w:val="bottom"/>
            <w:tcBorders>
              <w:top w:val="single" w:sz="8" w:color="002E6D"/>
              <w:bottom w:val="single" w:sz="8" w:color="E5E7EF"/>
            </w:tcBorders>
            <w:shd w:val="clear" w:color="auto" w:fill="E5E7EF"/>
          </w:tcPr>
          <w:p>
            <w:pPr>
              <w:jc w:val="right"/>
              <w:ind w:right="110"/>
              <w:spacing w:after="0"/>
              <w:rPr>
                <w:sz w:val="20"/>
                <w:szCs w:val="20"/>
                <w:color w:val="auto"/>
              </w:rPr>
            </w:pPr>
            <w:r>
              <w:rPr>
                <w:rFonts w:ascii="Arial" w:cs="Arial" w:eastAsia="Arial" w:hAnsi="Arial"/>
                <w:sz w:val="13"/>
                <w:szCs w:val="13"/>
                <w:color w:val="auto"/>
              </w:rPr>
              <w:t>(c)</w:t>
            </w:r>
          </w:p>
        </w:tc>
        <w:tc>
          <w:tcPr>
            <w:tcW w:w="900" w:type="dxa"/>
            <w:vAlign w:val="bottom"/>
            <w:tcBorders>
              <w:top w:val="single" w:sz="8" w:color="002E6D"/>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(d)</w:t>
            </w:r>
          </w:p>
        </w:tc>
        <w:tc>
          <w:tcPr>
            <w:tcW w:w="1220" w:type="dxa"/>
            <w:vAlign w:val="bottom"/>
            <w:tcBorders>
              <w:top w:val="single" w:sz="8" w:color="002E6D"/>
              <w:bottom w:val="single" w:sz="8" w:color="E5E7EF"/>
            </w:tcBorders>
            <w:shd w:val="clear" w:color="auto" w:fill="E5E7EF"/>
          </w:tcPr>
          <w:p>
            <w:pPr>
              <w:jc w:val="right"/>
              <w:ind w:right="30"/>
              <w:spacing w:after="0"/>
              <w:rPr>
                <w:sz w:val="20"/>
                <w:szCs w:val="20"/>
                <w:color w:val="auto"/>
              </w:rPr>
            </w:pPr>
            <w:r>
              <w:rPr>
                <w:rFonts w:ascii="Arial" w:cs="Arial" w:eastAsia="Arial" w:hAnsi="Arial"/>
                <w:sz w:val="13"/>
                <w:szCs w:val="13"/>
                <w:color w:val="auto"/>
              </w:rPr>
              <w:t>(e)</w:t>
            </w:r>
          </w:p>
        </w:tc>
        <w:tc>
          <w:tcPr>
            <w:tcW w:w="880" w:type="dxa"/>
            <w:vAlign w:val="bottom"/>
            <w:tcBorders>
              <w:top w:val="single" w:sz="8" w:color="002E6D"/>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(f)</w:t>
            </w:r>
          </w:p>
        </w:tc>
      </w:tr>
      <w:tr>
        <w:trPr>
          <w:trHeight w:val="182"/>
        </w:trPr>
        <w:tc>
          <w:tcPr>
            <w:tcW w:w="4420" w:type="dxa"/>
            <w:vAlign w:val="bottom"/>
            <w:tcBorders>
              <w:top w:val="single" w:sz="8" w:color="002E6D"/>
            </w:tcBorders>
          </w:tcPr>
          <w:p>
            <w:pPr>
              <w:ind w:left="20"/>
              <w:spacing w:after="0"/>
              <w:rPr>
                <w:sz w:val="20"/>
                <w:szCs w:val="20"/>
                <w:color w:val="auto"/>
              </w:rPr>
            </w:pPr>
            <w:r>
              <w:rPr>
                <w:rFonts w:ascii="Arial" w:cs="Arial" w:eastAsia="Arial" w:hAnsi="Arial"/>
                <w:sz w:val="14"/>
                <w:szCs w:val="14"/>
                <w:b w:val="1"/>
                <w:bCs w:val="1"/>
                <w:color w:val="002E6D"/>
              </w:rPr>
              <w:t>James D. Taiclet</w:t>
            </w:r>
          </w:p>
        </w:tc>
        <w:tc>
          <w:tcPr>
            <w:tcW w:w="1360" w:type="dxa"/>
            <w:vAlign w:val="bottom"/>
            <w:tcBorders>
              <w:top w:val="single" w:sz="8" w:color="002E6D"/>
            </w:tcBorders>
            <w:shd w:val="clear" w:color="auto" w:fill="E5E7EF"/>
          </w:tcPr>
          <w:p>
            <w:pPr>
              <w:jc w:val="right"/>
              <w:spacing w:after="0"/>
              <w:rPr>
                <w:sz w:val="20"/>
                <w:szCs w:val="20"/>
                <w:color w:val="auto"/>
              </w:rPr>
            </w:pPr>
            <w:r>
              <w:rPr>
                <w:rFonts w:ascii="Arial" w:cs="Arial" w:eastAsia="Arial" w:hAnsi="Arial"/>
                <w:sz w:val="14"/>
                <w:szCs w:val="14"/>
                <w:color w:val="auto"/>
              </w:rPr>
              <w:t>NQSSP</w:t>
            </w:r>
          </w:p>
        </w:tc>
        <w:tc>
          <w:tcPr>
            <w:tcW w:w="1300" w:type="dxa"/>
            <w:vAlign w:val="bottom"/>
            <w:tcBorders>
              <w:top w:val="single" w:sz="8" w:color="002E6D"/>
            </w:tcBorders>
            <w:shd w:val="clear" w:color="auto" w:fill="E5E7EF"/>
          </w:tcPr>
          <w:p>
            <w:pPr>
              <w:jc w:val="right"/>
              <w:ind w:right="150"/>
              <w:spacing w:after="0"/>
              <w:rPr>
                <w:sz w:val="20"/>
                <w:szCs w:val="20"/>
                <w:color w:val="auto"/>
              </w:rPr>
            </w:pPr>
            <w:r>
              <w:rPr>
                <w:rFonts w:ascii="Arial" w:cs="Arial" w:eastAsia="Arial" w:hAnsi="Arial"/>
                <w:sz w:val="14"/>
                <w:szCs w:val="14"/>
                <w:color w:val="auto"/>
              </w:rPr>
              <w:t>398,622</w:t>
            </w:r>
          </w:p>
        </w:tc>
        <w:tc>
          <w:tcPr>
            <w:tcW w:w="1100" w:type="dxa"/>
            <w:vAlign w:val="bottom"/>
            <w:tcBorders>
              <w:top w:val="single" w:sz="8" w:color="002E6D"/>
            </w:tcBorders>
            <w:shd w:val="clear" w:color="auto" w:fill="E5E7EF"/>
          </w:tcPr>
          <w:p>
            <w:pPr>
              <w:jc w:val="right"/>
              <w:ind w:right="170"/>
              <w:spacing w:after="0"/>
              <w:rPr>
                <w:sz w:val="20"/>
                <w:szCs w:val="20"/>
                <w:color w:val="auto"/>
              </w:rPr>
            </w:pPr>
            <w:r>
              <w:rPr>
                <w:rFonts w:ascii="Arial" w:cs="Arial" w:eastAsia="Arial" w:hAnsi="Arial"/>
                <w:sz w:val="14"/>
                <w:szCs w:val="14"/>
                <w:color w:val="auto"/>
              </w:rPr>
              <w:t>66,437</w:t>
            </w:r>
          </w:p>
        </w:tc>
        <w:tc>
          <w:tcPr>
            <w:tcW w:w="900" w:type="dxa"/>
            <w:vAlign w:val="bottom"/>
            <w:tcBorders>
              <w:top w:val="single" w:sz="8" w:color="002E6D"/>
            </w:tcBorders>
            <w:shd w:val="clear" w:color="auto" w:fill="E5E7EF"/>
          </w:tcPr>
          <w:p>
            <w:pPr>
              <w:jc w:val="right"/>
              <w:ind w:right="30"/>
              <w:spacing w:after="0"/>
              <w:rPr>
                <w:sz w:val="20"/>
                <w:szCs w:val="20"/>
                <w:color w:val="auto"/>
              </w:rPr>
            </w:pPr>
            <w:r>
              <w:rPr>
                <w:rFonts w:ascii="Arial" w:cs="Arial" w:eastAsia="Arial" w:hAnsi="Arial"/>
                <w:sz w:val="14"/>
                <w:szCs w:val="14"/>
                <w:color w:val="auto"/>
              </w:rPr>
              <w:t>17,503</w:t>
            </w:r>
          </w:p>
        </w:tc>
        <w:tc>
          <w:tcPr>
            <w:tcW w:w="1220" w:type="dxa"/>
            <w:vAlign w:val="bottom"/>
            <w:tcBorders>
              <w:top w:val="single" w:sz="8" w:color="002E6D"/>
            </w:tcBorders>
            <w:shd w:val="clear" w:color="auto" w:fill="E5E7EF"/>
          </w:tcPr>
          <w:p>
            <w:pPr>
              <w:ind w:left="920"/>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002E6D"/>
            </w:tcBorders>
            <w:shd w:val="clear" w:color="auto" w:fill="E5E7EF"/>
          </w:tcPr>
          <w:p>
            <w:pPr>
              <w:jc w:val="right"/>
              <w:spacing w:after="0"/>
              <w:rPr>
                <w:sz w:val="20"/>
                <w:szCs w:val="20"/>
                <w:color w:val="auto"/>
              </w:rPr>
            </w:pPr>
            <w:r>
              <w:rPr>
                <w:rFonts w:ascii="Arial" w:cs="Arial" w:eastAsia="Arial" w:hAnsi="Arial"/>
                <w:sz w:val="14"/>
                <w:szCs w:val="14"/>
                <w:color w:val="auto"/>
              </w:rPr>
              <w:t>482,561</w:t>
            </w:r>
          </w:p>
        </w:tc>
      </w:tr>
      <w:tr>
        <w:trPr>
          <w:trHeight w:val="188"/>
        </w:trPr>
        <w:tc>
          <w:tcPr>
            <w:tcW w:w="4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NCAP</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70"/>
              <w:spacing w:after="0"/>
              <w:rPr>
                <w:sz w:val="20"/>
                <w:szCs w:val="20"/>
                <w:color w:val="auto"/>
              </w:rPr>
            </w:pPr>
            <w:r>
              <w:rPr>
                <w:rFonts w:ascii="Arial" w:cs="Arial" w:eastAsia="Arial" w:hAnsi="Arial"/>
                <w:sz w:val="14"/>
                <w:szCs w:val="14"/>
                <w:color w:val="auto"/>
              </w:rPr>
              <w:t>89,092</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7,568</w:t>
            </w:r>
          </w:p>
        </w:tc>
        <w:tc>
          <w:tcPr>
            <w:tcW w:w="1220" w:type="dxa"/>
            <w:vAlign w:val="bottom"/>
          </w:tcPr>
          <w:p>
            <w:pPr>
              <w:ind w:left="9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134,785</w:t>
            </w:r>
          </w:p>
        </w:tc>
      </w:tr>
      <w:tr>
        <w:trPr>
          <w:trHeight w:val="188"/>
        </w:trPr>
        <w:tc>
          <w:tcPr>
            <w:tcW w:w="4420" w:type="dxa"/>
            <w:vAlign w:val="bottom"/>
          </w:tcPr>
          <w:p>
            <w:pPr>
              <w:spacing w:after="0"/>
              <w:rPr>
                <w:sz w:val="16"/>
                <w:szCs w:val="16"/>
                <w:color w:val="auto"/>
              </w:rPr>
            </w:pPr>
          </w:p>
        </w:tc>
        <w:tc>
          <w:tcPr>
            <w:tcW w:w="13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DMICP</w:t>
            </w:r>
          </w:p>
        </w:tc>
        <w:tc>
          <w:tcPr>
            <w:tcW w:w="1300" w:type="dxa"/>
            <w:vAlign w:val="bottom"/>
            <w:shd w:val="clear" w:color="auto" w:fill="E5E7EF"/>
          </w:tcPr>
          <w:p>
            <w:pPr>
              <w:jc w:val="right"/>
              <w:ind w:right="150"/>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7EF"/>
          </w:tcPr>
          <w:p>
            <w:pPr>
              <w:jc w:val="right"/>
              <w:ind w:right="170"/>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7EF"/>
          </w:tcPr>
          <w:p>
            <w:pPr>
              <w:jc w:val="right"/>
              <w:ind w:right="30"/>
              <w:spacing w:after="0"/>
              <w:rPr>
                <w:sz w:val="20"/>
                <w:szCs w:val="20"/>
                <w:color w:val="auto"/>
              </w:rPr>
            </w:pPr>
            <w:r>
              <w:rPr>
                <w:rFonts w:ascii="Arial" w:cs="Arial" w:eastAsia="Arial" w:hAnsi="Arial"/>
                <w:sz w:val="14"/>
                <w:szCs w:val="14"/>
                <w:color w:val="auto"/>
              </w:rPr>
              <w:t>—</w:t>
            </w:r>
          </w:p>
        </w:tc>
        <w:tc>
          <w:tcPr>
            <w:tcW w:w="1220" w:type="dxa"/>
            <w:vAlign w:val="bottom"/>
            <w:shd w:val="clear" w:color="auto" w:fill="E5E7EF"/>
          </w:tcPr>
          <w:p>
            <w:pPr>
              <w:ind w:left="92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4420" w:type="dxa"/>
            <w:vAlign w:val="bottom"/>
            <w:tcBorders>
              <w:bottom w:val="single" w:sz="8" w:color="939598"/>
            </w:tcBorders>
          </w:tcPr>
          <w:p>
            <w:pPr>
              <w:spacing w:after="0"/>
              <w:rPr>
                <w:sz w:val="16"/>
                <w:szCs w:val="16"/>
                <w:color w:val="auto"/>
              </w:rPr>
            </w:pPr>
          </w:p>
        </w:tc>
        <w:tc>
          <w:tcPr>
            <w:tcW w:w="1360" w:type="dxa"/>
            <w:vAlign w:val="bottom"/>
            <w:tcBorders>
              <w:bottom w:val="single" w:sz="8" w:color="939598"/>
            </w:tcBorders>
          </w:tcPr>
          <w:p>
            <w:pPr>
              <w:jc w:val="right"/>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939598"/>
            </w:tcBorders>
          </w:tcPr>
          <w:p>
            <w:pPr>
              <w:jc w:val="right"/>
              <w:ind w:right="150"/>
              <w:spacing w:after="0"/>
              <w:rPr>
                <w:sz w:val="20"/>
                <w:szCs w:val="20"/>
                <w:color w:val="auto"/>
              </w:rPr>
            </w:pPr>
            <w:r>
              <w:rPr>
                <w:rFonts w:ascii="Arial" w:cs="Arial" w:eastAsia="Arial" w:hAnsi="Arial"/>
                <w:sz w:val="14"/>
                <w:szCs w:val="14"/>
                <w:b w:val="1"/>
                <w:bCs w:val="1"/>
                <w:color w:val="auto"/>
              </w:rPr>
              <w:t>398,622</w:t>
            </w:r>
          </w:p>
        </w:tc>
        <w:tc>
          <w:tcPr>
            <w:tcW w:w="1100" w:type="dxa"/>
            <w:vAlign w:val="bottom"/>
            <w:tcBorders>
              <w:bottom w:val="single" w:sz="8" w:color="939598"/>
            </w:tcBorders>
          </w:tcPr>
          <w:p>
            <w:pPr>
              <w:jc w:val="right"/>
              <w:ind w:right="170"/>
              <w:spacing w:after="0"/>
              <w:rPr>
                <w:sz w:val="20"/>
                <w:szCs w:val="20"/>
                <w:color w:val="auto"/>
              </w:rPr>
            </w:pPr>
            <w:r>
              <w:rPr>
                <w:rFonts w:ascii="Arial" w:cs="Arial" w:eastAsia="Arial" w:hAnsi="Arial"/>
                <w:sz w:val="14"/>
                <w:szCs w:val="14"/>
                <w:b w:val="1"/>
                <w:bCs w:val="1"/>
                <w:color w:val="auto"/>
              </w:rPr>
              <w:t>155,529</w:t>
            </w:r>
          </w:p>
        </w:tc>
        <w:tc>
          <w:tcPr>
            <w:tcW w:w="900" w:type="dxa"/>
            <w:vAlign w:val="bottom"/>
            <w:tcBorders>
              <w:bottom w:val="single" w:sz="8" w:color="939598"/>
            </w:tcBorders>
          </w:tcPr>
          <w:p>
            <w:pPr>
              <w:jc w:val="right"/>
              <w:ind w:right="30"/>
              <w:spacing w:after="0"/>
              <w:rPr>
                <w:sz w:val="20"/>
                <w:szCs w:val="20"/>
                <w:color w:val="auto"/>
              </w:rPr>
            </w:pPr>
            <w:r>
              <w:rPr>
                <w:rFonts w:ascii="Arial" w:cs="Arial" w:eastAsia="Arial" w:hAnsi="Arial"/>
                <w:sz w:val="14"/>
                <w:szCs w:val="14"/>
                <w:b w:val="1"/>
                <w:bCs w:val="1"/>
                <w:color w:val="auto"/>
              </w:rPr>
              <w:t>25,071</w:t>
            </w:r>
          </w:p>
        </w:tc>
        <w:tc>
          <w:tcPr>
            <w:tcW w:w="1220" w:type="dxa"/>
            <w:vAlign w:val="bottom"/>
            <w:tcBorders>
              <w:bottom w:val="single" w:sz="8" w:color="939598"/>
            </w:tcBorders>
          </w:tcPr>
          <w:p>
            <w:pPr>
              <w:ind w:left="9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4"/>
                <w:szCs w:val="14"/>
                <w:b w:val="1"/>
                <w:bCs w:val="1"/>
                <w:color w:val="auto"/>
              </w:rPr>
              <w:t>617,346</w:t>
            </w:r>
          </w:p>
        </w:tc>
      </w:tr>
      <w:tr>
        <w:trPr>
          <w:trHeight w:val="182"/>
        </w:trPr>
        <w:tc>
          <w:tcPr>
            <w:tcW w:w="4420" w:type="dxa"/>
            <w:vAlign w:val="bottom"/>
          </w:tcPr>
          <w:p>
            <w:pPr>
              <w:ind w:left="20"/>
              <w:spacing w:after="0"/>
              <w:rPr>
                <w:sz w:val="20"/>
                <w:szCs w:val="20"/>
                <w:color w:val="auto"/>
              </w:rPr>
            </w:pPr>
            <w:r>
              <w:rPr>
                <w:rFonts w:ascii="Arial" w:cs="Arial" w:eastAsia="Arial" w:hAnsi="Arial"/>
                <w:sz w:val="14"/>
                <w:szCs w:val="14"/>
                <w:b w:val="1"/>
                <w:bCs w:val="1"/>
                <w:color w:val="002E6D"/>
              </w:rPr>
              <w:t>John W. Mollard</w:t>
            </w:r>
          </w:p>
        </w:tc>
        <w:tc>
          <w:tcPr>
            <w:tcW w:w="13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NQSSP</w:t>
            </w:r>
          </w:p>
        </w:tc>
        <w:tc>
          <w:tcPr>
            <w:tcW w:w="1300" w:type="dxa"/>
            <w:vAlign w:val="bottom"/>
            <w:shd w:val="clear" w:color="auto" w:fill="E5E7EF"/>
          </w:tcPr>
          <w:p>
            <w:pPr>
              <w:jc w:val="right"/>
              <w:ind w:right="150"/>
              <w:spacing w:after="0"/>
              <w:rPr>
                <w:sz w:val="20"/>
                <w:szCs w:val="20"/>
                <w:color w:val="auto"/>
              </w:rPr>
            </w:pPr>
            <w:r>
              <w:rPr>
                <w:rFonts w:ascii="Arial" w:cs="Arial" w:eastAsia="Arial" w:hAnsi="Arial"/>
                <w:sz w:val="14"/>
                <w:szCs w:val="14"/>
                <w:color w:val="auto"/>
              </w:rPr>
              <w:t>125,538</w:t>
            </w:r>
          </w:p>
        </w:tc>
        <w:tc>
          <w:tcPr>
            <w:tcW w:w="1100" w:type="dxa"/>
            <w:vAlign w:val="bottom"/>
            <w:shd w:val="clear" w:color="auto" w:fill="E5E7EF"/>
          </w:tcPr>
          <w:p>
            <w:pPr>
              <w:jc w:val="right"/>
              <w:ind w:right="170"/>
              <w:spacing w:after="0"/>
              <w:rPr>
                <w:sz w:val="20"/>
                <w:szCs w:val="20"/>
                <w:color w:val="auto"/>
              </w:rPr>
            </w:pPr>
            <w:r>
              <w:rPr>
                <w:rFonts w:ascii="Arial" w:cs="Arial" w:eastAsia="Arial" w:hAnsi="Arial"/>
                <w:sz w:val="14"/>
                <w:szCs w:val="14"/>
                <w:color w:val="auto"/>
              </w:rPr>
              <w:t>16,739</w:t>
            </w:r>
          </w:p>
        </w:tc>
        <w:tc>
          <w:tcPr>
            <w:tcW w:w="900" w:type="dxa"/>
            <w:vAlign w:val="bottom"/>
            <w:shd w:val="clear" w:color="auto" w:fill="E5E7EF"/>
          </w:tcPr>
          <w:p>
            <w:pPr>
              <w:jc w:val="right"/>
              <w:ind w:right="30"/>
              <w:spacing w:after="0"/>
              <w:rPr>
                <w:sz w:val="20"/>
                <w:szCs w:val="20"/>
                <w:color w:val="auto"/>
              </w:rPr>
            </w:pPr>
            <w:r>
              <w:rPr>
                <w:rFonts w:ascii="Arial" w:cs="Arial" w:eastAsia="Arial" w:hAnsi="Arial"/>
                <w:sz w:val="14"/>
                <w:szCs w:val="14"/>
                <w:color w:val="auto"/>
              </w:rPr>
              <w:t>326,720</w:t>
            </w:r>
          </w:p>
        </w:tc>
        <w:tc>
          <w:tcPr>
            <w:tcW w:w="1220" w:type="dxa"/>
            <w:vAlign w:val="bottom"/>
            <w:shd w:val="clear" w:color="auto" w:fill="E5E7EF"/>
          </w:tcPr>
          <w:p>
            <w:pPr>
              <w:ind w:left="92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2,769,280</w:t>
            </w:r>
          </w:p>
        </w:tc>
      </w:tr>
      <w:tr>
        <w:trPr>
          <w:trHeight w:val="188"/>
        </w:trPr>
        <w:tc>
          <w:tcPr>
            <w:tcW w:w="4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NCAP</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70"/>
              <w:spacing w:after="0"/>
              <w:rPr>
                <w:sz w:val="20"/>
                <w:szCs w:val="20"/>
                <w:color w:val="auto"/>
              </w:rPr>
            </w:pPr>
            <w:r>
              <w:rPr>
                <w:rFonts w:ascii="Arial" w:cs="Arial" w:eastAsia="Arial" w:hAnsi="Arial"/>
                <w:sz w:val="14"/>
                <w:szCs w:val="14"/>
                <w:color w:val="auto"/>
              </w:rPr>
              <w:t>12,583</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4,933</w:t>
            </w:r>
          </w:p>
        </w:tc>
        <w:tc>
          <w:tcPr>
            <w:tcW w:w="1220" w:type="dxa"/>
            <w:vAlign w:val="bottom"/>
          </w:tcPr>
          <w:p>
            <w:pPr>
              <w:ind w:left="9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43,928</w:t>
            </w:r>
          </w:p>
        </w:tc>
      </w:tr>
      <w:tr>
        <w:trPr>
          <w:trHeight w:val="188"/>
        </w:trPr>
        <w:tc>
          <w:tcPr>
            <w:tcW w:w="4420" w:type="dxa"/>
            <w:vAlign w:val="bottom"/>
          </w:tcPr>
          <w:p>
            <w:pPr>
              <w:spacing w:after="0"/>
              <w:rPr>
                <w:sz w:val="16"/>
                <w:szCs w:val="16"/>
                <w:color w:val="auto"/>
              </w:rPr>
            </w:pPr>
          </w:p>
        </w:tc>
        <w:tc>
          <w:tcPr>
            <w:tcW w:w="13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DMICP</w:t>
            </w:r>
          </w:p>
        </w:tc>
        <w:tc>
          <w:tcPr>
            <w:tcW w:w="1300" w:type="dxa"/>
            <w:vAlign w:val="bottom"/>
            <w:shd w:val="clear" w:color="auto" w:fill="E5E7EF"/>
          </w:tcPr>
          <w:p>
            <w:pPr>
              <w:jc w:val="right"/>
              <w:ind w:right="150"/>
              <w:spacing w:after="0"/>
              <w:rPr>
                <w:sz w:val="20"/>
                <w:szCs w:val="20"/>
                <w:color w:val="auto"/>
              </w:rPr>
            </w:pPr>
            <w:r>
              <w:rPr>
                <w:rFonts w:ascii="Arial" w:cs="Arial" w:eastAsia="Arial" w:hAnsi="Arial"/>
                <w:sz w:val="14"/>
                <w:szCs w:val="14"/>
                <w:color w:val="auto"/>
              </w:rPr>
              <w:t>841,992</w:t>
            </w:r>
          </w:p>
        </w:tc>
        <w:tc>
          <w:tcPr>
            <w:tcW w:w="1100" w:type="dxa"/>
            <w:vAlign w:val="bottom"/>
            <w:shd w:val="clear" w:color="auto" w:fill="E5E7EF"/>
          </w:tcPr>
          <w:p>
            <w:pPr>
              <w:jc w:val="right"/>
              <w:ind w:right="170"/>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7EF"/>
          </w:tcPr>
          <w:p>
            <w:pPr>
              <w:jc w:val="right"/>
              <w:ind w:right="30"/>
              <w:spacing w:after="0"/>
              <w:rPr>
                <w:sz w:val="20"/>
                <w:szCs w:val="20"/>
                <w:color w:val="auto"/>
              </w:rPr>
            </w:pPr>
            <w:r>
              <w:rPr>
                <w:rFonts w:ascii="Arial" w:cs="Arial" w:eastAsia="Arial" w:hAnsi="Arial"/>
                <w:sz w:val="14"/>
                <w:szCs w:val="14"/>
                <w:color w:val="auto"/>
              </w:rPr>
              <w:t>1,081,527</w:t>
            </w:r>
          </w:p>
        </w:tc>
        <w:tc>
          <w:tcPr>
            <w:tcW w:w="1220" w:type="dxa"/>
            <w:vAlign w:val="bottom"/>
            <w:shd w:val="clear" w:color="auto" w:fill="E5E7EF"/>
          </w:tcPr>
          <w:p>
            <w:pPr>
              <w:ind w:left="92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7,225,335</w:t>
            </w:r>
          </w:p>
        </w:tc>
      </w:tr>
      <w:tr>
        <w:trPr>
          <w:trHeight w:val="188"/>
        </w:trPr>
        <w:tc>
          <w:tcPr>
            <w:tcW w:w="4420" w:type="dxa"/>
            <w:vAlign w:val="bottom"/>
            <w:tcBorders>
              <w:bottom w:val="single" w:sz="8" w:color="939598"/>
            </w:tcBorders>
          </w:tcPr>
          <w:p>
            <w:pPr>
              <w:spacing w:after="0"/>
              <w:rPr>
                <w:sz w:val="16"/>
                <w:szCs w:val="16"/>
                <w:color w:val="auto"/>
              </w:rPr>
            </w:pPr>
          </w:p>
        </w:tc>
        <w:tc>
          <w:tcPr>
            <w:tcW w:w="1360" w:type="dxa"/>
            <w:vAlign w:val="bottom"/>
            <w:tcBorders>
              <w:bottom w:val="single" w:sz="8" w:color="939598"/>
            </w:tcBorders>
          </w:tcPr>
          <w:p>
            <w:pPr>
              <w:jc w:val="right"/>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939598"/>
            </w:tcBorders>
          </w:tcPr>
          <w:p>
            <w:pPr>
              <w:jc w:val="right"/>
              <w:ind w:right="150"/>
              <w:spacing w:after="0"/>
              <w:rPr>
                <w:sz w:val="20"/>
                <w:szCs w:val="20"/>
                <w:color w:val="auto"/>
              </w:rPr>
            </w:pPr>
            <w:r>
              <w:rPr>
                <w:rFonts w:ascii="Arial" w:cs="Arial" w:eastAsia="Arial" w:hAnsi="Arial"/>
                <w:sz w:val="14"/>
                <w:szCs w:val="14"/>
                <w:b w:val="1"/>
                <w:bCs w:val="1"/>
                <w:color w:val="auto"/>
              </w:rPr>
              <w:t>967,530</w:t>
            </w:r>
          </w:p>
        </w:tc>
        <w:tc>
          <w:tcPr>
            <w:tcW w:w="1100" w:type="dxa"/>
            <w:vAlign w:val="bottom"/>
            <w:tcBorders>
              <w:bottom w:val="single" w:sz="8" w:color="939598"/>
            </w:tcBorders>
          </w:tcPr>
          <w:p>
            <w:pPr>
              <w:jc w:val="right"/>
              <w:ind w:right="170"/>
              <w:spacing w:after="0"/>
              <w:rPr>
                <w:sz w:val="20"/>
                <w:szCs w:val="20"/>
                <w:color w:val="auto"/>
              </w:rPr>
            </w:pPr>
            <w:r>
              <w:rPr>
                <w:rFonts w:ascii="Arial" w:cs="Arial" w:eastAsia="Arial" w:hAnsi="Arial"/>
                <w:sz w:val="14"/>
                <w:szCs w:val="14"/>
                <w:b w:val="1"/>
                <w:bCs w:val="1"/>
                <w:color w:val="auto"/>
              </w:rPr>
              <w:t>29,322</w:t>
            </w:r>
          </w:p>
        </w:tc>
        <w:tc>
          <w:tcPr>
            <w:tcW w:w="900" w:type="dxa"/>
            <w:vAlign w:val="bottom"/>
            <w:tcBorders>
              <w:bottom w:val="single" w:sz="8" w:color="939598"/>
            </w:tcBorders>
          </w:tcPr>
          <w:p>
            <w:pPr>
              <w:jc w:val="right"/>
              <w:ind w:right="30"/>
              <w:spacing w:after="0"/>
              <w:rPr>
                <w:sz w:val="20"/>
                <w:szCs w:val="20"/>
                <w:color w:val="auto"/>
              </w:rPr>
            </w:pPr>
            <w:r>
              <w:rPr>
                <w:rFonts w:ascii="Arial" w:cs="Arial" w:eastAsia="Arial" w:hAnsi="Arial"/>
                <w:sz w:val="14"/>
                <w:szCs w:val="14"/>
                <w:b w:val="1"/>
                <w:bCs w:val="1"/>
                <w:color w:val="auto"/>
              </w:rPr>
              <w:t>1,413,180</w:t>
            </w:r>
          </w:p>
        </w:tc>
        <w:tc>
          <w:tcPr>
            <w:tcW w:w="1220" w:type="dxa"/>
            <w:vAlign w:val="bottom"/>
            <w:tcBorders>
              <w:bottom w:val="single" w:sz="8" w:color="939598"/>
            </w:tcBorders>
          </w:tcPr>
          <w:p>
            <w:pPr>
              <w:ind w:left="9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4"/>
                <w:szCs w:val="14"/>
                <w:b w:val="1"/>
                <w:bCs w:val="1"/>
                <w:color w:val="auto"/>
              </w:rPr>
              <w:t>10,038,543</w:t>
            </w:r>
          </w:p>
        </w:tc>
      </w:tr>
      <w:tr>
        <w:trPr>
          <w:trHeight w:val="182"/>
        </w:trPr>
        <w:tc>
          <w:tcPr>
            <w:tcW w:w="4420" w:type="dxa"/>
            <w:vAlign w:val="bottom"/>
          </w:tcPr>
          <w:p>
            <w:pPr>
              <w:ind w:left="20"/>
              <w:spacing w:after="0"/>
              <w:rPr>
                <w:sz w:val="20"/>
                <w:szCs w:val="20"/>
                <w:color w:val="auto"/>
              </w:rPr>
            </w:pPr>
            <w:r>
              <w:rPr>
                <w:rFonts w:ascii="Arial" w:cs="Arial" w:eastAsia="Arial" w:hAnsi="Arial"/>
                <w:sz w:val="14"/>
                <w:szCs w:val="14"/>
                <w:b w:val="1"/>
                <w:bCs w:val="1"/>
                <w:color w:val="002E6D"/>
              </w:rPr>
              <w:t>Kenneth R. Possenriede</w:t>
            </w:r>
          </w:p>
        </w:tc>
        <w:tc>
          <w:tcPr>
            <w:tcW w:w="13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NQSSP</w:t>
            </w:r>
          </w:p>
        </w:tc>
        <w:tc>
          <w:tcPr>
            <w:tcW w:w="1300" w:type="dxa"/>
            <w:vAlign w:val="bottom"/>
            <w:shd w:val="clear" w:color="auto" w:fill="E5E7EF"/>
          </w:tcPr>
          <w:p>
            <w:pPr>
              <w:jc w:val="right"/>
              <w:ind w:right="150"/>
              <w:spacing w:after="0"/>
              <w:rPr>
                <w:sz w:val="20"/>
                <w:szCs w:val="20"/>
                <w:color w:val="auto"/>
              </w:rPr>
            </w:pPr>
            <w:r>
              <w:rPr>
                <w:rFonts w:ascii="Arial" w:cs="Arial" w:eastAsia="Arial" w:hAnsi="Arial"/>
                <w:sz w:val="14"/>
                <w:szCs w:val="14"/>
                <w:color w:val="auto"/>
              </w:rPr>
              <w:t>126,346</w:t>
            </w:r>
          </w:p>
        </w:tc>
        <w:tc>
          <w:tcPr>
            <w:tcW w:w="1100" w:type="dxa"/>
            <w:vAlign w:val="bottom"/>
            <w:shd w:val="clear" w:color="auto" w:fill="E5E7EF"/>
          </w:tcPr>
          <w:p>
            <w:pPr>
              <w:jc w:val="right"/>
              <w:ind w:right="170"/>
              <w:spacing w:after="0"/>
              <w:rPr>
                <w:sz w:val="20"/>
                <w:szCs w:val="20"/>
                <w:color w:val="auto"/>
              </w:rPr>
            </w:pPr>
            <w:r>
              <w:rPr>
                <w:rFonts w:ascii="Arial" w:cs="Arial" w:eastAsia="Arial" w:hAnsi="Arial"/>
                <w:sz w:val="14"/>
                <w:szCs w:val="14"/>
                <w:color w:val="auto"/>
              </w:rPr>
              <w:t>21,058</w:t>
            </w:r>
          </w:p>
        </w:tc>
        <w:tc>
          <w:tcPr>
            <w:tcW w:w="900" w:type="dxa"/>
            <w:vAlign w:val="bottom"/>
            <w:shd w:val="clear" w:color="auto" w:fill="E5E7EF"/>
          </w:tcPr>
          <w:p>
            <w:pPr>
              <w:jc w:val="right"/>
              <w:ind w:right="30"/>
              <w:spacing w:after="0"/>
              <w:rPr>
                <w:sz w:val="20"/>
                <w:szCs w:val="20"/>
                <w:color w:val="auto"/>
              </w:rPr>
            </w:pPr>
            <w:r>
              <w:rPr>
                <w:rFonts w:ascii="Arial" w:cs="Arial" w:eastAsia="Arial" w:hAnsi="Arial"/>
                <w:sz w:val="14"/>
                <w:szCs w:val="14"/>
                <w:color w:val="auto"/>
              </w:rPr>
              <w:t>156,167</w:t>
            </w:r>
          </w:p>
        </w:tc>
        <w:tc>
          <w:tcPr>
            <w:tcW w:w="1220" w:type="dxa"/>
            <w:vAlign w:val="bottom"/>
            <w:shd w:val="clear" w:color="auto" w:fill="E5E7EF"/>
          </w:tcPr>
          <w:p>
            <w:pPr>
              <w:jc w:val="right"/>
              <w:ind w:right="30"/>
              <w:spacing w:after="0"/>
              <w:rPr>
                <w:sz w:val="20"/>
                <w:szCs w:val="20"/>
                <w:color w:val="auto"/>
              </w:rPr>
            </w:pPr>
            <w:r>
              <w:rPr>
                <w:rFonts w:ascii="Arial" w:cs="Arial" w:eastAsia="Arial" w:hAnsi="Arial"/>
                <w:sz w:val="14"/>
                <w:szCs w:val="14"/>
                <w:color w:val="auto"/>
              </w:rPr>
              <w:t>(5,442)</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2,786,266</w:t>
            </w:r>
          </w:p>
        </w:tc>
      </w:tr>
      <w:tr>
        <w:trPr>
          <w:trHeight w:val="188"/>
        </w:trPr>
        <w:tc>
          <w:tcPr>
            <w:tcW w:w="4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NCAP</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70"/>
              <w:spacing w:after="0"/>
              <w:rPr>
                <w:sz w:val="20"/>
                <w:szCs w:val="20"/>
                <w:color w:val="auto"/>
              </w:rPr>
            </w:pPr>
            <w:r>
              <w:rPr>
                <w:rFonts w:ascii="Arial" w:cs="Arial" w:eastAsia="Arial" w:hAnsi="Arial"/>
                <w:sz w:val="14"/>
                <w:szCs w:val="14"/>
                <w:color w:val="auto"/>
              </w:rPr>
              <w:t>19,062</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14,414</w:t>
            </w:r>
          </w:p>
        </w:tc>
        <w:tc>
          <w:tcPr>
            <w:tcW w:w="1220" w:type="dxa"/>
            <w:vAlign w:val="bottom"/>
          </w:tcPr>
          <w:p>
            <w:pPr>
              <w:ind w:left="9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113,213</w:t>
            </w:r>
          </w:p>
        </w:tc>
      </w:tr>
      <w:tr>
        <w:trPr>
          <w:trHeight w:val="188"/>
        </w:trPr>
        <w:tc>
          <w:tcPr>
            <w:tcW w:w="4420" w:type="dxa"/>
            <w:vAlign w:val="bottom"/>
          </w:tcPr>
          <w:p>
            <w:pPr>
              <w:spacing w:after="0"/>
              <w:rPr>
                <w:sz w:val="16"/>
                <w:szCs w:val="16"/>
                <w:color w:val="auto"/>
              </w:rPr>
            </w:pPr>
          </w:p>
        </w:tc>
        <w:tc>
          <w:tcPr>
            <w:tcW w:w="13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DMICP</w:t>
            </w:r>
          </w:p>
        </w:tc>
        <w:tc>
          <w:tcPr>
            <w:tcW w:w="1300" w:type="dxa"/>
            <w:vAlign w:val="bottom"/>
            <w:shd w:val="clear" w:color="auto" w:fill="E5E7EF"/>
          </w:tcPr>
          <w:p>
            <w:pPr>
              <w:jc w:val="right"/>
              <w:ind w:right="150"/>
              <w:spacing w:after="0"/>
              <w:rPr>
                <w:sz w:val="20"/>
                <w:szCs w:val="20"/>
                <w:color w:val="auto"/>
              </w:rPr>
            </w:pPr>
            <w:r>
              <w:rPr>
                <w:rFonts w:ascii="Arial" w:cs="Arial" w:eastAsia="Arial" w:hAnsi="Arial"/>
                <w:sz w:val="14"/>
                <w:szCs w:val="14"/>
                <w:color w:val="auto"/>
              </w:rPr>
              <w:t>894,443</w:t>
            </w:r>
          </w:p>
        </w:tc>
        <w:tc>
          <w:tcPr>
            <w:tcW w:w="1100" w:type="dxa"/>
            <w:vAlign w:val="bottom"/>
            <w:shd w:val="clear" w:color="auto" w:fill="E5E7EF"/>
          </w:tcPr>
          <w:p>
            <w:pPr>
              <w:jc w:val="right"/>
              <w:ind w:right="170"/>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7EF"/>
          </w:tcPr>
          <w:p>
            <w:pPr>
              <w:jc w:val="right"/>
              <w:ind w:right="30"/>
              <w:spacing w:after="0"/>
              <w:rPr>
                <w:sz w:val="20"/>
                <w:szCs w:val="20"/>
                <w:color w:val="auto"/>
              </w:rPr>
            </w:pPr>
            <w:r>
              <w:rPr>
                <w:rFonts w:ascii="Arial" w:cs="Arial" w:eastAsia="Arial" w:hAnsi="Arial"/>
                <w:sz w:val="14"/>
                <w:szCs w:val="14"/>
                <w:color w:val="auto"/>
              </w:rPr>
              <w:t>692,982</w:t>
            </w:r>
          </w:p>
        </w:tc>
        <w:tc>
          <w:tcPr>
            <w:tcW w:w="1220" w:type="dxa"/>
            <w:vAlign w:val="bottom"/>
            <w:shd w:val="clear" w:color="auto" w:fill="E5E7EF"/>
          </w:tcPr>
          <w:p>
            <w:pPr>
              <w:ind w:left="92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8,233,049</w:t>
            </w:r>
          </w:p>
        </w:tc>
      </w:tr>
      <w:tr>
        <w:trPr>
          <w:trHeight w:val="188"/>
        </w:trPr>
        <w:tc>
          <w:tcPr>
            <w:tcW w:w="4420" w:type="dxa"/>
            <w:vAlign w:val="bottom"/>
            <w:tcBorders>
              <w:bottom w:val="single" w:sz="8" w:color="939598"/>
            </w:tcBorders>
          </w:tcPr>
          <w:p>
            <w:pPr>
              <w:spacing w:after="0"/>
              <w:rPr>
                <w:sz w:val="16"/>
                <w:szCs w:val="16"/>
                <w:color w:val="auto"/>
              </w:rPr>
            </w:pPr>
          </w:p>
        </w:tc>
        <w:tc>
          <w:tcPr>
            <w:tcW w:w="1360" w:type="dxa"/>
            <w:vAlign w:val="bottom"/>
            <w:tcBorders>
              <w:bottom w:val="single" w:sz="8" w:color="939598"/>
            </w:tcBorders>
          </w:tcPr>
          <w:p>
            <w:pPr>
              <w:jc w:val="right"/>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939598"/>
            </w:tcBorders>
          </w:tcPr>
          <w:p>
            <w:pPr>
              <w:jc w:val="right"/>
              <w:ind w:right="150"/>
              <w:spacing w:after="0"/>
              <w:rPr>
                <w:sz w:val="20"/>
                <w:szCs w:val="20"/>
                <w:color w:val="auto"/>
              </w:rPr>
            </w:pPr>
            <w:r>
              <w:rPr>
                <w:rFonts w:ascii="Arial" w:cs="Arial" w:eastAsia="Arial" w:hAnsi="Arial"/>
                <w:sz w:val="14"/>
                <w:szCs w:val="14"/>
                <w:b w:val="1"/>
                <w:bCs w:val="1"/>
                <w:color w:val="auto"/>
              </w:rPr>
              <w:t>1,020,789</w:t>
            </w:r>
          </w:p>
        </w:tc>
        <w:tc>
          <w:tcPr>
            <w:tcW w:w="1100" w:type="dxa"/>
            <w:vAlign w:val="bottom"/>
            <w:tcBorders>
              <w:bottom w:val="single" w:sz="8" w:color="939598"/>
            </w:tcBorders>
          </w:tcPr>
          <w:p>
            <w:pPr>
              <w:jc w:val="right"/>
              <w:ind w:right="170"/>
              <w:spacing w:after="0"/>
              <w:rPr>
                <w:sz w:val="20"/>
                <w:szCs w:val="20"/>
                <w:color w:val="auto"/>
              </w:rPr>
            </w:pPr>
            <w:r>
              <w:rPr>
                <w:rFonts w:ascii="Arial" w:cs="Arial" w:eastAsia="Arial" w:hAnsi="Arial"/>
                <w:sz w:val="14"/>
                <w:szCs w:val="14"/>
                <w:b w:val="1"/>
                <w:bCs w:val="1"/>
                <w:color w:val="auto"/>
              </w:rPr>
              <w:t>40,120</w:t>
            </w:r>
          </w:p>
        </w:tc>
        <w:tc>
          <w:tcPr>
            <w:tcW w:w="900" w:type="dxa"/>
            <w:vAlign w:val="bottom"/>
            <w:tcBorders>
              <w:bottom w:val="single" w:sz="8" w:color="939598"/>
            </w:tcBorders>
          </w:tcPr>
          <w:p>
            <w:pPr>
              <w:jc w:val="right"/>
              <w:ind w:right="30"/>
              <w:spacing w:after="0"/>
              <w:rPr>
                <w:sz w:val="20"/>
                <w:szCs w:val="20"/>
                <w:color w:val="auto"/>
              </w:rPr>
            </w:pPr>
            <w:r>
              <w:rPr>
                <w:rFonts w:ascii="Arial" w:cs="Arial" w:eastAsia="Arial" w:hAnsi="Arial"/>
                <w:sz w:val="14"/>
                <w:szCs w:val="14"/>
                <w:b w:val="1"/>
                <w:bCs w:val="1"/>
                <w:color w:val="auto"/>
              </w:rPr>
              <w:t>863,563</w:t>
            </w:r>
          </w:p>
        </w:tc>
        <w:tc>
          <w:tcPr>
            <w:tcW w:w="1220" w:type="dxa"/>
            <w:vAlign w:val="bottom"/>
            <w:tcBorders>
              <w:bottom w:val="single" w:sz="8" w:color="939598"/>
            </w:tcBorders>
          </w:tcPr>
          <w:p>
            <w:pPr>
              <w:jc w:val="right"/>
              <w:ind w:right="30"/>
              <w:spacing w:after="0"/>
              <w:rPr>
                <w:sz w:val="20"/>
                <w:szCs w:val="20"/>
                <w:color w:val="auto"/>
              </w:rPr>
            </w:pPr>
            <w:r>
              <w:rPr>
                <w:rFonts w:ascii="Arial" w:cs="Arial" w:eastAsia="Arial" w:hAnsi="Arial"/>
                <w:sz w:val="14"/>
                <w:szCs w:val="14"/>
                <w:b w:val="1"/>
                <w:bCs w:val="1"/>
                <w:color w:val="auto"/>
              </w:rPr>
              <w:t>(5,442)</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4"/>
                <w:szCs w:val="14"/>
                <w:b w:val="1"/>
                <w:bCs w:val="1"/>
                <w:color w:val="auto"/>
              </w:rPr>
              <w:t>11,132,528</w:t>
            </w:r>
          </w:p>
        </w:tc>
      </w:tr>
      <w:tr>
        <w:trPr>
          <w:trHeight w:val="182"/>
        </w:trPr>
        <w:tc>
          <w:tcPr>
            <w:tcW w:w="4420" w:type="dxa"/>
            <w:vAlign w:val="bottom"/>
          </w:tcPr>
          <w:p>
            <w:pPr>
              <w:ind w:left="20"/>
              <w:spacing w:after="0"/>
              <w:rPr>
                <w:sz w:val="20"/>
                <w:szCs w:val="20"/>
                <w:color w:val="auto"/>
              </w:rPr>
            </w:pPr>
            <w:r>
              <w:rPr>
                <w:rFonts w:ascii="Arial" w:cs="Arial" w:eastAsia="Arial" w:hAnsi="Arial"/>
                <w:sz w:val="14"/>
                <w:szCs w:val="14"/>
                <w:b w:val="1"/>
                <w:bCs w:val="1"/>
                <w:color w:val="002E6D"/>
              </w:rPr>
              <w:t>Frank A. St. John</w:t>
            </w:r>
          </w:p>
        </w:tc>
        <w:tc>
          <w:tcPr>
            <w:tcW w:w="13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NQSSP</w:t>
            </w:r>
          </w:p>
        </w:tc>
        <w:tc>
          <w:tcPr>
            <w:tcW w:w="1300" w:type="dxa"/>
            <w:vAlign w:val="bottom"/>
            <w:shd w:val="clear" w:color="auto" w:fill="E5E7EF"/>
          </w:tcPr>
          <w:p>
            <w:pPr>
              <w:jc w:val="right"/>
              <w:ind w:right="150"/>
              <w:spacing w:after="0"/>
              <w:rPr>
                <w:sz w:val="20"/>
                <w:szCs w:val="20"/>
                <w:color w:val="auto"/>
              </w:rPr>
            </w:pPr>
            <w:r>
              <w:rPr>
                <w:rFonts w:ascii="Arial" w:cs="Arial" w:eastAsia="Arial" w:hAnsi="Arial"/>
                <w:sz w:val="14"/>
                <w:szCs w:val="14"/>
                <w:color w:val="auto"/>
              </w:rPr>
              <w:t>222,115</w:t>
            </w:r>
          </w:p>
        </w:tc>
        <w:tc>
          <w:tcPr>
            <w:tcW w:w="1100" w:type="dxa"/>
            <w:vAlign w:val="bottom"/>
            <w:shd w:val="clear" w:color="auto" w:fill="E5E7EF"/>
          </w:tcPr>
          <w:p>
            <w:pPr>
              <w:jc w:val="right"/>
              <w:ind w:right="170"/>
              <w:spacing w:after="0"/>
              <w:rPr>
                <w:sz w:val="20"/>
                <w:szCs w:val="20"/>
                <w:color w:val="auto"/>
              </w:rPr>
            </w:pPr>
            <w:r>
              <w:rPr>
                <w:rFonts w:ascii="Arial" w:cs="Arial" w:eastAsia="Arial" w:hAnsi="Arial"/>
                <w:sz w:val="14"/>
                <w:szCs w:val="14"/>
                <w:color w:val="auto"/>
              </w:rPr>
              <w:t>37,019</w:t>
            </w:r>
          </w:p>
        </w:tc>
        <w:tc>
          <w:tcPr>
            <w:tcW w:w="900" w:type="dxa"/>
            <w:vAlign w:val="bottom"/>
            <w:shd w:val="clear" w:color="auto" w:fill="E5E7EF"/>
          </w:tcPr>
          <w:p>
            <w:pPr>
              <w:jc w:val="right"/>
              <w:ind w:right="30"/>
              <w:spacing w:after="0"/>
              <w:rPr>
                <w:sz w:val="20"/>
                <w:szCs w:val="20"/>
                <w:color w:val="auto"/>
              </w:rPr>
            </w:pPr>
            <w:r>
              <w:rPr>
                <w:rFonts w:ascii="Arial" w:cs="Arial" w:eastAsia="Arial" w:hAnsi="Arial"/>
                <w:sz w:val="14"/>
                <w:szCs w:val="14"/>
                <w:color w:val="auto"/>
              </w:rPr>
              <w:t>167,056</w:t>
            </w:r>
          </w:p>
        </w:tc>
        <w:tc>
          <w:tcPr>
            <w:tcW w:w="1220" w:type="dxa"/>
            <w:vAlign w:val="bottom"/>
            <w:shd w:val="clear" w:color="auto" w:fill="E5E7EF"/>
          </w:tcPr>
          <w:p>
            <w:pPr>
              <w:ind w:left="92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1,655,743</w:t>
            </w:r>
          </w:p>
        </w:tc>
      </w:tr>
      <w:tr>
        <w:trPr>
          <w:trHeight w:val="188"/>
        </w:trPr>
        <w:tc>
          <w:tcPr>
            <w:tcW w:w="4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NCAP</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70"/>
              <w:spacing w:after="0"/>
              <w:rPr>
                <w:sz w:val="20"/>
                <w:szCs w:val="20"/>
                <w:color w:val="auto"/>
              </w:rPr>
            </w:pPr>
            <w:r>
              <w:rPr>
                <w:rFonts w:ascii="Arial" w:cs="Arial" w:eastAsia="Arial" w:hAnsi="Arial"/>
                <w:sz w:val="14"/>
                <w:szCs w:val="14"/>
                <w:color w:val="auto"/>
              </w:rPr>
              <w:t>43,004</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12,066</w:t>
            </w:r>
          </w:p>
        </w:tc>
        <w:tc>
          <w:tcPr>
            <w:tcW w:w="1220" w:type="dxa"/>
            <w:vAlign w:val="bottom"/>
          </w:tcPr>
          <w:p>
            <w:pPr>
              <w:ind w:left="9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138,422</w:t>
            </w:r>
          </w:p>
        </w:tc>
      </w:tr>
      <w:tr>
        <w:trPr>
          <w:trHeight w:val="188"/>
        </w:trPr>
        <w:tc>
          <w:tcPr>
            <w:tcW w:w="4420" w:type="dxa"/>
            <w:vAlign w:val="bottom"/>
          </w:tcPr>
          <w:p>
            <w:pPr>
              <w:spacing w:after="0"/>
              <w:rPr>
                <w:sz w:val="16"/>
                <w:szCs w:val="16"/>
                <w:color w:val="auto"/>
              </w:rPr>
            </w:pPr>
          </w:p>
        </w:tc>
        <w:tc>
          <w:tcPr>
            <w:tcW w:w="13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DMICP</w:t>
            </w:r>
          </w:p>
        </w:tc>
        <w:tc>
          <w:tcPr>
            <w:tcW w:w="1300" w:type="dxa"/>
            <w:vAlign w:val="bottom"/>
            <w:shd w:val="clear" w:color="auto" w:fill="E5E7EF"/>
          </w:tcPr>
          <w:p>
            <w:pPr>
              <w:jc w:val="right"/>
              <w:ind w:right="150"/>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7EF"/>
          </w:tcPr>
          <w:p>
            <w:pPr>
              <w:jc w:val="right"/>
              <w:ind w:right="170"/>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7EF"/>
          </w:tcPr>
          <w:p>
            <w:pPr>
              <w:jc w:val="right"/>
              <w:ind w:right="30"/>
              <w:spacing w:after="0"/>
              <w:rPr>
                <w:sz w:val="20"/>
                <w:szCs w:val="20"/>
                <w:color w:val="auto"/>
              </w:rPr>
            </w:pPr>
            <w:r>
              <w:rPr>
                <w:rFonts w:ascii="Arial" w:cs="Arial" w:eastAsia="Arial" w:hAnsi="Arial"/>
                <w:sz w:val="14"/>
                <w:szCs w:val="14"/>
                <w:color w:val="auto"/>
              </w:rPr>
              <w:t>748,920</w:t>
            </w:r>
          </w:p>
        </w:tc>
        <w:tc>
          <w:tcPr>
            <w:tcW w:w="1220" w:type="dxa"/>
            <w:vAlign w:val="bottom"/>
            <w:shd w:val="clear" w:color="auto" w:fill="E5E7EF"/>
          </w:tcPr>
          <w:p>
            <w:pPr>
              <w:ind w:left="92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6,503,569</w:t>
            </w:r>
          </w:p>
        </w:tc>
      </w:tr>
      <w:tr>
        <w:trPr>
          <w:trHeight w:val="188"/>
        </w:trPr>
        <w:tc>
          <w:tcPr>
            <w:tcW w:w="4420" w:type="dxa"/>
            <w:vAlign w:val="bottom"/>
            <w:tcBorders>
              <w:bottom w:val="single" w:sz="8" w:color="939598"/>
            </w:tcBorders>
          </w:tcPr>
          <w:p>
            <w:pPr>
              <w:spacing w:after="0"/>
              <w:rPr>
                <w:sz w:val="16"/>
                <w:szCs w:val="16"/>
                <w:color w:val="auto"/>
              </w:rPr>
            </w:pPr>
          </w:p>
        </w:tc>
        <w:tc>
          <w:tcPr>
            <w:tcW w:w="1360" w:type="dxa"/>
            <w:vAlign w:val="bottom"/>
            <w:tcBorders>
              <w:bottom w:val="single" w:sz="8" w:color="939598"/>
            </w:tcBorders>
          </w:tcPr>
          <w:p>
            <w:pPr>
              <w:jc w:val="right"/>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939598"/>
            </w:tcBorders>
          </w:tcPr>
          <w:p>
            <w:pPr>
              <w:jc w:val="right"/>
              <w:ind w:right="150"/>
              <w:spacing w:after="0"/>
              <w:rPr>
                <w:sz w:val="20"/>
                <w:szCs w:val="20"/>
                <w:color w:val="auto"/>
              </w:rPr>
            </w:pPr>
            <w:r>
              <w:rPr>
                <w:rFonts w:ascii="Arial" w:cs="Arial" w:eastAsia="Arial" w:hAnsi="Arial"/>
                <w:sz w:val="14"/>
                <w:szCs w:val="14"/>
                <w:b w:val="1"/>
                <w:bCs w:val="1"/>
                <w:color w:val="auto"/>
              </w:rPr>
              <w:t>222,115</w:t>
            </w:r>
          </w:p>
        </w:tc>
        <w:tc>
          <w:tcPr>
            <w:tcW w:w="1100" w:type="dxa"/>
            <w:vAlign w:val="bottom"/>
            <w:tcBorders>
              <w:bottom w:val="single" w:sz="8" w:color="939598"/>
            </w:tcBorders>
          </w:tcPr>
          <w:p>
            <w:pPr>
              <w:jc w:val="right"/>
              <w:ind w:right="170"/>
              <w:spacing w:after="0"/>
              <w:rPr>
                <w:sz w:val="20"/>
                <w:szCs w:val="20"/>
                <w:color w:val="auto"/>
              </w:rPr>
            </w:pPr>
            <w:r>
              <w:rPr>
                <w:rFonts w:ascii="Arial" w:cs="Arial" w:eastAsia="Arial" w:hAnsi="Arial"/>
                <w:sz w:val="14"/>
                <w:szCs w:val="14"/>
                <w:b w:val="1"/>
                <w:bCs w:val="1"/>
                <w:color w:val="auto"/>
              </w:rPr>
              <w:t>80,023</w:t>
            </w:r>
          </w:p>
        </w:tc>
        <w:tc>
          <w:tcPr>
            <w:tcW w:w="900" w:type="dxa"/>
            <w:vAlign w:val="bottom"/>
            <w:tcBorders>
              <w:bottom w:val="single" w:sz="8" w:color="939598"/>
            </w:tcBorders>
          </w:tcPr>
          <w:p>
            <w:pPr>
              <w:jc w:val="right"/>
              <w:ind w:right="30"/>
              <w:spacing w:after="0"/>
              <w:rPr>
                <w:sz w:val="20"/>
                <w:szCs w:val="20"/>
                <w:color w:val="auto"/>
              </w:rPr>
            </w:pPr>
            <w:r>
              <w:rPr>
                <w:rFonts w:ascii="Arial" w:cs="Arial" w:eastAsia="Arial" w:hAnsi="Arial"/>
                <w:sz w:val="14"/>
                <w:szCs w:val="14"/>
                <w:b w:val="1"/>
                <w:bCs w:val="1"/>
                <w:color w:val="auto"/>
              </w:rPr>
              <w:t>928,042</w:t>
            </w:r>
          </w:p>
        </w:tc>
        <w:tc>
          <w:tcPr>
            <w:tcW w:w="1220" w:type="dxa"/>
            <w:vAlign w:val="bottom"/>
            <w:tcBorders>
              <w:bottom w:val="single" w:sz="8" w:color="939598"/>
            </w:tcBorders>
          </w:tcPr>
          <w:p>
            <w:pPr>
              <w:ind w:left="9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4"/>
                <w:szCs w:val="14"/>
                <w:b w:val="1"/>
                <w:bCs w:val="1"/>
                <w:color w:val="auto"/>
              </w:rPr>
              <w:t>8,297,734</w:t>
            </w:r>
          </w:p>
        </w:tc>
      </w:tr>
      <w:tr>
        <w:trPr>
          <w:trHeight w:val="182"/>
        </w:trPr>
        <w:tc>
          <w:tcPr>
            <w:tcW w:w="4420" w:type="dxa"/>
            <w:vAlign w:val="bottom"/>
          </w:tcPr>
          <w:p>
            <w:pPr>
              <w:ind w:left="20"/>
              <w:spacing w:after="0"/>
              <w:rPr>
                <w:sz w:val="20"/>
                <w:szCs w:val="20"/>
                <w:color w:val="auto"/>
              </w:rPr>
            </w:pPr>
            <w:r>
              <w:rPr>
                <w:rFonts w:ascii="Arial" w:cs="Arial" w:eastAsia="Arial" w:hAnsi="Arial"/>
                <w:sz w:val="14"/>
                <w:szCs w:val="14"/>
                <w:b w:val="1"/>
                <w:bCs w:val="1"/>
                <w:color w:val="002E6D"/>
              </w:rPr>
              <w:t>Richard F. Ambrose</w:t>
            </w:r>
          </w:p>
        </w:tc>
        <w:tc>
          <w:tcPr>
            <w:tcW w:w="13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NQSSP</w:t>
            </w:r>
          </w:p>
        </w:tc>
        <w:tc>
          <w:tcPr>
            <w:tcW w:w="1300" w:type="dxa"/>
            <w:vAlign w:val="bottom"/>
            <w:shd w:val="clear" w:color="auto" w:fill="E5E7EF"/>
          </w:tcPr>
          <w:p>
            <w:pPr>
              <w:jc w:val="right"/>
              <w:ind w:right="150"/>
              <w:spacing w:after="0"/>
              <w:rPr>
                <w:sz w:val="20"/>
                <w:szCs w:val="20"/>
                <w:color w:val="auto"/>
              </w:rPr>
            </w:pPr>
            <w:r>
              <w:rPr>
                <w:rFonts w:ascii="Arial" w:cs="Arial" w:eastAsia="Arial" w:hAnsi="Arial"/>
                <w:sz w:val="14"/>
                <w:szCs w:val="14"/>
                <w:color w:val="auto"/>
              </w:rPr>
              <w:t>156,891</w:t>
            </w:r>
          </w:p>
        </w:tc>
        <w:tc>
          <w:tcPr>
            <w:tcW w:w="1100" w:type="dxa"/>
            <w:vAlign w:val="bottom"/>
            <w:shd w:val="clear" w:color="auto" w:fill="E5E7EF"/>
          </w:tcPr>
          <w:p>
            <w:pPr>
              <w:jc w:val="right"/>
              <w:ind w:right="170"/>
              <w:spacing w:after="0"/>
              <w:rPr>
                <w:sz w:val="20"/>
                <w:szCs w:val="20"/>
                <w:color w:val="auto"/>
              </w:rPr>
            </w:pPr>
            <w:r>
              <w:rPr>
                <w:rFonts w:ascii="Arial" w:cs="Arial" w:eastAsia="Arial" w:hAnsi="Arial"/>
                <w:sz w:val="14"/>
                <w:szCs w:val="14"/>
                <w:color w:val="auto"/>
              </w:rPr>
              <w:t>31,378</w:t>
            </w:r>
          </w:p>
        </w:tc>
        <w:tc>
          <w:tcPr>
            <w:tcW w:w="900" w:type="dxa"/>
            <w:vAlign w:val="bottom"/>
            <w:shd w:val="clear" w:color="auto" w:fill="E5E7EF"/>
          </w:tcPr>
          <w:p>
            <w:pPr>
              <w:jc w:val="right"/>
              <w:ind w:right="30"/>
              <w:spacing w:after="0"/>
              <w:rPr>
                <w:sz w:val="20"/>
                <w:szCs w:val="20"/>
                <w:color w:val="auto"/>
              </w:rPr>
            </w:pPr>
            <w:r>
              <w:rPr>
                <w:rFonts w:ascii="Arial" w:cs="Arial" w:eastAsia="Arial" w:hAnsi="Arial"/>
                <w:sz w:val="14"/>
                <w:szCs w:val="14"/>
                <w:color w:val="auto"/>
              </w:rPr>
              <w:t>363,312</w:t>
            </w:r>
          </w:p>
        </w:tc>
        <w:tc>
          <w:tcPr>
            <w:tcW w:w="1220" w:type="dxa"/>
            <w:vAlign w:val="bottom"/>
            <w:shd w:val="clear" w:color="auto" w:fill="E5E7EF"/>
          </w:tcPr>
          <w:p>
            <w:pPr>
              <w:ind w:left="92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3,412,545</w:t>
            </w:r>
          </w:p>
        </w:tc>
      </w:tr>
      <w:tr>
        <w:trPr>
          <w:trHeight w:val="188"/>
        </w:trPr>
        <w:tc>
          <w:tcPr>
            <w:tcW w:w="4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NCAP</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70"/>
              <w:spacing w:after="0"/>
              <w:rPr>
                <w:sz w:val="20"/>
                <w:szCs w:val="20"/>
                <w:color w:val="auto"/>
              </w:rPr>
            </w:pPr>
            <w:r>
              <w:rPr>
                <w:rFonts w:ascii="Arial" w:cs="Arial" w:eastAsia="Arial" w:hAnsi="Arial"/>
                <w:sz w:val="14"/>
                <w:szCs w:val="14"/>
                <w:color w:val="auto"/>
              </w:rPr>
              <w:t>47,067</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13,187</w:t>
            </w:r>
          </w:p>
        </w:tc>
        <w:tc>
          <w:tcPr>
            <w:tcW w:w="1220" w:type="dxa"/>
            <w:vAlign w:val="bottom"/>
          </w:tcPr>
          <w:p>
            <w:pPr>
              <w:ind w:left="9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164,405</w:t>
            </w:r>
          </w:p>
        </w:tc>
      </w:tr>
      <w:tr>
        <w:trPr>
          <w:trHeight w:val="188"/>
        </w:trPr>
        <w:tc>
          <w:tcPr>
            <w:tcW w:w="4420" w:type="dxa"/>
            <w:vAlign w:val="bottom"/>
          </w:tcPr>
          <w:p>
            <w:pPr>
              <w:spacing w:after="0"/>
              <w:rPr>
                <w:sz w:val="16"/>
                <w:szCs w:val="16"/>
                <w:color w:val="auto"/>
              </w:rPr>
            </w:pPr>
          </w:p>
        </w:tc>
        <w:tc>
          <w:tcPr>
            <w:tcW w:w="13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DMICP</w:t>
            </w:r>
          </w:p>
        </w:tc>
        <w:tc>
          <w:tcPr>
            <w:tcW w:w="1300" w:type="dxa"/>
            <w:vAlign w:val="bottom"/>
            <w:shd w:val="clear" w:color="auto" w:fill="E5E7EF"/>
          </w:tcPr>
          <w:p>
            <w:pPr>
              <w:jc w:val="right"/>
              <w:ind w:right="150"/>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7EF"/>
          </w:tcPr>
          <w:p>
            <w:pPr>
              <w:jc w:val="right"/>
              <w:ind w:right="170"/>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7EF"/>
          </w:tcPr>
          <w:p>
            <w:pPr>
              <w:jc w:val="right"/>
              <w:ind w:right="30"/>
              <w:spacing w:after="0"/>
              <w:rPr>
                <w:sz w:val="20"/>
                <w:szCs w:val="20"/>
                <w:color w:val="auto"/>
              </w:rPr>
            </w:pPr>
            <w:r>
              <w:rPr>
                <w:rFonts w:ascii="Arial" w:cs="Arial" w:eastAsia="Arial" w:hAnsi="Arial"/>
                <w:sz w:val="14"/>
                <w:szCs w:val="14"/>
                <w:color w:val="auto"/>
              </w:rPr>
              <w:t>363,699</w:t>
            </w:r>
          </w:p>
        </w:tc>
        <w:tc>
          <w:tcPr>
            <w:tcW w:w="1220" w:type="dxa"/>
            <w:vAlign w:val="bottom"/>
            <w:shd w:val="clear" w:color="auto" w:fill="E5E7EF"/>
          </w:tcPr>
          <w:p>
            <w:pPr>
              <w:ind w:left="92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6,959,295</w:t>
            </w:r>
          </w:p>
        </w:tc>
      </w:tr>
      <w:tr>
        <w:trPr>
          <w:trHeight w:val="188"/>
        </w:trPr>
        <w:tc>
          <w:tcPr>
            <w:tcW w:w="4420" w:type="dxa"/>
            <w:vAlign w:val="bottom"/>
            <w:tcBorders>
              <w:bottom w:val="single" w:sz="8" w:color="939598"/>
            </w:tcBorders>
          </w:tcPr>
          <w:p>
            <w:pPr>
              <w:spacing w:after="0"/>
              <w:rPr>
                <w:sz w:val="16"/>
                <w:szCs w:val="16"/>
                <w:color w:val="auto"/>
              </w:rPr>
            </w:pPr>
          </w:p>
        </w:tc>
        <w:tc>
          <w:tcPr>
            <w:tcW w:w="1360" w:type="dxa"/>
            <w:vAlign w:val="bottom"/>
            <w:tcBorders>
              <w:bottom w:val="single" w:sz="8" w:color="939598"/>
            </w:tcBorders>
          </w:tcPr>
          <w:p>
            <w:pPr>
              <w:jc w:val="right"/>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939598"/>
            </w:tcBorders>
          </w:tcPr>
          <w:p>
            <w:pPr>
              <w:jc w:val="right"/>
              <w:ind w:right="150"/>
              <w:spacing w:after="0"/>
              <w:rPr>
                <w:sz w:val="20"/>
                <w:szCs w:val="20"/>
                <w:color w:val="auto"/>
              </w:rPr>
            </w:pPr>
            <w:r>
              <w:rPr>
                <w:rFonts w:ascii="Arial" w:cs="Arial" w:eastAsia="Arial" w:hAnsi="Arial"/>
                <w:sz w:val="14"/>
                <w:szCs w:val="14"/>
                <w:b w:val="1"/>
                <w:bCs w:val="1"/>
                <w:color w:val="auto"/>
              </w:rPr>
              <w:t>156,891</w:t>
            </w:r>
          </w:p>
        </w:tc>
        <w:tc>
          <w:tcPr>
            <w:tcW w:w="1100" w:type="dxa"/>
            <w:vAlign w:val="bottom"/>
            <w:tcBorders>
              <w:bottom w:val="single" w:sz="8" w:color="939598"/>
            </w:tcBorders>
          </w:tcPr>
          <w:p>
            <w:pPr>
              <w:jc w:val="right"/>
              <w:ind w:right="170"/>
              <w:spacing w:after="0"/>
              <w:rPr>
                <w:sz w:val="20"/>
                <w:szCs w:val="20"/>
                <w:color w:val="auto"/>
              </w:rPr>
            </w:pPr>
            <w:r>
              <w:rPr>
                <w:rFonts w:ascii="Arial" w:cs="Arial" w:eastAsia="Arial" w:hAnsi="Arial"/>
                <w:sz w:val="14"/>
                <w:szCs w:val="14"/>
                <w:b w:val="1"/>
                <w:bCs w:val="1"/>
                <w:color w:val="auto"/>
              </w:rPr>
              <w:t>78,445</w:t>
            </w:r>
          </w:p>
        </w:tc>
        <w:tc>
          <w:tcPr>
            <w:tcW w:w="900" w:type="dxa"/>
            <w:vAlign w:val="bottom"/>
            <w:tcBorders>
              <w:bottom w:val="single" w:sz="8" w:color="939598"/>
            </w:tcBorders>
          </w:tcPr>
          <w:p>
            <w:pPr>
              <w:jc w:val="right"/>
              <w:ind w:right="30"/>
              <w:spacing w:after="0"/>
              <w:rPr>
                <w:sz w:val="20"/>
                <w:szCs w:val="20"/>
                <w:color w:val="auto"/>
              </w:rPr>
            </w:pPr>
            <w:r>
              <w:rPr>
                <w:rFonts w:ascii="Arial" w:cs="Arial" w:eastAsia="Arial" w:hAnsi="Arial"/>
                <w:sz w:val="14"/>
                <w:szCs w:val="14"/>
                <w:b w:val="1"/>
                <w:bCs w:val="1"/>
                <w:color w:val="auto"/>
              </w:rPr>
              <w:t>740,198</w:t>
            </w:r>
          </w:p>
        </w:tc>
        <w:tc>
          <w:tcPr>
            <w:tcW w:w="1220" w:type="dxa"/>
            <w:vAlign w:val="bottom"/>
            <w:tcBorders>
              <w:bottom w:val="single" w:sz="8" w:color="939598"/>
            </w:tcBorders>
          </w:tcPr>
          <w:p>
            <w:pPr>
              <w:ind w:left="9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4"/>
                <w:szCs w:val="14"/>
                <w:b w:val="1"/>
                <w:bCs w:val="1"/>
                <w:color w:val="auto"/>
              </w:rPr>
              <w:t>10,536,245</w:t>
            </w:r>
          </w:p>
        </w:tc>
      </w:tr>
      <w:tr>
        <w:trPr>
          <w:trHeight w:val="182"/>
        </w:trPr>
        <w:tc>
          <w:tcPr>
            <w:tcW w:w="4420" w:type="dxa"/>
            <w:vAlign w:val="bottom"/>
          </w:tcPr>
          <w:p>
            <w:pPr>
              <w:ind w:left="20"/>
              <w:spacing w:after="0"/>
              <w:rPr>
                <w:sz w:val="20"/>
                <w:szCs w:val="20"/>
                <w:color w:val="auto"/>
              </w:rPr>
            </w:pPr>
            <w:r>
              <w:rPr>
                <w:rFonts w:ascii="Arial" w:cs="Arial" w:eastAsia="Arial" w:hAnsi="Arial"/>
                <w:sz w:val="14"/>
                <w:szCs w:val="14"/>
                <w:b w:val="1"/>
                <w:bCs w:val="1"/>
                <w:color w:val="002E6D"/>
              </w:rPr>
              <w:t>Stephanie C. Hill</w:t>
            </w:r>
          </w:p>
        </w:tc>
        <w:tc>
          <w:tcPr>
            <w:tcW w:w="13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NQSSP</w:t>
            </w:r>
          </w:p>
        </w:tc>
        <w:tc>
          <w:tcPr>
            <w:tcW w:w="1300" w:type="dxa"/>
            <w:vAlign w:val="bottom"/>
            <w:shd w:val="clear" w:color="auto" w:fill="E5E7EF"/>
          </w:tcPr>
          <w:p>
            <w:pPr>
              <w:jc w:val="right"/>
              <w:ind w:right="150"/>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7EF"/>
          </w:tcPr>
          <w:p>
            <w:pPr>
              <w:jc w:val="right"/>
              <w:ind w:right="170"/>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7EF"/>
          </w:tcPr>
          <w:p>
            <w:pPr>
              <w:jc w:val="right"/>
              <w:ind w:right="30"/>
              <w:spacing w:after="0"/>
              <w:rPr>
                <w:sz w:val="20"/>
                <w:szCs w:val="20"/>
                <w:color w:val="auto"/>
              </w:rPr>
            </w:pPr>
            <w:r>
              <w:rPr>
                <w:rFonts w:ascii="Arial" w:cs="Arial" w:eastAsia="Arial" w:hAnsi="Arial"/>
                <w:sz w:val="14"/>
                <w:szCs w:val="14"/>
                <w:color w:val="auto"/>
              </w:rPr>
              <w:t>—</w:t>
            </w:r>
          </w:p>
        </w:tc>
        <w:tc>
          <w:tcPr>
            <w:tcW w:w="1220" w:type="dxa"/>
            <w:vAlign w:val="bottom"/>
            <w:shd w:val="clear" w:color="auto" w:fill="E5E7EF"/>
          </w:tcPr>
          <w:p>
            <w:pPr>
              <w:ind w:left="92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w:t>
            </w:r>
          </w:p>
        </w:tc>
      </w:tr>
      <w:tr>
        <w:trPr>
          <w:trHeight w:val="188"/>
        </w:trPr>
        <w:tc>
          <w:tcPr>
            <w:tcW w:w="4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NCAP</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70"/>
              <w:spacing w:after="0"/>
              <w:rPr>
                <w:sz w:val="20"/>
                <w:szCs w:val="20"/>
                <w:color w:val="auto"/>
              </w:rPr>
            </w:pPr>
            <w:r>
              <w:rPr>
                <w:rFonts w:ascii="Arial" w:cs="Arial" w:eastAsia="Arial" w:hAnsi="Arial"/>
                <w:sz w:val="14"/>
                <w:szCs w:val="14"/>
                <w:color w:val="auto"/>
              </w:rPr>
              <w:t>42,849</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9,161</w:t>
            </w:r>
          </w:p>
        </w:tc>
        <w:tc>
          <w:tcPr>
            <w:tcW w:w="1220" w:type="dxa"/>
            <w:vAlign w:val="bottom"/>
          </w:tcPr>
          <w:p>
            <w:pPr>
              <w:ind w:left="9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114,435</w:t>
            </w:r>
          </w:p>
        </w:tc>
      </w:tr>
      <w:tr>
        <w:trPr>
          <w:trHeight w:val="188"/>
        </w:trPr>
        <w:tc>
          <w:tcPr>
            <w:tcW w:w="4420" w:type="dxa"/>
            <w:vAlign w:val="bottom"/>
          </w:tcPr>
          <w:p>
            <w:pPr>
              <w:spacing w:after="0"/>
              <w:rPr>
                <w:sz w:val="16"/>
                <w:szCs w:val="16"/>
                <w:color w:val="auto"/>
              </w:rPr>
            </w:pPr>
          </w:p>
        </w:tc>
        <w:tc>
          <w:tcPr>
            <w:tcW w:w="13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DMICP</w:t>
            </w:r>
          </w:p>
        </w:tc>
        <w:tc>
          <w:tcPr>
            <w:tcW w:w="1300" w:type="dxa"/>
            <w:vAlign w:val="bottom"/>
            <w:shd w:val="clear" w:color="auto" w:fill="E5E7EF"/>
          </w:tcPr>
          <w:p>
            <w:pPr>
              <w:jc w:val="right"/>
              <w:ind w:right="150"/>
              <w:spacing w:after="0"/>
              <w:rPr>
                <w:sz w:val="20"/>
                <w:szCs w:val="20"/>
                <w:color w:val="auto"/>
              </w:rPr>
            </w:pPr>
            <w:r>
              <w:rPr>
                <w:rFonts w:ascii="Arial" w:cs="Arial" w:eastAsia="Arial" w:hAnsi="Arial"/>
                <w:sz w:val="14"/>
                <w:szCs w:val="14"/>
                <w:color w:val="auto"/>
              </w:rPr>
              <w:t>371,035</w:t>
            </w:r>
          </w:p>
        </w:tc>
        <w:tc>
          <w:tcPr>
            <w:tcW w:w="1100" w:type="dxa"/>
            <w:vAlign w:val="bottom"/>
            <w:shd w:val="clear" w:color="auto" w:fill="E5E7EF"/>
          </w:tcPr>
          <w:p>
            <w:pPr>
              <w:jc w:val="right"/>
              <w:ind w:right="170"/>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7EF"/>
          </w:tcPr>
          <w:p>
            <w:pPr>
              <w:jc w:val="right"/>
              <w:ind w:right="30"/>
              <w:spacing w:after="0"/>
              <w:rPr>
                <w:sz w:val="20"/>
                <w:szCs w:val="20"/>
                <w:color w:val="auto"/>
              </w:rPr>
            </w:pPr>
            <w:r>
              <w:rPr>
                <w:rFonts w:ascii="Arial" w:cs="Arial" w:eastAsia="Arial" w:hAnsi="Arial"/>
                <w:sz w:val="14"/>
                <w:szCs w:val="14"/>
                <w:color w:val="auto"/>
              </w:rPr>
              <w:t>479,312</w:t>
            </w:r>
          </w:p>
        </w:tc>
        <w:tc>
          <w:tcPr>
            <w:tcW w:w="1220" w:type="dxa"/>
            <w:vAlign w:val="bottom"/>
            <w:shd w:val="clear" w:color="auto" w:fill="E5E7EF"/>
          </w:tcPr>
          <w:p>
            <w:pPr>
              <w:ind w:left="92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3,643,839</w:t>
            </w:r>
          </w:p>
        </w:tc>
      </w:tr>
      <w:tr>
        <w:trPr>
          <w:trHeight w:val="188"/>
        </w:trPr>
        <w:tc>
          <w:tcPr>
            <w:tcW w:w="4420" w:type="dxa"/>
            <w:vAlign w:val="bottom"/>
            <w:tcBorders>
              <w:bottom w:val="single" w:sz="8" w:color="939598"/>
            </w:tcBorders>
          </w:tcPr>
          <w:p>
            <w:pPr>
              <w:spacing w:after="0"/>
              <w:rPr>
                <w:sz w:val="16"/>
                <w:szCs w:val="16"/>
                <w:color w:val="auto"/>
              </w:rPr>
            </w:pPr>
          </w:p>
        </w:tc>
        <w:tc>
          <w:tcPr>
            <w:tcW w:w="1360" w:type="dxa"/>
            <w:vAlign w:val="bottom"/>
            <w:tcBorders>
              <w:bottom w:val="single" w:sz="8" w:color="939598"/>
            </w:tcBorders>
          </w:tcPr>
          <w:p>
            <w:pPr>
              <w:jc w:val="right"/>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939598"/>
            </w:tcBorders>
          </w:tcPr>
          <w:p>
            <w:pPr>
              <w:jc w:val="right"/>
              <w:ind w:right="150"/>
              <w:spacing w:after="0"/>
              <w:rPr>
                <w:sz w:val="20"/>
                <w:szCs w:val="20"/>
                <w:color w:val="auto"/>
              </w:rPr>
            </w:pPr>
            <w:r>
              <w:rPr>
                <w:rFonts w:ascii="Arial" w:cs="Arial" w:eastAsia="Arial" w:hAnsi="Arial"/>
                <w:sz w:val="14"/>
                <w:szCs w:val="14"/>
                <w:b w:val="1"/>
                <w:bCs w:val="1"/>
                <w:color w:val="auto"/>
              </w:rPr>
              <w:t>371,035</w:t>
            </w:r>
          </w:p>
        </w:tc>
        <w:tc>
          <w:tcPr>
            <w:tcW w:w="1100" w:type="dxa"/>
            <w:vAlign w:val="bottom"/>
            <w:tcBorders>
              <w:bottom w:val="single" w:sz="8" w:color="939598"/>
            </w:tcBorders>
          </w:tcPr>
          <w:p>
            <w:pPr>
              <w:jc w:val="right"/>
              <w:ind w:right="170"/>
              <w:spacing w:after="0"/>
              <w:rPr>
                <w:sz w:val="20"/>
                <w:szCs w:val="20"/>
                <w:color w:val="auto"/>
              </w:rPr>
            </w:pPr>
            <w:r>
              <w:rPr>
                <w:rFonts w:ascii="Arial" w:cs="Arial" w:eastAsia="Arial" w:hAnsi="Arial"/>
                <w:sz w:val="14"/>
                <w:szCs w:val="14"/>
                <w:b w:val="1"/>
                <w:bCs w:val="1"/>
                <w:color w:val="auto"/>
              </w:rPr>
              <w:t>42,849</w:t>
            </w:r>
          </w:p>
        </w:tc>
        <w:tc>
          <w:tcPr>
            <w:tcW w:w="900" w:type="dxa"/>
            <w:vAlign w:val="bottom"/>
            <w:tcBorders>
              <w:bottom w:val="single" w:sz="8" w:color="939598"/>
            </w:tcBorders>
          </w:tcPr>
          <w:p>
            <w:pPr>
              <w:jc w:val="right"/>
              <w:ind w:right="30"/>
              <w:spacing w:after="0"/>
              <w:rPr>
                <w:sz w:val="20"/>
                <w:szCs w:val="20"/>
                <w:color w:val="auto"/>
              </w:rPr>
            </w:pPr>
            <w:r>
              <w:rPr>
                <w:rFonts w:ascii="Arial" w:cs="Arial" w:eastAsia="Arial" w:hAnsi="Arial"/>
                <w:sz w:val="14"/>
                <w:szCs w:val="14"/>
                <w:b w:val="1"/>
                <w:bCs w:val="1"/>
                <w:color w:val="auto"/>
              </w:rPr>
              <w:t>488,473</w:t>
            </w:r>
          </w:p>
        </w:tc>
        <w:tc>
          <w:tcPr>
            <w:tcW w:w="1220" w:type="dxa"/>
            <w:vAlign w:val="bottom"/>
            <w:tcBorders>
              <w:bottom w:val="single" w:sz="8" w:color="939598"/>
            </w:tcBorders>
          </w:tcPr>
          <w:p>
            <w:pPr>
              <w:ind w:left="9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4"/>
                <w:szCs w:val="14"/>
                <w:b w:val="1"/>
                <w:bCs w:val="1"/>
                <w:color w:val="auto"/>
              </w:rPr>
              <w:t>3,758,274</w:t>
            </w:r>
          </w:p>
        </w:tc>
      </w:tr>
      <w:tr>
        <w:trPr>
          <w:trHeight w:val="182"/>
        </w:trPr>
        <w:tc>
          <w:tcPr>
            <w:tcW w:w="4420" w:type="dxa"/>
            <w:vAlign w:val="bottom"/>
          </w:tcPr>
          <w:p>
            <w:pPr>
              <w:ind w:left="20"/>
              <w:spacing w:after="0"/>
              <w:rPr>
                <w:sz w:val="20"/>
                <w:szCs w:val="20"/>
                <w:color w:val="auto"/>
              </w:rPr>
            </w:pPr>
            <w:r>
              <w:rPr>
                <w:rFonts w:ascii="Arial" w:cs="Arial" w:eastAsia="Arial" w:hAnsi="Arial"/>
                <w:sz w:val="14"/>
                <w:szCs w:val="14"/>
                <w:b w:val="1"/>
                <w:bCs w:val="1"/>
                <w:color w:val="002E6D"/>
              </w:rPr>
              <w:t>Marillyn A. Hewson</w:t>
            </w:r>
          </w:p>
        </w:tc>
        <w:tc>
          <w:tcPr>
            <w:tcW w:w="13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NQSSP</w:t>
            </w:r>
          </w:p>
        </w:tc>
        <w:tc>
          <w:tcPr>
            <w:tcW w:w="1300" w:type="dxa"/>
            <w:vAlign w:val="bottom"/>
            <w:shd w:val="clear" w:color="auto" w:fill="E5E7EF"/>
          </w:tcPr>
          <w:p>
            <w:pPr>
              <w:jc w:val="right"/>
              <w:ind w:right="150"/>
              <w:spacing w:after="0"/>
              <w:rPr>
                <w:sz w:val="20"/>
                <w:szCs w:val="20"/>
                <w:color w:val="auto"/>
              </w:rPr>
            </w:pPr>
            <w:r>
              <w:rPr>
                <w:rFonts w:ascii="Arial" w:cs="Arial" w:eastAsia="Arial" w:hAnsi="Arial"/>
                <w:sz w:val="14"/>
                <w:szCs w:val="14"/>
                <w:color w:val="auto"/>
              </w:rPr>
              <w:t>200,692</w:t>
            </w:r>
          </w:p>
        </w:tc>
        <w:tc>
          <w:tcPr>
            <w:tcW w:w="1100" w:type="dxa"/>
            <w:vAlign w:val="bottom"/>
            <w:shd w:val="clear" w:color="auto" w:fill="E5E7EF"/>
          </w:tcPr>
          <w:p>
            <w:pPr>
              <w:jc w:val="right"/>
              <w:ind w:right="170"/>
              <w:spacing w:after="0"/>
              <w:rPr>
                <w:sz w:val="20"/>
                <w:szCs w:val="20"/>
                <w:color w:val="auto"/>
              </w:rPr>
            </w:pPr>
            <w:r>
              <w:rPr>
                <w:rFonts w:ascii="Arial" w:cs="Arial" w:eastAsia="Arial" w:hAnsi="Arial"/>
                <w:sz w:val="14"/>
                <w:szCs w:val="14"/>
                <w:color w:val="auto"/>
              </w:rPr>
              <w:t>40,139</w:t>
            </w:r>
          </w:p>
        </w:tc>
        <w:tc>
          <w:tcPr>
            <w:tcW w:w="900" w:type="dxa"/>
            <w:vAlign w:val="bottom"/>
            <w:shd w:val="clear" w:color="auto" w:fill="E5E7EF"/>
          </w:tcPr>
          <w:p>
            <w:pPr>
              <w:jc w:val="right"/>
              <w:ind w:right="30"/>
              <w:spacing w:after="0"/>
              <w:rPr>
                <w:sz w:val="20"/>
                <w:szCs w:val="20"/>
                <w:color w:val="auto"/>
              </w:rPr>
            </w:pPr>
            <w:r>
              <w:rPr>
                <w:rFonts w:ascii="Arial" w:cs="Arial" w:eastAsia="Arial" w:hAnsi="Arial"/>
                <w:sz w:val="14"/>
                <w:szCs w:val="14"/>
                <w:color w:val="auto"/>
              </w:rPr>
              <w:t>1,247,012</w:t>
            </w:r>
          </w:p>
        </w:tc>
        <w:tc>
          <w:tcPr>
            <w:tcW w:w="1220" w:type="dxa"/>
            <w:vAlign w:val="bottom"/>
            <w:shd w:val="clear" w:color="auto" w:fill="E5E7EF"/>
          </w:tcPr>
          <w:p>
            <w:pPr>
              <w:ind w:left="92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9,977,113</w:t>
            </w:r>
          </w:p>
        </w:tc>
      </w:tr>
      <w:tr>
        <w:trPr>
          <w:trHeight w:val="188"/>
        </w:trPr>
        <w:tc>
          <w:tcPr>
            <w:tcW w:w="44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NCAP</w:t>
            </w:r>
          </w:p>
        </w:tc>
        <w:tc>
          <w:tcPr>
            <w:tcW w:w="1300" w:type="dxa"/>
            <w:vAlign w:val="bottom"/>
          </w:tcPr>
          <w:p>
            <w:pPr>
              <w:jc w:val="right"/>
              <w:ind w:right="15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70"/>
              <w:spacing w:after="0"/>
              <w:rPr>
                <w:sz w:val="20"/>
                <w:szCs w:val="20"/>
                <w:color w:val="auto"/>
              </w:rPr>
            </w:pPr>
            <w:r>
              <w:rPr>
                <w:rFonts w:ascii="Arial" w:cs="Arial" w:eastAsia="Arial" w:hAnsi="Arial"/>
                <w:sz w:val="14"/>
                <w:szCs w:val="14"/>
                <w:color w:val="auto"/>
              </w:rPr>
              <w:t>48,658</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28,278</w:t>
            </w:r>
          </w:p>
        </w:tc>
        <w:tc>
          <w:tcPr>
            <w:tcW w:w="1220" w:type="dxa"/>
            <w:vAlign w:val="bottom"/>
          </w:tcPr>
          <w:p>
            <w:pPr>
              <w:ind w:left="92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328,984</w:t>
            </w:r>
          </w:p>
        </w:tc>
      </w:tr>
      <w:tr>
        <w:trPr>
          <w:trHeight w:val="188"/>
        </w:trPr>
        <w:tc>
          <w:tcPr>
            <w:tcW w:w="4420" w:type="dxa"/>
            <w:vAlign w:val="bottom"/>
          </w:tcPr>
          <w:p>
            <w:pPr>
              <w:spacing w:after="0"/>
              <w:rPr>
                <w:sz w:val="16"/>
                <w:szCs w:val="16"/>
                <w:color w:val="auto"/>
              </w:rPr>
            </w:pPr>
          </w:p>
        </w:tc>
        <w:tc>
          <w:tcPr>
            <w:tcW w:w="1360" w:type="dxa"/>
            <w:vAlign w:val="bottom"/>
            <w:shd w:val="clear" w:color="auto" w:fill="E5E7EF"/>
          </w:tcPr>
          <w:p>
            <w:pPr>
              <w:jc w:val="right"/>
              <w:spacing w:after="0"/>
              <w:rPr>
                <w:sz w:val="20"/>
                <w:szCs w:val="20"/>
                <w:color w:val="auto"/>
              </w:rPr>
            </w:pPr>
            <w:r>
              <w:rPr>
                <w:rFonts w:ascii="Arial" w:cs="Arial" w:eastAsia="Arial" w:hAnsi="Arial"/>
                <w:sz w:val="14"/>
                <w:szCs w:val="14"/>
                <w:color w:val="auto"/>
              </w:rPr>
              <w:t>DMICP</w:t>
            </w:r>
          </w:p>
        </w:tc>
        <w:tc>
          <w:tcPr>
            <w:tcW w:w="1300" w:type="dxa"/>
            <w:vAlign w:val="bottom"/>
            <w:shd w:val="clear" w:color="auto" w:fill="E5E7EF"/>
          </w:tcPr>
          <w:p>
            <w:pPr>
              <w:jc w:val="right"/>
              <w:ind w:right="150"/>
              <w:spacing w:after="0"/>
              <w:rPr>
                <w:sz w:val="20"/>
                <w:szCs w:val="20"/>
                <w:color w:val="auto"/>
              </w:rPr>
            </w:pPr>
            <w:r>
              <w:rPr>
                <w:rFonts w:ascii="Arial" w:cs="Arial" w:eastAsia="Arial" w:hAnsi="Arial"/>
                <w:sz w:val="14"/>
                <w:szCs w:val="14"/>
                <w:color w:val="auto"/>
              </w:rPr>
              <w:t>—</w:t>
            </w:r>
          </w:p>
        </w:tc>
        <w:tc>
          <w:tcPr>
            <w:tcW w:w="1100" w:type="dxa"/>
            <w:vAlign w:val="bottom"/>
            <w:shd w:val="clear" w:color="auto" w:fill="E5E7EF"/>
          </w:tcPr>
          <w:p>
            <w:pPr>
              <w:jc w:val="right"/>
              <w:ind w:right="170"/>
              <w:spacing w:after="0"/>
              <w:rPr>
                <w:sz w:val="20"/>
                <w:szCs w:val="20"/>
                <w:color w:val="auto"/>
              </w:rPr>
            </w:pPr>
            <w:r>
              <w:rPr>
                <w:rFonts w:ascii="Arial" w:cs="Arial" w:eastAsia="Arial" w:hAnsi="Arial"/>
                <w:sz w:val="14"/>
                <w:szCs w:val="14"/>
                <w:color w:val="auto"/>
              </w:rPr>
              <w:t>—</w:t>
            </w:r>
          </w:p>
        </w:tc>
        <w:tc>
          <w:tcPr>
            <w:tcW w:w="900" w:type="dxa"/>
            <w:vAlign w:val="bottom"/>
            <w:shd w:val="clear" w:color="auto" w:fill="E5E7EF"/>
          </w:tcPr>
          <w:p>
            <w:pPr>
              <w:jc w:val="right"/>
              <w:ind w:right="30"/>
              <w:spacing w:after="0"/>
              <w:rPr>
                <w:sz w:val="20"/>
                <w:szCs w:val="20"/>
                <w:color w:val="auto"/>
              </w:rPr>
            </w:pPr>
            <w:r>
              <w:rPr>
                <w:rFonts w:ascii="Arial" w:cs="Arial" w:eastAsia="Arial" w:hAnsi="Arial"/>
                <w:sz w:val="14"/>
                <w:szCs w:val="14"/>
                <w:color w:val="auto"/>
              </w:rPr>
              <w:t>6,361,726</w:t>
            </w:r>
          </w:p>
        </w:tc>
        <w:tc>
          <w:tcPr>
            <w:tcW w:w="1220" w:type="dxa"/>
            <w:vAlign w:val="bottom"/>
            <w:shd w:val="clear" w:color="auto" w:fill="E5E7EF"/>
          </w:tcPr>
          <w:p>
            <w:pPr>
              <w:ind w:left="920"/>
              <w:spacing w:after="0"/>
              <w:rPr>
                <w:sz w:val="20"/>
                <w:szCs w:val="20"/>
                <w:color w:val="auto"/>
              </w:rPr>
            </w:pPr>
            <w:r>
              <w:rPr>
                <w:rFonts w:ascii="Arial" w:cs="Arial" w:eastAsia="Arial" w:hAnsi="Arial"/>
                <w:sz w:val="14"/>
                <w:szCs w:val="14"/>
                <w:color w:val="auto"/>
              </w:rPr>
              <w:t>—</w:t>
            </w:r>
          </w:p>
        </w:tc>
        <w:tc>
          <w:tcPr>
            <w:tcW w:w="880" w:type="dxa"/>
            <w:vAlign w:val="bottom"/>
            <w:shd w:val="clear" w:color="auto" w:fill="E5E7EF"/>
          </w:tcPr>
          <w:p>
            <w:pPr>
              <w:jc w:val="right"/>
              <w:spacing w:after="0"/>
              <w:rPr>
                <w:sz w:val="20"/>
                <w:szCs w:val="20"/>
                <w:color w:val="auto"/>
              </w:rPr>
            </w:pPr>
            <w:r>
              <w:rPr>
                <w:rFonts w:ascii="Arial" w:cs="Arial" w:eastAsia="Arial" w:hAnsi="Arial"/>
                <w:sz w:val="14"/>
                <w:szCs w:val="14"/>
                <w:color w:val="auto"/>
              </w:rPr>
              <w:t>60,867,070</w:t>
            </w:r>
          </w:p>
        </w:tc>
      </w:tr>
      <w:tr>
        <w:trPr>
          <w:trHeight w:val="188"/>
        </w:trPr>
        <w:tc>
          <w:tcPr>
            <w:tcW w:w="4420" w:type="dxa"/>
            <w:vAlign w:val="bottom"/>
            <w:tcBorders>
              <w:bottom w:val="single" w:sz="8" w:color="939598"/>
            </w:tcBorders>
          </w:tcPr>
          <w:p>
            <w:pPr>
              <w:spacing w:after="0"/>
              <w:rPr>
                <w:sz w:val="16"/>
                <w:szCs w:val="16"/>
                <w:color w:val="auto"/>
              </w:rPr>
            </w:pPr>
          </w:p>
        </w:tc>
        <w:tc>
          <w:tcPr>
            <w:tcW w:w="1360" w:type="dxa"/>
            <w:vAlign w:val="bottom"/>
            <w:tcBorders>
              <w:bottom w:val="single" w:sz="8" w:color="939598"/>
            </w:tcBorders>
          </w:tcPr>
          <w:p>
            <w:pPr>
              <w:jc w:val="right"/>
              <w:spacing w:after="0"/>
              <w:rPr>
                <w:sz w:val="20"/>
                <w:szCs w:val="20"/>
                <w:color w:val="auto"/>
              </w:rPr>
            </w:pPr>
            <w:r>
              <w:rPr>
                <w:rFonts w:ascii="Arial" w:cs="Arial" w:eastAsia="Arial" w:hAnsi="Arial"/>
                <w:sz w:val="14"/>
                <w:szCs w:val="14"/>
                <w:b w:val="1"/>
                <w:bCs w:val="1"/>
                <w:color w:val="auto"/>
              </w:rPr>
              <w:t>TOTAL</w:t>
            </w:r>
          </w:p>
        </w:tc>
        <w:tc>
          <w:tcPr>
            <w:tcW w:w="1300" w:type="dxa"/>
            <w:vAlign w:val="bottom"/>
            <w:tcBorders>
              <w:bottom w:val="single" w:sz="8" w:color="939598"/>
            </w:tcBorders>
          </w:tcPr>
          <w:p>
            <w:pPr>
              <w:jc w:val="right"/>
              <w:ind w:right="150"/>
              <w:spacing w:after="0"/>
              <w:rPr>
                <w:sz w:val="20"/>
                <w:szCs w:val="20"/>
                <w:color w:val="auto"/>
              </w:rPr>
            </w:pPr>
            <w:r>
              <w:rPr>
                <w:rFonts w:ascii="Arial" w:cs="Arial" w:eastAsia="Arial" w:hAnsi="Arial"/>
                <w:sz w:val="14"/>
                <w:szCs w:val="14"/>
                <w:b w:val="1"/>
                <w:bCs w:val="1"/>
                <w:color w:val="auto"/>
              </w:rPr>
              <w:t>200,692</w:t>
            </w:r>
          </w:p>
        </w:tc>
        <w:tc>
          <w:tcPr>
            <w:tcW w:w="1100" w:type="dxa"/>
            <w:vAlign w:val="bottom"/>
            <w:tcBorders>
              <w:bottom w:val="single" w:sz="8" w:color="939598"/>
            </w:tcBorders>
          </w:tcPr>
          <w:p>
            <w:pPr>
              <w:jc w:val="right"/>
              <w:ind w:right="170"/>
              <w:spacing w:after="0"/>
              <w:rPr>
                <w:sz w:val="20"/>
                <w:szCs w:val="20"/>
                <w:color w:val="auto"/>
              </w:rPr>
            </w:pPr>
            <w:r>
              <w:rPr>
                <w:rFonts w:ascii="Arial" w:cs="Arial" w:eastAsia="Arial" w:hAnsi="Arial"/>
                <w:sz w:val="14"/>
                <w:szCs w:val="14"/>
                <w:b w:val="1"/>
                <w:bCs w:val="1"/>
                <w:color w:val="auto"/>
              </w:rPr>
              <w:t>88,797</w:t>
            </w:r>
          </w:p>
        </w:tc>
        <w:tc>
          <w:tcPr>
            <w:tcW w:w="900" w:type="dxa"/>
            <w:vAlign w:val="bottom"/>
            <w:tcBorders>
              <w:bottom w:val="single" w:sz="8" w:color="939598"/>
            </w:tcBorders>
          </w:tcPr>
          <w:p>
            <w:pPr>
              <w:jc w:val="right"/>
              <w:ind w:right="30"/>
              <w:spacing w:after="0"/>
              <w:rPr>
                <w:sz w:val="20"/>
                <w:szCs w:val="20"/>
                <w:color w:val="auto"/>
              </w:rPr>
            </w:pPr>
            <w:r>
              <w:rPr>
                <w:rFonts w:ascii="Arial" w:cs="Arial" w:eastAsia="Arial" w:hAnsi="Arial"/>
                <w:sz w:val="14"/>
                <w:szCs w:val="14"/>
                <w:b w:val="1"/>
                <w:bCs w:val="1"/>
                <w:color w:val="auto"/>
              </w:rPr>
              <w:t>7,637,016</w:t>
            </w:r>
          </w:p>
        </w:tc>
        <w:tc>
          <w:tcPr>
            <w:tcW w:w="1220" w:type="dxa"/>
            <w:vAlign w:val="bottom"/>
            <w:tcBorders>
              <w:bottom w:val="single" w:sz="8" w:color="939598"/>
            </w:tcBorders>
          </w:tcPr>
          <w:p>
            <w:pPr>
              <w:ind w:left="9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4"/>
                <w:szCs w:val="14"/>
                <w:b w:val="1"/>
                <w:bCs w:val="1"/>
                <w:color w:val="auto"/>
              </w:rPr>
              <w:t>71,173,167</w:t>
            </w:r>
          </w:p>
        </w:tc>
      </w:tr>
    </w:tbl>
    <w:p>
      <w:pPr>
        <w:spacing w:after="0" w:line="323" w:lineRule="exact"/>
        <w:rPr>
          <w:sz w:val="20"/>
          <w:szCs w:val="20"/>
          <w:color w:val="auto"/>
        </w:rPr>
      </w:pPr>
    </w:p>
    <w:p>
      <w:pPr>
        <w:ind w:left="240" w:right="160" w:hanging="233"/>
        <w:spacing w:after="0" w:line="300" w:lineRule="auto"/>
        <w:tabs>
          <w:tab w:leader="none" w:pos="268" w:val="left"/>
        </w:tabs>
        <w:numPr>
          <w:ilvl w:val="0"/>
          <w:numId w:val="107"/>
        </w:numPr>
        <w:rPr>
          <w:rFonts w:ascii="Arial" w:cs="Arial" w:eastAsia="Arial" w:hAnsi="Arial"/>
          <w:sz w:val="9"/>
          <w:szCs w:val="9"/>
          <w:color w:val="auto"/>
        </w:rPr>
      </w:pPr>
      <w:r>
        <w:rPr>
          <w:rFonts w:ascii="Arial" w:cs="Arial" w:eastAsia="Arial" w:hAnsi="Arial"/>
          <w:sz w:val="14"/>
          <w:szCs w:val="14"/>
          <w:color w:val="auto"/>
        </w:rPr>
        <w:t xml:space="preserve">The amounts reported in the </w:t>
      </w:r>
      <w:r>
        <w:rPr>
          <w:rFonts w:ascii="Arial" w:cs="Arial" w:eastAsia="Arial" w:hAnsi="Arial"/>
          <w:sz w:val="14"/>
          <w:szCs w:val="14"/>
          <w:b w:val="1"/>
          <w:bCs w:val="1"/>
          <w:color w:val="auto"/>
        </w:rPr>
        <w:t>Executive Contributions in Last Fiscal Year</w:t>
      </w:r>
      <w:r>
        <w:rPr>
          <w:rFonts w:ascii="Arial" w:cs="Arial" w:eastAsia="Arial" w:hAnsi="Arial"/>
          <w:sz w:val="14"/>
          <w:szCs w:val="14"/>
          <w:color w:val="auto"/>
        </w:rPr>
        <w:t xml:space="preserve"> column include salary deferrals to the NQSSP in 2021, annual incentive bonus paid in 2021 for 2020 performance deferred to DMICP, and LTIP paid in 2021 for the 2018-2020 performance period deferred to the DMICP.</w:t>
      </w:r>
    </w:p>
    <w:p>
      <w:pPr>
        <w:ind w:left="240" w:right="260" w:hanging="233"/>
        <w:spacing w:after="0" w:line="281" w:lineRule="auto"/>
        <w:tabs>
          <w:tab w:leader="none" w:pos="268" w:val="left"/>
        </w:tabs>
        <w:numPr>
          <w:ilvl w:val="0"/>
          <w:numId w:val="107"/>
        </w:numPr>
        <w:rPr>
          <w:rFonts w:ascii="Arial" w:cs="Arial" w:eastAsia="Arial" w:hAnsi="Arial"/>
          <w:sz w:val="9"/>
          <w:szCs w:val="9"/>
          <w:color w:val="auto"/>
        </w:rPr>
      </w:pPr>
      <w:r>
        <w:rPr>
          <w:rFonts w:ascii="Arial" w:cs="Arial" w:eastAsia="Arial" w:hAnsi="Arial"/>
          <w:sz w:val="14"/>
          <w:szCs w:val="14"/>
          <w:color w:val="auto"/>
        </w:rPr>
        <w:t xml:space="preserve">The amounts reported in the </w:t>
      </w:r>
      <w:r>
        <w:rPr>
          <w:rFonts w:ascii="Arial" w:cs="Arial" w:eastAsia="Arial" w:hAnsi="Arial"/>
          <w:sz w:val="14"/>
          <w:szCs w:val="14"/>
          <w:b w:val="1"/>
          <w:bCs w:val="1"/>
          <w:color w:val="auto"/>
        </w:rPr>
        <w:t>Registrant Contributions in Last Fiscal Year</w:t>
      </w:r>
      <w:r>
        <w:rPr>
          <w:rFonts w:ascii="Arial" w:cs="Arial" w:eastAsia="Arial" w:hAnsi="Arial"/>
          <w:sz w:val="14"/>
          <w:szCs w:val="14"/>
          <w:color w:val="auto"/>
        </w:rPr>
        <w:t xml:space="preserve"> column include Company matching contributions to the NQSSP made in 2021 and Company nonelective contributions made to the NCAP in 2021. The NQSSP Company match and NCAP Company nonelective contributions are also included in the All Other Compensation column of the “Summary Compensation Table.”</w:t>
      </w:r>
    </w:p>
    <w:p>
      <w:pPr>
        <w:spacing w:after="0" w:line="12" w:lineRule="exact"/>
        <w:rPr>
          <w:rFonts w:ascii="Arial" w:cs="Arial" w:eastAsia="Arial" w:hAnsi="Arial"/>
          <w:sz w:val="9"/>
          <w:szCs w:val="9"/>
          <w:color w:val="auto"/>
        </w:rPr>
      </w:pPr>
    </w:p>
    <w:p>
      <w:pPr>
        <w:ind w:left="240" w:hanging="233"/>
        <w:spacing w:after="0" w:line="268" w:lineRule="auto"/>
        <w:tabs>
          <w:tab w:leader="none" w:pos="268" w:val="left"/>
        </w:tabs>
        <w:numPr>
          <w:ilvl w:val="0"/>
          <w:numId w:val="107"/>
        </w:numPr>
        <w:rPr>
          <w:rFonts w:ascii="Arial" w:cs="Arial" w:eastAsia="Arial" w:hAnsi="Arial"/>
          <w:sz w:val="9"/>
          <w:szCs w:val="9"/>
          <w:color w:val="auto"/>
        </w:rPr>
      </w:pPr>
      <w:r>
        <w:rPr>
          <w:rFonts w:ascii="Arial" w:cs="Arial" w:eastAsia="Arial" w:hAnsi="Arial"/>
          <w:sz w:val="14"/>
          <w:szCs w:val="14"/>
          <w:color w:val="auto"/>
        </w:rPr>
        <w:t xml:space="preserve">The following table lists amounts reported in the </w:t>
      </w:r>
      <w:r>
        <w:rPr>
          <w:rFonts w:ascii="Arial" w:cs="Arial" w:eastAsia="Arial" w:hAnsi="Arial"/>
          <w:sz w:val="14"/>
          <w:szCs w:val="14"/>
          <w:b w:val="1"/>
          <w:bCs w:val="1"/>
          <w:color w:val="auto"/>
        </w:rPr>
        <w:t>Aggregate Balance at Last Fiscal Year End</w:t>
      </w:r>
      <w:r>
        <w:rPr>
          <w:rFonts w:ascii="Arial" w:cs="Arial" w:eastAsia="Arial" w:hAnsi="Arial"/>
          <w:sz w:val="14"/>
          <w:szCs w:val="14"/>
          <w:color w:val="auto"/>
        </w:rPr>
        <w:t xml:space="preserve"> column as executive or registrant contributions in the Executive and Registrant Contributions columns of the “Nonqualified Deferred Compensation Table” that are also reported as compensation in the “Summary Compensation Table” for 2021. These contributions consist of NEO and Company matching contributions made to the NQSSP and Company nonelective contributions made to the NCAP during 2021. Contributions with respect to 2021 performance deferred in 2022 (annual incentive bonus and LTIP) are not credited until 2022, and are not included in the Aggregate Balance at Last Fiscal Year End column. The following table also lists the amounts reported in the Aggregate Balance at Last Fiscal Year End column that were reported as compensation for prior years in the “Summary Compensation Table” for years beginning with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236220</wp:posOffset>
            </wp:positionV>
            <wp:extent cx="963930" cy="2216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63</w:t>
      </w:r>
    </w:p>
    <w:p>
      <w:pPr>
        <w:sectPr>
          <w:pgSz w:w="11900" w:h="16838" w:orient="portrait"/>
          <w:cols w:equalWidth="0" w:num="1">
            <w:col w:w="11240"/>
          </w:cols>
          <w:pgMar w:left="320" w:top="254" w:right="339" w:bottom="1440" w:gutter="0" w:footer="0" w:header="0"/>
        </w:sectPr>
      </w:pPr>
    </w:p>
    <w:bookmarkStart w:id="69" w:name="page70"/>
    <w:bookmarkEnd w:id="69"/>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100" w:type="dxa"/>
            <w:vAlign w:val="bottom"/>
            <w:gridSpan w:val="2"/>
          </w:tcPr>
          <w:p>
            <w:pPr>
              <w:jc w:val="right"/>
              <w:spacing w:after="0"/>
              <w:rPr>
                <w:sz w:val="20"/>
                <w:szCs w:val="20"/>
                <w:color w:val="auto"/>
              </w:rPr>
            </w:pPr>
            <w:r>
              <w:rPr>
                <w:rFonts w:ascii="Arial" w:cs="Arial" w:eastAsia="Arial" w:hAnsi="Arial"/>
                <w:sz w:val="15"/>
                <w:szCs w:val="15"/>
                <w:color w:val="003478"/>
              </w:rPr>
              <w:t>Executive Compensation</w:t>
            </w:r>
          </w:p>
        </w:tc>
      </w:tr>
      <w:tr>
        <w:trPr>
          <w:trHeight w:val="588"/>
        </w:trPr>
        <w:tc>
          <w:tcPr>
            <w:tcW w:w="38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60" w:type="dxa"/>
            <w:vAlign w:val="bottom"/>
            <w:gridSpan w:val="3"/>
          </w:tcPr>
          <w:p>
            <w:pPr>
              <w:spacing w:after="0"/>
              <w:rPr>
                <w:sz w:val="24"/>
                <w:szCs w:val="24"/>
                <w:color w:val="auto"/>
              </w:rPr>
            </w:pPr>
          </w:p>
        </w:tc>
      </w:tr>
      <w:tr>
        <w:trPr>
          <w:trHeight w:val="207"/>
        </w:trPr>
        <w:tc>
          <w:tcPr>
            <w:tcW w:w="3820" w:type="dxa"/>
            <w:vAlign w:val="bottom"/>
            <w:tcBorders>
              <w:bottom w:val="single" w:sz="8" w:color="E5E7EF"/>
            </w:tcBorders>
            <w:shd w:val="clear" w:color="auto" w:fill="E5E7EF"/>
          </w:tcPr>
          <w:p>
            <w:pPr>
              <w:spacing w:after="0"/>
              <w:rPr>
                <w:sz w:val="17"/>
                <w:szCs w:val="17"/>
                <w:color w:val="auto"/>
              </w:rPr>
            </w:pPr>
          </w:p>
        </w:tc>
        <w:tc>
          <w:tcPr>
            <w:tcW w:w="1840" w:type="dxa"/>
            <w:vAlign w:val="bottom"/>
            <w:tcBorders>
              <w:bottom w:val="single" w:sz="8" w:color="E5E7EF"/>
            </w:tcBorders>
            <w:shd w:val="clear" w:color="auto" w:fill="E5E7EF"/>
          </w:tcPr>
          <w:p>
            <w:pPr>
              <w:spacing w:after="0"/>
              <w:rPr>
                <w:sz w:val="17"/>
                <w:szCs w:val="17"/>
                <w:color w:val="auto"/>
              </w:rPr>
            </w:pPr>
          </w:p>
        </w:tc>
        <w:tc>
          <w:tcPr>
            <w:tcW w:w="220" w:type="dxa"/>
            <w:vAlign w:val="bottom"/>
            <w:tcBorders>
              <w:bottom w:val="single" w:sz="8" w:color="E5E7EF"/>
            </w:tcBorders>
            <w:shd w:val="clear" w:color="auto" w:fill="E5E7EF"/>
          </w:tcPr>
          <w:p>
            <w:pPr>
              <w:spacing w:after="0"/>
              <w:rPr>
                <w:sz w:val="17"/>
                <w:szCs w:val="17"/>
                <w:color w:val="auto"/>
              </w:rPr>
            </w:pPr>
          </w:p>
        </w:tc>
        <w:tc>
          <w:tcPr>
            <w:tcW w:w="5360" w:type="dxa"/>
            <w:vAlign w:val="bottom"/>
            <w:tcBorders>
              <w:bottom w:val="single" w:sz="8" w:color="E5E7EF"/>
            </w:tcBorders>
            <w:gridSpan w:val="3"/>
            <w:shd w:val="clear" w:color="auto" w:fill="E5E7EF"/>
          </w:tcPr>
          <w:p>
            <w:pPr>
              <w:jc w:val="right"/>
              <w:ind w:right="529"/>
              <w:spacing w:after="0"/>
              <w:rPr>
                <w:sz w:val="20"/>
                <w:szCs w:val="20"/>
                <w:color w:val="auto"/>
              </w:rPr>
            </w:pPr>
            <w:r>
              <w:rPr>
                <w:rFonts w:ascii="Arial" w:cs="Arial" w:eastAsia="Arial" w:hAnsi="Arial"/>
                <w:sz w:val="13"/>
                <w:szCs w:val="13"/>
                <w:color w:val="auto"/>
              </w:rPr>
              <w:t>Of Amount Reported in Aggregate Balance at Last Fiscal Year End Column</w:t>
            </w:r>
          </w:p>
        </w:tc>
      </w:tr>
      <w:tr>
        <w:trPr>
          <w:trHeight w:val="162"/>
        </w:trPr>
        <w:tc>
          <w:tcPr>
            <w:tcW w:w="3820" w:type="dxa"/>
            <w:vAlign w:val="bottom"/>
            <w:tcBorders>
              <w:top w:val="single" w:sz="8" w:color="E5E7EF"/>
            </w:tcBorders>
            <w:shd w:val="clear" w:color="auto" w:fill="E5E7EF"/>
          </w:tcPr>
          <w:p>
            <w:pPr>
              <w:spacing w:after="0"/>
              <w:rPr>
                <w:sz w:val="14"/>
                <w:szCs w:val="14"/>
                <w:color w:val="auto"/>
              </w:rPr>
            </w:pPr>
          </w:p>
        </w:tc>
        <w:tc>
          <w:tcPr>
            <w:tcW w:w="1840" w:type="dxa"/>
            <w:vAlign w:val="bottom"/>
            <w:tcBorders>
              <w:top w:val="single" w:sz="8" w:color="E5E7EF"/>
            </w:tcBorders>
            <w:shd w:val="clear" w:color="auto" w:fill="E5E7EF"/>
          </w:tcPr>
          <w:p>
            <w:pPr>
              <w:spacing w:after="0"/>
              <w:rPr>
                <w:sz w:val="14"/>
                <w:szCs w:val="14"/>
                <w:color w:val="auto"/>
              </w:rPr>
            </w:pPr>
          </w:p>
        </w:tc>
        <w:tc>
          <w:tcPr>
            <w:tcW w:w="220" w:type="dxa"/>
            <w:vAlign w:val="bottom"/>
            <w:tcBorders>
              <w:top w:val="single" w:sz="8" w:color="E5E7EF"/>
            </w:tcBorders>
            <w:shd w:val="clear" w:color="auto" w:fill="E5E7EF"/>
          </w:tcPr>
          <w:p>
            <w:pPr>
              <w:spacing w:after="0"/>
              <w:rPr>
                <w:sz w:val="14"/>
                <w:szCs w:val="14"/>
                <w:color w:val="auto"/>
              </w:rPr>
            </w:pPr>
          </w:p>
        </w:tc>
        <w:tc>
          <w:tcPr>
            <w:tcW w:w="3260" w:type="dxa"/>
            <w:vAlign w:val="bottom"/>
            <w:tcBorders>
              <w:top w:val="single" w:sz="8" w:color="002E6D"/>
            </w:tcBorders>
            <w:shd w:val="clear" w:color="auto" w:fill="E5E7EF"/>
          </w:tcPr>
          <w:p>
            <w:pPr>
              <w:jc w:val="right"/>
              <w:ind w:right="295"/>
              <w:spacing w:after="0"/>
              <w:rPr>
                <w:sz w:val="20"/>
                <w:szCs w:val="20"/>
                <w:color w:val="auto"/>
              </w:rPr>
            </w:pPr>
            <w:r>
              <w:rPr>
                <w:rFonts w:ascii="Arial" w:cs="Arial" w:eastAsia="Arial" w:hAnsi="Arial"/>
                <w:sz w:val="13"/>
                <w:szCs w:val="13"/>
                <w:color w:val="auto"/>
              </w:rPr>
              <w:t>NEO and Company Contributions to</w:t>
            </w:r>
          </w:p>
        </w:tc>
        <w:tc>
          <w:tcPr>
            <w:tcW w:w="1160" w:type="dxa"/>
            <w:vAlign w:val="bottom"/>
            <w:tcBorders>
              <w:top w:val="single" w:sz="8" w:color="002E6D"/>
            </w:tcBorders>
            <w:shd w:val="clear" w:color="auto" w:fill="E5E7EF"/>
          </w:tcPr>
          <w:p>
            <w:pPr>
              <w:spacing w:after="0"/>
              <w:rPr>
                <w:sz w:val="14"/>
                <w:szCs w:val="14"/>
                <w:color w:val="auto"/>
              </w:rPr>
            </w:pPr>
          </w:p>
        </w:tc>
        <w:tc>
          <w:tcPr>
            <w:tcW w:w="940" w:type="dxa"/>
            <w:vAlign w:val="bottom"/>
            <w:tcBorders>
              <w:top w:val="single" w:sz="8" w:color="002E6D"/>
            </w:tcBorders>
            <w:shd w:val="clear" w:color="auto" w:fill="E5E7EF"/>
          </w:tcPr>
          <w:p>
            <w:pPr>
              <w:spacing w:after="0"/>
              <w:rPr>
                <w:sz w:val="14"/>
                <w:szCs w:val="14"/>
                <w:color w:val="auto"/>
              </w:rPr>
            </w:pPr>
          </w:p>
        </w:tc>
      </w:tr>
      <w:tr>
        <w:trPr>
          <w:trHeight w:val="148"/>
        </w:trPr>
        <w:tc>
          <w:tcPr>
            <w:tcW w:w="3820" w:type="dxa"/>
            <w:vAlign w:val="bottom"/>
            <w:shd w:val="clear" w:color="auto" w:fill="E5E7EF"/>
          </w:tcPr>
          <w:p>
            <w:pPr>
              <w:spacing w:after="0"/>
              <w:rPr>
                <w:sz w:val="12"/>
                <w:szCs w:val="12"/>
                <w:color w:val="auto"/>
              </w:rPr>
            </w:pPr>
          </w:p>
        </w:tc>
        <w:tc>
          <w:tcPr>
            <w:tcW w:w="1840" w:type="dxa"/>
            <w:vAlign w:val="bottom"/>
            <w:shd w:val="clear" w:color="auto" w:fill="E5E7EF"/>
          </w:tcPr>
          <w:p>
            <w:pPr>
              <w:jc w:val="right"/>
              <w:spacing w:after="0" w:line="148" w:lineRule="exact"/>
              <w:rPr>
                <w:sz w:val="20"/>
                <w:szCs w:val="20"/>
                <w:color w:val="auto"/>
              </w:rPr>
            </w:pPr>
            <w:r>
              <w:rPr>
                <w:rFonts w:ascii="Arial" w:cs="Arial" w:eastAsia="Arial" w:hAnsi="Arial"/>
                <w:sz w:val="13"/>
                <w:szCs w:val="13"/>
                <w:color w:val="auto"/>
              </w:rPr>
              <w:t>Aggregate Balance at Last</w:t>
            </w:r>
          </w:p>
        </w:tc>
        <w:tc>
          <w:tcPr>
            <w:tcW w:w="220" w:type="dxa"/>
            <w:vAlign w:val="bottom"/>
            <w:shd w:val="clear" w:color="auto" w:fill="E5E7EF"/>
          </w:tcPr>
          <w:p>
            <w:pPr>
              <w:spacing w:after="0"/>
              <w:rPr>
                <w:sz w:val="12"/>
                <w:szCs w:val="12"/>
                <w:color w:val="auto"/>
              </w:rPr>
            </w:pPr>
          </w:p>
        </w:tc>
        <w:tc>
          <w:tcPr>
            <w:tcW w:w="3260" w:type="dxa"/>
            <w:vAlign w:val="bottom"/>
            <w:shd w:val="clear" w:color="auto" w:fill="E5E7EF"/>
          </w:tcPr>
          <w:p>
            <w:pPr>
              <w:jc w:val="right"/>
              <w:ind w:right="295"/>
              <w:spacing w:after="0" w:line="148" w:lineRule="exact"/>
              <w:rPr>
                <w:sz w:val="20"/>
                <w:szCs w:val="20"/>
                <w:color w:val="auto"/>
              </w:rPr>
            </w:pPr>
            <w:r>
              <w:rPr>
                <w:rFonts w:ascii="Arial" w:cs="Arial" w:eastAsia="Arial" w:hAnsi="Arial"/>
                <w:sz w:val="13"/>
                <w:szCs w:val="13"/>
                <w:color w:val="auto"/>
              </w:rPr>
              <w:t>NQSSP and Company Contributions to</w:t>
            </w:r>
          </w:p>
        </w:tc>
        <w:tc>
          <w:tcPr>
            <w:tcW w:w="2100" w:type="dxa"/>
            <w:vAlign w:val="bottom"/>
            <w:gridSpan w:val="2"/>
            <w:shd w:val="clear" w:color="auto" w:fill="E5E7EF"/>
          </w:tcPr>
          <w:p>
            <w:pPr>
              <w:jc w:val="right"/>
              <w:spacing w:after="0" w:line="148" w:lineRule="exact"/>
              <w:rPr>
                <w:sz w:val="20"/>
                <w:szCs w:val="20"/>
                <w:color w:val="auto"/>
              </w:rPr>
            </w:pPr>
            <w:r>
              <w:rPr>
                <w:rFonts w:ascii="Arial" w:cs="Arial" w:eastAsia="Arial" w:hAnsi="Arial"/>
                <w:sz w:val="13"/>
                <w:szCs w:val="13"/>
                <w:color w:val="auto"/>
              </w:rPr>
              <w:t>Amount Reported in “Summary</w:t>
            </w:r>
          </w:p>
        </w:tc>
      </w:tr>
      <w:tr>
        <w:trPr>
          <w:trHeight w:val="148"/>
        </w:trPr>
        <w:tc>
          <w:tcPr>
            <w:tcW w:w="3820" w:type="dxa"/>
            <w:vAlign w:val="bottom"/>
            <w:shd w:val="clear" w:color="auto" w:fill="E5E7EF"/>
          </w:tcPr>
          <w:p>
            <w:pPr>
              <w:spacing w:after="0"/>
              <w:rPr>
                <w:sz w:val="12"/>
                <w:szCs w:val="12"/>
                <w:color w:val="auto"/>
              </w:rPr>
            </w:pPr>
          </w:p>
        </w:tc>
        <w:tc>
          <w:tcPr>
            <w:tcW w:w="1840" w:type="dxa"/>
            <w:vAlign w:val="bottom"/>
            <w:shd w:val="clear" w:color="auto" w:fill="E5E7EF"/>
          </w:tcPr>
          <w:p>
            <w:pPr>
              <w:jc w:val="right"/>
              <w:spacing w:after="0" w:line="148" w:lineRule="exact"/>
              <w:rPr>
                <w:sz w:val="20"/>
                <w:szCs w:val="20"/>
                <w:color w:val="auto"/>
              </w:rPr>
            </w:pPr>
            <w:r>
              <w:rPr>
                <w:rFonts w:ascii="Arial" w:cs="Arial" w:eastAsia="Arial" w:hAnsi="Arial"/>
                <w:sz w:val="13"/>
                <w:szCs w:val="13"/>
                <w:color w:val="auto"/>
                <w:w w:val="99"/>
              </w:rPr>
              <w:t>Fiscal Year End (December 31,</w:t>
            </w:r>
          </w:p>
        </w:tc>
        <w:tc>
          <w:tcPr>
            <w:tcW w:w="220" w:type="dxa"/>
            <w:vAlign w:val="bottom"/>
            <w:shd w:val="clear" w:color="auto" w:fill="E5E7EF"/>
          </w:tcPr>
          <w:p>
            <w:pPr>
              <w:spacing w:after="0"/>
              <w:rPr>
                <w:sz w:val="12"/>
                <w:szCs w:val="12"/>
                <w:color w:val="auto"/>
              </w:rPr>
            </w:pPr>
          </w:p>
        </w:tc>
        <w:tc>
          <w:tcPr>
            <w:tcW w:w="3260" w:type="dxa"/>
            <w:vAlign w:val="bottom"/>
            <w:shd w:val="clear" w:color="auto" w:fill="E5E7EF"/>
          </w:tcPr>
          <w:p>
            <w:pPr>
              <w:jc w:val="right"/>
              <w:ind w:right="295"/>
              <w:spacing w:after="0" w:line="148" w:lineRule="exact"/>
              <w:rPr>
                <w:sz w:val="20"/>
                <w:szCs w:val="20"/>
                <w:color w:val="auto"/>
              </w:rPr>
            </w:pPr>
            <w:r>
              <w:rPr>
                <w:rFonts w:ascii="Arial" w:cs="Arial" w:eastAsia="Arial" w:hAnsi="Arial"/>
                <w:sz w:val="13"/>
                <w:szCs w:val="13"/>
                <w:color w:val="auto"/>
              </w:rPr>
              <w:t>NCAP Reported in “Summary</w:t>
            </w:r>
          </w:p>
        </w:tc>
        <w:tc>
          <w:tcPr>
            <w:tcW w:w="2100" w:type="dxa"/>
            <w:vAlign w:val="bottom"/>
            <w:gridSpan w:val="2"/>
            <w:shd w:val="clear" w:color="auto" w:fill="E5E7EF"/>
          </w:tcPr>
          <w:p>
            <w:pPr>
              <w:jc w:val="right"/>
              <w:spacing w:after="0" w:line="148" w:lineRule="exact"/>
              <w:rPr>
                <w:sz w:val="20"/>
                <w:szCs w:val="20"/>
                <w:color w:val="auto"/>
              </w:rPr>
            </w:pPr>
            <w:r>
              <w:rPr>
                <w:rFonts w:ascii="Arial" w:cs="Arial" w:eastAsia="Arial" w:hAnsi="Arial"/>
                <w:sz w:val="13"/>
                <w:szCs w:val="13"/>
                <w:color w:val="auto"/>
              </w:rPr>
              <w:t>Compensation Table” for Prior</w:t>
            </w:r>
          </w:p>
        </w:tc>
      </w:tr>
      <w:tr>
        <w:trPr>
          <w:trHeight w:val="149"/>
        </w:trPr>
        <w:tc>
          <w:tcPr>
            <w:tcW w:w="3820" w:type="dxa"/>
            <w:vAlign w:val="bottom"/>
            <w:shd w:val="clear" w:color="auto" w:fill="E5E7EF"/>
          </w:tcPr>
          <w:p>
            <w:pPr>
              <w:spacing w:after="0"/>
              <w:rPr>
                <w:sz w:val="12"/>
                <w:szCs w:val="12"/>
                <w:color w:val="auto"/>
              </w:rPr>
            </w:pPr>
          </w:p>
        </w:tc>
        <w:tc>
          <w:tcPr>
            <w:tcW w:w="1840" w:type="dxa"/>
            <w:vAlign w:val="bottom"/>
            <w:shd w:val="clear" w:color="auto" w:fill="E5E7EF"/>
          </w:tcPr>
          <w:p>
            <w:pPr>
              <w:jc w:val="right"/>
              <w:spacing w:after="0"/>
              <w:rPr>
                <w:sz w:val="20"/>
                <w:szCs w:val="20"/>
                <w:color w:val="auto"/>
              </w:rPr>
            </w:pPr>
            <w:r>
              <w:rPr>
                <w:rFonts w:ascii="Arial" w:cs="Arial" w:eastAsia="Arial" w:hAnsi="Arial"/>
                <w:sz w:val="13"/>
                <w:szCs w:val="13"/>
                <w:color w:val="auto"/>
              </w:rPr>
              <w:t>2021)</w:t>
            </w:r>
          </w:p>
        </w:tc>
        <w:tc>
          <w:tcPr>
            <w:tcW w:w="220" w:type="dxa"/>
            <w:vAlign w:val="bottom"/>
            <w:shd w:val="clear" w:color="auto" w:fill="E5E7EF"/>
          </w:tcPr>
          <w:p>
            <w:pPr>
              <w:spacing w:after="0"/>
              <w:rPr>
                <w:sz w:val="12"/>
                <w:szCs w:val="12"/>
                <w:color w:val="auto"/>
              </w:rPr>
            </w:pPr>
          </w:p>
        </w:tc>
        <w:tc>
          <w:tcPr>
            <w:tcW w:w="3260" w:type="dxa"/>
            <w:vAlign w:val="bottom"/>
            <w:shd w:val="clear" w:color="auto" w:fill="E5E7EF"/>
          </w:tcPr>
          <w:p>
            <w:pPr>
              <w:jc w:val="right"/>
              <w:ind w:right="295"/>
              <w:spacing w:after="0"/>
              <w:rPr>
                <w:sz w:val="20"/>
                <w:szCs w:val="20"/>
                <w:color w:val="auto"/>
              </w:rPr>
            </w:pPr>
            <w:r>
              <w:rPr>
                <w:rFonts w:ascii="Arial" w:cs="Arial" w:eastAsia="Arial" w:hAnsi="Arial"/>
                <w:sz w:val="13"/>
                <w:szCs w:val="13"/>
                <w:color w:val="auto"/>
              </w:rPr>
              <w:t>Compensation Table” for 2021</w:t>
            </w:r>
          </w:p>
        </w:tc>
        <w:tc>
          <w:tcPr>
            <w:tcW w:w="2100" w:type="dxa"/>
            <w:vAlign w:val="bottom"/>
            <w:gridSpan w:val="2"/>
            <w:shd w:val="clear" w:color="auto" w:fill="E5E7EF"/>
          </w:tcPr>
          <w:p>
            <w:pPr>
              <w:jc w:val="right"/>
              <w:spacing w:after="0"/>
              <w:rPr>
                <w:sz w:val="20"/>
                <w:szCs w:val="20"/>
                <w:color w:val="auto"/>
              </w:rPr>
            </w:pPr>
            <w:r>
              <w:rPr>
                <w:rFonts w:ascii="Arial" w:cs="Arial" w:eastAsia="Arial" w:hAnsi="Arial"/>
                <w:sz w:val="13"/>
                <w:szCs w:val="13"/>
                <w:color w:val="auto"/>
              </w:rPr>
              <w:t>Years (Beginning with 2006)</w:t>
            </w:r>
          </w:p>
        </w:tc>
      </w:tr>
      <w:tr>
        <w:trPr>
          <w:trHeight w:val="238"/>
        </w:trPr>
        <w:tc>
          <w:tcPr>
            <w:tcW w:w="382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Name</w:t>
            </w:r>
          </w:p>
        </w:tc>
        <w:tc>
          <w:tcPr>
            <w:tcW w:w="184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3480" w:type="dxa"/>
            <w:vAlign w:val="bottom"/>
            <w:tcBorders>
              <w:bottom w:val="single" w:sz="8" w:color="E5E7EF"/>
            </w:tcBorders>
            <w:gridSpan w:val="2"/>
            <w:shd w:val="clear" w:color="auto" w:fill="E5E7EF"/>
          </w:tcPr>
          <w:p>
            <w:pPr>
              <w:jc w:val="right"/>
              <w:ind w:right="295"/>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E5E7EF"/>
            </w:tcBorders>
            <w:shd w:val="clear" w:color="auto" w:fill="E5E7EF"/>
          </w:tcPr>
          <w:p>
            <w:pPr>
              <w:spacing w:after="0"/>
              <w:rPr>
                <w:sz w:val="20"/>
                <w:szCs w:val="20"/>
                <w:color w:val="auto"/>
              </w:rPr>
            </w:pPr>
          </w:p>
        </w:tc>
        <w:tc>
          <w:tcPr>
            <w:tcW w:w="94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3820" w:type="dxa"/>
            <w:vAlign w:val="bottom"/>
            <w:tcBorders>
              <w:top w:val="single" w:sz="8" w:color="002E6D"/>
              <w:bottom w:val="single" w:sz="8" w:color="939598"/>
            </w:tcBorders>
          </w:tcPr>
          <w:p>
            <w:pPr>
              <w:ind w:left="20"/>
              <w:spacing w:after="0"/>
              <w:rPr>
                <w:sz w:val="20"/>
                <w:szCs w:val="20"/>
                <w:color w:val="auto"/>
              </w:rPr>
            </w:pPr>
            <w:r>
              <w:rPr>
                <w:rFonts w:ascii="Arial" w:cs="Arial" w:eastAsia="Arial" w:hAnsi="Arial"/>
                <w:sz w:val="14"/>
                <w:szCs w:val="14"/>
                <w:b w:val="1"/>
                <w:bCs w:val="1"/>
                <w:color w:val="002E6D"/>
              </w:rPr>
              <w:t>Mr. Taiclet</w:t>
            </w:r>
          </w:p>
        </w:tc>
        <w:tc>
          <w:tcPr>
            <w:tcW w:w="1840" w:type="dxa"/>
            <w:vAlign w:val="bottom"/>
            <w:tcBorders>
              <w:top w:val="single" w:sz="8" w:color="002E6D"/>
              <w:bottom w:val="single" w:sz="8" w:color="939598"/>
            </w:tcBorders>
          </w:tcPr>
          <w:p>
            <w:pPr>
              <w:jc w:val="right"/>
              <w:spacing w:after="0"/>
              <w:rPr>
                <w:sz w:val="20"/>
                <w:szCs w:val="20"/>
                <w:color w:val="auto"/>
              </w:rPr>
            </w:pPr>
            <w:r>
              <w:rPr>
                <w:rFonts w:ascii="Arial" w:cs="Arial" w:eastAsia="Arial" w:hAnsi="Arial"/>
                <w:sz w:val="14"/>
                <w:szCs w:val="14"/>
                <w:color w:val="auto"/>
              </w:rPr>
              <w:t>617,346</w:t>
            </w:r>
          </w:p>
        </w:tc>
        <w:tc>
          <w:tcPr>
            <w:tcW w:w="3480" w:type="dxa"/>
            <w:vAlign w:val="bottom"/>
            <w:tcBorders>
              <w:top w:val="single" w:sz="8" w:color="002E6D"/>
              <w:bottom w:val="single" w:sz="8" w:color="939598"/>
            </w:tcBorders>
            <w:gridSpan w:val="2"/>
          </w:tcPr>
          <w:p>
            <w:pPr>
              <w:jc w:val="right"/>
              <w:ind w:right="355"/>
              <w:spacing w:after="0"/>
              <w:rPr>
                <w:sz w:val="20"/>
                <w:szCs w:val="20"/>
                <w:color w:val="auto"/>
              </w:rPr>
            </w:pPr>
            <w:r>
              <w:rPr>
                <w:rFonts w:ascii="Arial" w:cs="Arial" w:eastAsia="Arial" w:hAnsi="Arial"/>
                <w:sz w:val="14"/>
                <w:szCs w:val="14"/>
                <w:color w:val="auto"/>
              </w:rPr>
              <w:t>554,151</w:t>
            </w:r>
          </w:p>
        </w:tc>
        <w:tc>
          <w:tcPr>
            <w:tcW w:w="1160" w:type="dxa"/>
            <w:vAlign w:val="bottom"/>
            <w:tcBorders>
              <w:top w:val="single" w:sz="8" w:color="002E6D"/>
              <w:bottom w:val="single" w:sz="8" w:color="939598"/>
            </w:tcBorders>
          </w:tcPr>
          <w:p>
            <w:pPr>
              <w:spacing w:after="0"/>
              <w:rPr>
                <w:sz w:val="15"/>
                <w:szCs w:val="15"/>
                <w:color w:val="auto"/>
              </w:rPr>
            </w:pPr>
          </w:p>
        </w:tc>
        <w:tc>
          <w:tcPr>
            <w:tcW w:w="940" w:type="dxa"/>
            <w:vAlign w:val="bottom"/>
            <w:tcBorders>
              <w:top w:val="single" w:sz="8" w:color="002E6D"/>
              <w:bottom w:val="single" w:sz="8" w:color="939598"/>
            </w:tcBorders>
          </w:tcPr>
          <w:p>
            <w:pPr>
              <w:jc w:val="right"/>
              <w:spacing w:after="0"/>
              <w:rPr>
                <w:sz w:val="20"/>
                <w:szCs w:val="20"/>
                <w:color w:val="auto"/>
              </w:rPr>
            </w:pPr>
            <w:r>
              <w:rPr>
                <w:rFonts w:ascii="Arial" w:cs="Arial" w:eastAsia="Arial" w:hAnsi="Arial"/>
                <w:sz w:val="14"/>
                <w:szCs w:val="14"/>
                <w:color w:val="auto"/>
              </w:rPr>
              <w:t>35,862</w:t>
            </w:r>
          </w:p>
        </w:tc>
      </w:tr>
      <w:tr>
        <w:trPr>
          <w:trHeight w:val="182"/>
        </w:trPr>
        <w:tc>
          <w:tcPr>
            <w:tcW w:w="38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2E6D"/>
              </w:rPr>
              <w:t>Mr. Mollard</w:t>
            </w:r>
          </w:p>
        </w:tc>
        <w:tc>
          <w:tcPr>
            <w:tcW w:w="18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10,038,543</w:t>
            </w:r>
          </w:p>
        </w:tc>
        <w:tc>
          <w:tcPr>
            <w:tcW w:w="3480" w:type="dxa"/>
            <w:vAlign w:val="bottom"/>
            <w:tcBorders>
              <w:bottom w:val="single" w:sz="8" w:color="939598"/>
            </w:tcBorders>
            <w:gridSpan w:val="2"/>
          </w:tcPr>
          <w:p>
            <w:pPr>
              <w:jc w:val="right"/>
              <w:ind w:right="355"/>
              <w:spacing w:after="0"/>
              <w:rPr>
                <w:sz w:val="20"/>
                <w:szCs w:val="20"/>
                <w:color w:val="auto"/>
              </w:rPr>
            </w:pPr>
            <w:r>
              <w:rPr>
                <w:rFonts w:ascii="Arial" w:cs="Arial" w:eastAsia="Arial" w:hAnsi="Arial"/>
                <w:sz w:val="14"/>
                <w:szCs w:val="14"/>
                <w:color w:val="auto"/>
              </w:rPr>
              <w:t>154,860</w:t>
            </w:r>
          </w:p>
        </w:tc>
        <w:tc>
          <w:tcPr>
            <w:tcW w:w="1160" w:type="dxa"/>
            <w:vAlign w:val="bottom"/>
            <w:tcBorders>
              <w:bottom w:val="single" w:sz="8" w:color="939598"/>
            </w:tcBorders>
          </w:tcPr>
          <w:p>
            <w:pPr>
              <w:spacing w:after="0"/>
              <w:rPr>
                <w:sz w:val="15"/>
                <w:szCs w:val="15"/>
                <w:color w:val="auto"/>
              </w:rPr>
            </w:pP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38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2E6D"/>
              </w:rPr>
              <w:t>Mr. Possenriede</w:t>
            </w:r>
          </w:p>
        </w:tc>
        <w:tc>
          <w:tcPr>
            <w:tcW w:w="18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11,132,528</w:t>
            </w:r>
          </w:p>
        </w:tc>
        <w:tc>
          <w:tcPr>
            <w:tcW w:w="3480" w:type="dxa"/>
            <w:vAlign w:val="bottom"/>
            <w:tcBorders>
              <w:bottom w:val="single" w:sz="8" w:color="939598"/>
            </w:tcBorders>
            <w:gridSpan w:val="2"/>
          </w:tcPr>
          <w:p>
            <w:pPr>
              <w:jc w:val="right"/>
              <w:ind w:right="355"/>
              <w:spacing w:after="0"/>
              <w:rPr>
                <w:sz w:val="20"/>
                <w:szCs w:val="20"/>
                <w:color w:val="auto"/>
              </w:rPr>
            </w:pPr>
            <w:r>
              <w:rPr>
                <w:rFonts w:ascii="Arial" w:cs="Arial" w:eastAsia="Arial" w:hAnsi="Arial"/>
                <w:sz w:val="14"/>
                <w:szCs w:val="14"/>
                <w:color w:val="auto"/>
              </w:rPr>
              <w:t>166,466</w:t>
            </w:r>
          </w:p>
        </w:tc>
        <w:tc>
          <w:tcPr>
            <w:tcW w:w="1160" w:type="dxa"/>
            <w:vAlign w:val="bottom"/>
            <w:tcBorders>
              <w:bottom w:val="single" w:sz="8" w:color="939598"/>
            </w:tcBorders>
          </w:tcPr>
          <w:p>
            <w:pPr>
              <w:spacing w:after="0"/>
              <w:rPr>
                <w:sz w:val="15"/>
                <w:szCs w:val="15"/>
                <w:color w:val="auto"/>
              </w:rPr>
            </w:pP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2,290,770</w:t>
            </w:r>
          </w:p>
        </w:tc>
      </w:tr>
      <w:tr>
        <w:trPr>
          <w:trHeight w:val="182"/>
        </w:trPr>
        <w:tc>
          <w:tcPr>
            <w:tcW w:w="38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2E6D"/>
              </w:rPr>
              <w:t>Mr. St. John</w:t>
            </w:r>
          </w:p>
        </w:tc>
        <w:tc>
          <w:tcPr>
            <w:tcW w:w="18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8,297,734</w:t>
            </w:r>
          </w:p>
        </w:tc>
        <w:tc>
          <w:tcPr>
            <w:tcW w:w="3480" w:type="dxa"/>
            <w:vAlign w:val="bottom"/>
            <w:tcBorders>
              <w:bottom w:val="single" w:sz="8" w:color="939598"/>
            </w:tcBorders>
            <w:gridSpan w:val="2"/>
          </w:tcPr>
          <w:p>
            <w:pPr>
              <w:jc w:val="right"/>
              <w:ind w:right="355"/>
              <w:spacing w:after="0"/>
              <w:rPr>
                <w:sz w:val="20"/>
                <w:szCs w:val="20"/>
                <w:color w:val="auto"/>
              </w:rPr>
            </w:pPr>
            <w:r>
              <w:rPr>
                <w:rFonts w:ascii="Arial" w:cs="Arial" w:eastAsia="Arial" w:hAnsi="Arial"/>
                <w:sz w:val="14"/>
                <w:szCs w:val="14"/>
                <w:color w:val="auto"/>
              </w:rPr>
              <w:t>302,138</w:t>
            </w:r>
          </w:p>
        </w:tc>
        <w:tc>
          <w:tcPr>
            <w:tcW w:w="1160" w:type="dxa"/>
            <w:vAlign w:val="bottom"/>
            <w:tcBorders>
              <w:bottom w:val="single" w:sz="8" w:color="939598"/>
            </w:tcBorders>
          </w:tcPr>
          <w:p>
            <w:pPr>
              <w:spacing w:after="0"/>
              <w:rPr>
                <w:sz w:val="15"/>
                <w:szCs w:val="15"/>
                <w:color w:val="auto"/>
              </w:rPr>
            </w:pP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1,719,847</w:t>
            </w:r>
          </w:p>
        </w:tc>
      </w:tr>
      <w:tr>
        <w:trPr>
          <w:trHeight w:val="182"/>
        </w:trPr>
        <w:tc>
          <w:tcPr>
            <w:tcW w:w="38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2E6D"/>
              </w:rPr>
              <w:t>Mr. Ambrose</w:t>
            </w:r>
          </w:p>
        </w:tc>
        <w:tc>
          <w:tcPr>
            <w:tcW w:w="18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10,536,245</w:t>
            </w:r>
          </w:p>
        </w:tc>
        <w:tc>
          <w:tcPr>
            <w:tcW w:w="3480" w:type="dxa"/>
            <w:vAlign w:val="bottom"/>
            <w:tcBorders>
              <w:bottom w:val="single" w:sz="8" w:color="939598"/>
            </w:tcBorders>
            <w:gridSpan w:val="2"/>
          </w:tcPr>
          <w:p>
            <w:pPr>
              <w:jc w:val="right"/>
              <w:ind w:right="355"/>
              <w:spacing w:after="0"/>
              <w:rPr>
                <w:sz w:val="20"/>
                <w:szCs w:val="20"/>
                <w:color w:val="auto"/>
              </w:rPr>
            </w:pPr>
            <w:r>
              <w:rPr>
                <w:rFonts w:ascii="Arial" w:cs="Arial" w:eastAsia="Arial" w:hAnsi="Arial"/>
                <w:sz w:val="14"/>
                <w:szCs w:val="14"/>
                <w:color w:val="auto"/>
              </w:rPr>
              <w:t>235,336</w:t>
            </w:r>
          </w:p>
        </w:tc>
        <w:tc>
          <w:tcPr>
            <w:tcW w:w="1160" w:type="dxa"/>
            <w:vAlign w:val="bottom"/>
            <w:tcBorders>
              <w:bottom w:val="single" w:sz="8" w:color="939598"/>
            </w:tcBorders>
          </w:tcPr>
          <w:p>
            <w:pPr>
              <w:spacing w:after="0"/>
              <w:rPr>
                <w:sz w:val="15"/>
                <w:szCs w:val="15"/>
                <w:color w:val="auto"/>
              </w:rPr>
            </w:pP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575,394</w:t>
            </w:r>
          </w:p>
        </w:tc>
      </w:tr>
      <w:tr>
        <w:trPr>
          <w:trHeight w:val="182"/>
        </w:trPr>
        <w:tc>
          <w:tcPr>
            <w:tcW w:w="38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2E6D"/>
              </w:rPr>
              <w:t>Ms. Hill</w:t>
            </w:r>
          </w:p>
        </w:tc>
        <w:tc>
          <w:tcPr>
            <w:tcW w:w="18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3,758,274</w:t>
            </w:r>
          </w:p>
        </w:tc>
        <w:tc>
          <w:tcPr>
            <w:tcW w:w="3480" w:type="dxa"/>
            <w:vAlign w:val="bottom"/>
            <w:tcBorders>
              <w:bottom w:val="single" w:sz="8" w:color="939598"/>
            </w:tcBorders>
            <w:gridSpan w:val="2"/>
          </w:tcPr>
          <w:p>
            <w:pPr>
              <w:jc w:val="right"/>
              <w:ind w:right="355"/>
              <w:spacing w:after="0"/>
              <w:rPr>
                <w:sz w:val="20"/>
                <w:szCs w:val="20"/>
                <w:color w:val="auto"/>
              </w:rPr>
            </w:pPr>
            <w:r>
              <w:rPr>
                <w:rFonts w:ascii="Arial" w:cs="Arial" w:eastAsia="Arial" w:hAnsi="Arial"/>
                <w:sz w:val="14"/>
                <w:szCs w:val="14"/>
                <w:color w:val="auto"/>
              </w:rPr>
              <w:t>42,849</w:t>
            </w:r>
          </w:p>
        </w:tc>
        <w:tc>
          <w:tcPr>
            <w:tcW w:w="1160" w:type="dxa"/>
            <w:vAlign w:val="bottom"/>
            <w:tcBorders>
              <w:bottom w:val="single" w:sz="8" w:color="939598"/>
            </w:tcBorders>
          </w:tcPr>
          <w:p>
            <w:pPr>
              <w:spacing w:after="0"/>
              <w:rPr>
                <w:sz w:val="15"/>
                <w:szCs w:val="15"/>
                <w:color w:val="auto"/>
              </w:rPr>
            </w:pP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382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2E6D"/>
              </w:rPr>
              <w:t>Ms. Hewson</w:t>
            </w:r>
          </w:p>
        </w:tc>
        <w:tc>
          <w:tcPr>
            <w:tcW w:w="18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71,173,167</w:t>
            </w:r>
          </w:p>
        </w:tc>
        <w:tc>
          <w:tcPr>
            <w:tcW w:w="3480" w:type="dxa"/>
            <w:vAlign w:val="bottom"/>
            <w:tcBorders>
              <w:bottom w:val="single" w:sz="8" w:color="939598"/>
            </w:tcBorders>
            <w:gridSpan w:val="2"/>
          </w:tcPr>
          <w:p>
            <w:pPr>
              <w:jc w:val="right"/>
              <w:ind w:right="355"/>
              <w:spacing w:after="0"/>
              <w:rPr>
                <w:sz w:val="20"/>
                <w:szCs w:val="20"/>
                <w:color w:val="auto"/>
              </w:rPr>
            </w:pPr>
            <w:r>
              <w:rPr>
                <w:rFonts w:ascii="Arial" w:cs="Arial" w:eastAsia="Arial" w:hAnsi="Arial"/>
                <w:sz w:val="14"/>
                <w:szCs w:val="14"/>
                <w:color w:val="auto"/>
              </w:rPr>
              <w:t>289,489</w:t>
            </w:r>
          </w:p>
        </w:tc>
        <w:tc>
          <w:tcPr>
            <w:tcW w:w="1160" w:type="dxa"/>
            <w:vAlign w:val="bottom"/>
            <w:tcBorders>
              <w:bottom w:val="single" w:sz="8" w:color="939598"/>
            </w:tcBorders>
          </w:tcPr>
          <w:p>
            <w:pPr>
              <w:spacing w:after="0"/>
              <w:rPr>
                <w:sz w:val="15"/>
                <w:szCs w:val="15"/>
                <w:color w:val="auto"/>
              </w:rPr>
            </w:pP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23,522,891</w:t>
            </w:r>
          </w:p>
        </w:tc>
      </w:tr>
      <w:tr>
        <w:trPr>
          <w:trHeight w:val="951"/>
        </w:trPr>
        <w:tc>
          <w:tcPr>
            <w:tcW w:w="3820" w:type="dxa"/>
            <w:vAlign w:val="bottom"/>
          </w:tcPr>
          <w:p>
            <w:pPr>
              <w:ind w:left="20"/>
              <w:spacing w:after="0"/>
              <w:rPr>
                <w:sz w:val="20"/>
                <w:szCs w:val="20"/>
                <w:color w:val="auto"/>
              </w:rPr>
            </w:pPr>
            <w:r>
              <w:rPr>
                <w:rFonts w:ascii="Arial" w:cs="Arial" w:eastAsia="Arial" w:hAnsi="Arial"/>
                <w:sz w:val="15"/>
                <w:szCs w:val="15"/>
                <w:color w:val="003478"/>
              </w:rPr>
              <w:t>www.lockheedmartin.com</w:t>
            </w:r>
          </w:p>
        </w:tc>
        <w:tc>
          <w:tcPr>
            <w:tcW w:w="1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20" w:type="dxa"/>
            <w:vAlign w:val="bottom"/>
            <w:gridSpan w:val="2"/>
          </w:tcPr>
          <w:p>
            <w:pPr>
              <w:ind w:left="2740"/>
              <w:spacing w:after="0"/>
              <w:rPr>
                <w:sz w:val="20"/>
                <w:szCs w:val="20"/>
                <w:color w:val="auto"/>
              </w:rPr>
            </w:pPr>
            <w:r>
              <w:rPr>
                <w:rFonts w:ascii="Arial" w:cs="Arial" w:eastAsia="Arial" w:hAnsi="Arial"/>
                <w:sz w:val="15"/>
                <w:szCs w:val="15"/>
                <w:color w:val="003478"/>
              </w:rPr>
              <w:t>2022 Proxy Statement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808080"/>
              </w:rPr>
              <w:t>64</w:t>
            </w:r>
          </w:p>
        </w:tc>
      </w:tr>
    </w:tbl>
    <w:p>
      <w:pPr>
        <w:sectPr>
          <w:pgSz w:w="11900" w:h="16838" w:orient="portrait"/>
          <w:cols w:equalWidth="0" w:num="1">
            <w:col w:w="11240"/>
          </w:cols>
          <w:pgMar w:left="320" w:top="254" w:right="339" w:bottom="1440" w:gutter="0" w:footer="0" w:header="0"/>
        </w:sectPr>
      </w:pPr>
    </w:p>
    <w:bookmarkStart w:id="70" w:name="page71"/>
    <w:bookmarkEnd w:id="70"/>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9"/>
          <w:szCs w:val="29"/>
          <w:color w:val="003478"/>
        </w:rPr>
        <w:t>Potential Payments Upon Termination or Change in Control</w:t>
      </w:r>
    </w:p>
    <w:p>
      <w:pPr>
        <w:spacing w:after="0" w:line="121" w:lineRule="exact"/>
        <w:rPr>
          <w:sz w:val="20"/>
          <w:szCs w:val="20"/>
          <w:color w:val="auto"/>
        </w:rPr>
      </w:pPr>
    </w:p>
    <w:p>
      <w:pPr>
        <w:ind w:right="420"/>
        <w:spacing w:after="0" w:line="274" w:lineRule="auto"/>
        <w:rPr>
          <w:sz w:val="20"/>
          <w:szCs w:val="20"/>
          <w:color w:val="auto"/>
        </w:rPr>
      </w:pPr>
      <w:r>
        <w:rPr>
          <w:rFonts w:ascii="Arial" w:cs="Arial" w:eastAsia="Arial" w:hAnsi="Arial"/>
          <w:sz w:val="17"/>
          <w:szCs w:val="17"/>
          <w:color w:val="auto"/>
        </w:rPr>
        <w:t>The chart below summarizes the benefits that become payable to a NEO at, following, or in connection with retirement, change in control, death, disability, layoff, divestiture, termination or resignation under the terms of our benefit plans.</w:t>
      </w:r>
    </w:p>
    <w:p>
      <w:pPr>
        <w:spacing w:after="0" w:line="9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1040" w:type="dxa"/>
            <w:vAlign w:val="bottom"/>
            <w:tcBorders>
              <w:top w:val="single" w:sz="8" w:color="012E6C"/>
              <w:left w:val="single" w:sz="8" w:color="012E6C"/>
              <w:bottom w:val="single" w:sz="8" w:color="012E6C"/>
              <w:right w:val="single" w:sz="8" w:color="012E6C"/>
            </w:tcBorders>
          </w:tcPr>
          <w:p>
            <w:pPr>
              <w:spacing w:after="0"/>
              <w:rPr>
                <w:sz w:val="18"/>
                <w:szCs w:val="18"/>
                <w:color w:val="auto"/>
              </w:rPr>
            </w:pPr>
          </w:p>
        </w:tc>
        <w:tc>
          <w:tcPr>
            <w:tcW w:w="1940" w:type="dxa"/>
            <w:vAlign w:val="bottom"/>
            <w:tcBorders>
              <w:top w:val="single" w:sz="8" w:color="012E6C"/>
              <w:bottom w:val="single" w:sz="8" w:color="012E6C"/>
              <w:right w:val="single" w:sz="8" w:color="012E6C"/>
            </w:tcBorders>
          </w:tcPr>
          <w:p>
            <w:pPr>
              <w:ind w:left="640"/>
              <w:spacing w:after="0"/>
              <w:rPr>
                <w:sz w:val="20"/>
                <w:szCs w:val="20"/>
                <w:color w:val="auto"/>
              </w:rPr>
            </w:pPr>
            <w:r>
              <w:rPr>
                <w:rFonts w:ascii="Arial" w:cs="Arial" w:eastAsia="Arial" w:hAnsi="Arial"/>
                <w:sz w:val="13"/>
                <w:szCs w:val="13"/>
                <w:b w:val="1"/>
                <w:bCs w:val="1"/>
                <w:color w:val="auto"/>
              </w:rPr>
              <w:t>Retirement</w:t>
            </w:r>
          </w:p>
        </w:tc>
        <w:tc>
          <w:tcPr>
            <w:tcW w:w="1940" w:type="dxa"/>
            <w:vAlign w:val="bottom"/>
            <w:tcBorders>
              <w:top w:val="single" w:sz="8" w:color="012E6C"/>
              <w:bottom w:val="single" w:sz="8" w:color="012E6C"/>
              <w:right w:val="single" w:sz="8" w:color="012E6C"/>
            </w:tcBorders>
          </w:tcPr>
          <w:p>
            <w:pPr>
              <w:ind w:left="420"/>
              <w:spacing w:after="0"/>
              <w:rPr>
                <w:sz w:val="20"/>
                <w:szCs w:val="20"/>
                <w:color w:val="auto"/>
              </w:rPr>
            </w:pPr>
            <w:r>
              <w:rPr>
                <w:rFonts w:ascii="Arial" w:cs="Arial" w:eastAsia="Arial" w:hAnsi="Arial"/>
                <w:sz w:val="13"/>
                <w:szCs w:val="13"/>
                <w:b w:val="1"/>
                <w:bCs w:val="1"/>
                <w:color w:val="auto"/>
              </w:rPr>
              <w:t>Change in Control</w:t>
            </w:r>
          </w:p>
        </w:tc>
        <w:tc>
          <w:tcPr>
            <w:tcW w:w="2220" w:type="dxa"/>
            <w:vAlign w:val="bottom"/>
            <w:tcBorders>
              <w:top w:val="single" w:sz="8" w:color="012E6C"/>
              <w:bottom w:val="single" w:sz="8" w:color="012E6C"/>
              <w:right w:val="single" w:sz="8" w:color="012E6C"/>
            </w:tcBorders>
          </w:tcPr>
          <w:p>
            <w:pPr>
              <w:ind w:left="420"/>
              <w:spacing w:after="0"/>
              <w:rPr>
                <w:sz w:val="20"/>
                <w:szCs w:val="20"/>
                <w:color w:val="auto"/>
              </w:rPr>
            </w:pPr>
            <w:r>
              <w:rPr>
                <w:rFonts w:ascii="Arial" w:cs="Arial" w:eastAsia="Arial" w:hAnsi="Arial"/>
                <w:sz w:val="13"/>
                <w:szCs w:val="13"/>
                <w:b w:val="1"/>
                <w:bCs w:val="1"/>
                <w:color w:val="auto"/>
              </w:rPr>
              <w:t>Death/Disability/Layoff</w:t>
            </w:r>
          </w:p>
        </w:tc>
        <w:tc>
          <w:tcPr>
            <w:tcW w:w="100" w:type="dxa"/>
            <w:vAlign w:val="bottom"/>
            <w:tcBorders>
              <w:top w:val="single" w:sz="8" w:color="012E6C"/>
              <w:bottom w:val="single" w:sz="8" w:color="012E6C"/>
            </w:tcBorders>
          </w:tcPr>
          <w:p>
            <w:pPr>
              <w:spacing w:after="0"/>
              <w:rPr>
                <w:sz w:val="18"/>
                <w:szCs w:val="18"/>
                <w:color w:val="auto"/>
              </w:rPr>
            </w:pPr>
          </w:p>
        </w:tc>
        <w:tc>
          <w:tcPr>
            <w:tcW w:w="460" w:type="dxa"/>
            <w:vAlign w:val="bottom"/>
            <w:tcBorders>
              <w:top w:val="single" w:sz="8" w:color="012E6C"/>
              <w:bottom w:val="single" w:sz="8" w:color="012E6C"/>
            </w:tcBorders>
          </w:tcPr>
          <w:p>
            <w:pPr>
              <w:spacing w:after="0"/>
              <w:rPr>
                <w:sz w:val="18"/>
                <w:szCs w:val="18"/>
                <w:color w:val="auto"/>
              </w:rPr>
            </w:pPr>
          </w:p>
        </w:tc>
        <w:tc>
          <w:tcPr>
            <w:tcW w:w="1500" w:type="dxa"/>
            <w:vAlign w:val="bottom"/>
            <w:tcBorders>
              <w:top w:val="single" w:sz="8" w:color="012E6C"/>
              <w:bottom w:val="single" w:sz="8" w:color="012E6C"/>
              <w:right w:val="single" w:sz="8" w:color="012E6C"/>
            </w:tcBorders>
            <w:gridSpan w:val="3"/>
          </w:tcPr>
          <w:p>
            <w:pPr>
              <w:ind w:left="100"/>
              <w:spacing w:after="0"/>
              <w:rPr>
                <w:sz w:val="20"/>
                <w:szCs w:val="20"/>
                <w:color w:val="auto"/>
              </w:rPr>
            </w:pPr>
            <w:r>
              <w:rPr>
                <w:rFonts w:ascii="Arial" w:cs="Arial" w:eastAsia="Arial" w:hAnsi="Arial"/>
                <w:sz w:val="13"/>
                <w:szCs w:val="13"/>
                <w:b w:val="1"/>
                <w:bCs w:val="1"/>
                <w:color w:val="auto"/>
              </w:rPr>
              <w:t>Divestiture</w:t>
            </w:r>
            <w:r>
              <w:rPr>
                <w:rFonts w:ascii="Arial" w:cs="Arial" w:eastAsia="Arial" w:hAnsi="Arial"/>
                <w:sz w:val="16"/>
                <w:szCs w:val="16"/>
                <w:b w:val="1"/>
                <w:bCs w:val="1"/>
                <w:color w:val="auto"/>
                <w:vertAlign w:val="superscript"/>
              </w:rPr>
              <w:t>(1)</w:t>
            </w:r>
          </w:p>
        </w:tc>
        <w:tc>
          <w:tcPr>
            <w:tcW w:w="100" w:type="dxa"/>
            <w:vAlign w:val="bottom"/>
            <w:tcBorders>
              <w:top w:val="single" w:sz="8" w:color="012E6C"/>
              <w:bottom w:val="single" w:sz="8" w:color="012E6C"/>
            </w:tcBorders>
          </w:tcPr>
          <w:p>
            <w:pPr>
              <w:spacing w:after="0"/>
              <w:rPr>
                <w:sz w:val="18"/>
                <w:szCs w:val="18"/>
                <w:color w:val="auto"/>
              </w:rPr>
            </w:pPr>
          </w:p>
        </w:tc>
        <w:tc>
          <w:tcPr>
            <w:tcW w:w="1960" w:type="dxa"/>
            <w:vAlign w:val="bottom"/>
            <w:tcBorders>
              <w:top w:val="single" w:sz="8" w:color="012E6C"/>
              <w:bottom w:val="single" w:sz="8" w:color="012E6C"/>
              <w:right w:val="single" w:sz="8" w:color="012E6C"/>
            </w:tcBorders>
            <w:gridSpan w:val="7"/>
          </w:tcPr>
          <w:p>
            <w:pPr>
              <w:ind w:left="180"/>
              <w:spacing w:after="0"/>
              <w:rPr>
                <w:sz w:val="20"/>
                <w:szCs w:val="20"/>
                <w:color w:val="auto"/>
              </w:rPr>
            </w:pPr>
            <w:r>
              <w:rPr>
                <w:rFonts w:ascii="Arial" w:cs="Arial" w:eastAsia="Arial" w:hAnsi="Arial"/>
                <w:sz w:val="13"/>
                <w:szCs w:val="13"/>
                <w:b w:val="1"/>
                <w:bCs w:val="1"/>
                <w:color w:val="auto"/>
              </w:rPr>
              <w:t>Termination/Resignation</w:t>
            </w:r>
          </w:p>
        </w:tc>
        <w:tc>
          <w:tcPr>
            <w:tcW w:w="0" w:type="dxa"/>
            <w:vAlign w:val="bottom"/>
          </w:tcPr>
          <w:p>
            <w:pPr>
              <w:spacing w:after="0"/>
              <w:rPr>
                <w:sz w:val="1"/>
                <w:szCs w:val="1"/>
                <w:color w:val="auto"/>
              </w:rPr>
            </w:pPr>
          </w:p>
        </w:tc>
      </w:tr>
      <w:tr>
        <w:trPr>
          <w:trHeight w:val="250"/>
        </w:trPr>
        <w:tc>
          <w:tcPr>
            <w:tcW w:w="1040" w:type="dxa"/>
            <w:vAlign w:val="bottom"/>
            <w:tcBorders>
              <w:left w:val="single" w:sz="8" w:color="012E6C"/>
              <w:right w:val="single" w:sz="8" w:color="012E6C"/>
            </w:tcBorders>
          </w:tcPr>
          <w:p>
            <w:pPr>
              <w:spacing w:after="0"/>
              <w:rPr>
                <w:sz w:val="21"/>
                <w:szCs w:val="21"/>
                <w:color w:val="auto"/>
              </w:rPr>
            </w:pPr>
          </w:p>
        </w:tc>
        <w:tc>
          <w:tcPr>
            <w:tcW w:w="1940" w:type="dxa"/>
            <w:vAlign w:val="bottom"/>
            <w:tcBorders>
              <w:right w:val="single" w:sz="8" w:color="012E6C"/>
            </w:tcBorders>
          </w:tcPr>
          <w:p>
            <w:pPr>
              <w:spacing w:after="0"/>
              <w:rPr>
                <w:sz w:val="21"/>
                <w:szCs w:val="21"/>
                <w:color w:val="auto"/>
              </w:rPr>
            </w:pPr>
          </w:p>
        </w:tc>
        <w:tc>
          <w:tcPr>
            <w:tcW w:w="1940" w:type="dxa"/>
            <w:vAlign w:val="bottom"/>
            <w:tcBorders>
              <w:right w:val="single" w:sz="8" w:color="012E6C"/>
            </w:tcBorders>
          </w:tcPr>
          <w:p>
            <w:pPr>
              <w:spacing w:after="0"/>
              <w:rPr>
                <w:sz w:val="21"/>
                <w:szCs w:val="21"/>
                <w:color w:val="auto"/>
              </w:rPr>
            </w:pPr>
          </w:p>
        </w:tc>
        <w:tc>
          <w:tcPr>
            <w:tcW w:w="222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Payment may be prorated at</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Borders>
              <w:right w:val="single" w:sz="8" w:color="012E6C"/>
            </w:tcBorders>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right w:val="single" w:sz="8" w:color="012E6C"/>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040" w:type="dxa"/>
            <w:vAlign w:val="bottom"/>
            <w:tcBorders>
              <w:left w:val="single" w:sz="8" w:color="012E6C"/>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2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target for death, disability or</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Borders>
              <w:right w:val="single" w:sz="8" w:color="012E6C"/>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040" w:type="dxa"/>
            <w:vAlign w:val="bottom"/>
            <w:tcBorders>
              <w:left w:val="single" w:sz="8" w:color="012E6C"/>
              <w:right w:val="single" w:sz="8" w:color="012E6C"/>
            </w:tcBorders>
          </w:tcPr>
          <w:p>
            <w:pPr>
              <w:spacing w:after="0"/>
              <w:rPr>
                <w:sz w:val="15"/>
                <w:szCs w:val="15"/>
                <w:color w:val="auto"/>
              </w:rPr>
            </w:pPr>
          </w:p>
        </w:tc>
        <w:tc>
          <w:tcPr>
            <w:tcW w:w="19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Payment (at age 55 and</w:t>
            </w:r>
          </w:p>
        </w:tc>
        <w:tc>
          <w:tcPr>
            <w:tcW w:w="1940" w:type="dxa"/>
            <w:vAlign w:val="bottom"/>
            <w:tcBorders>
              <w:right w:val="single" w:sz="8" w:color="012E6C"/>
            </w:tcBorders>
          </w:tcPr>
          <w:p>
            <w:pPr>
              <w:spacing w:after="0"/>
              <w:rPr>
                <w:sz w:val="15"/>
                <w:szCs w:val="15"/>
                <w:color w:val="auto"/>
              </w:rPr>
            </w:pPr>
          </w:p>
        </w:tc>
        <w:tc>
          <w:tcPr>
            <w:tcW w:w="222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layoff during the year with three</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Borders>
              <w:right w:val="single" w:sz="8" w:color="012E6C"/>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40" w:type="dxa"/>
            <w:vAlign w:val="bottom"/>
            <w:tcBorders>
              <w:left w:val="single" w:sz="8" w:color="012E6C"/>
              <w:right w:val="single" w:sz="8" w:color="012E6C"/>
            </w:tcBorders>
          </w:tcPr>
          <w:p>
            <w:pPr>
              <w:spacing w:after="0"/>
              <w:rPr>
                <w:sz w:val="15"/>
                <w:szCs w:val="15"/>
                <w:color w:val="auto"/>
              </w:rPr>
            </w:pPr>
          </w:p>
        </w:tc>
        <w:tc>
          <w:tcPr>
            <w:tcW w:w="19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five years of service or age</w:t>
            </w:r>
          </w:p>
        </w:tc>
        <w:tc>
          <w:tcPr>
            <w:tcW w:w="1940" w:type="dxa"/>
            <w:vAlign w:val="bottom"/>
            <w:tcBorders>
              <w:right w:val="single" w:sz="8" w:color="012E6C"/>
            </w:tcBorders>
          </w:tcPr>
          <w:p>
            <w:pPr>
              <w:spacing w:after="0"/>
              <w:rPr>
                <w:sz w:val="15"/>
                <w:szCs w:val="15"/>
                <w:color w:val="auto"/>
              </w:rPr>
            </w:pPr>
          </w:p>
        </w:tc>
        <w:tc>
          <w:tcPr>
            <w:tcW w:w="222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months (six months in the case</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Borders>
              <w:right w:val="single" w:sz="8" w:color="012E6C"/>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40" w:type="dxa"/>
            <w:vAlign w:val="bottom"/>
            <w:tcBorders>
              <w:left w:val="single" w:sz="8" w:color="012E6C"/>
              <w:right w:val="single" w:sz="8" w:color="012E6C"/>
            </w:tcBorders>
            <w:vMerge w:val="restart"/>
          </w:tcPr>
          <w:p>
            <w:pPr>
              <w:jc w:val="center"/>
              <w:spacing w:after="0"/>
              <w:rPr>
                <w:sz w:val="20"/>
                <w:szCs w:val="20"/>
                <w:color w:val="auto"/>
              </w:rPr>
            </w:pPr>
            <w:r>
              <w:rPr>
                <w:rFonts w:ascii="Arial" w:cs="Arial" w:eastAsia="Arial" w:hAnsi="Arial"/>
                <w:sz w:val="15"/>
                <w:szCs w:val="15"/>
                <w:b w:val="1"/>
                <w:bCs w:val="1"/>
                <w:color w:val="003478"/>
              </w:rPr>
              <w:t>Annual</w:t>
            </w:r>
          </w:p>
        </w:tc>
        <w:tc>
          <w:tcPr>
            <w:tcW w:w="19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65) may be prorated based</w:t>
            </w:r>
          </w:p>
        </w:tc>
        <w:tc>
          <w:tcPr>
            <w:tcW w:w="1940" w:type="dxa"/>
            <w:vAlign w:val="bottom"/>
            <w:tcBorders>
              <w:right w:val="single" w:sz="8" w:color="012E6C"/>
            </w:tcBorders>
          </w:tcPr>
          <w:p>
            <w:pPr>
              <w:spacing w:after="0"/>
              <w:rPr>
                <w:sz w:val="15"/>
                <w:szCs w:val="15"/>
                <w:color w:val="auto"/>
              </w:rPr>
            </w:pPr>
          </w:p>
        </w:tc>
        <w:tc>
          <w:tcPr>
            <w:tcW w:w="222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of layoff) of participation in the</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Borders>
              <w:right w:val="single" w:sz="8" w:color="012E6C"/>
            </w:tcBorders>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tcBorders>
              <w:right w:val="single" w:sz="8" w:color="012E6C"/>
            </w:tcBorders>
            <w:gridSpan w:val="7"/>
            <w:vMerge w:val="restart"/>
          </w:tcPr>
          <w:p>
            <w:pPr>
              <w:spacing w:after="0"/>
              <w:rPr>
                <w:sz w:val="20"/>
                <w:szCs w:val="20"/>
                <w:color w:val="auto"/>
              </w:rPr>
            </w:pPr>
            <w:r>
              <w:rPr>
                <w:rFonts w:ascii="Arial" w:cs="Arial" w:eastAsia="Arial" w:hAnsi="Arial"/>
                <w:sz w:val="14"/>
                <w:szCs w:val="14"/>
                <w:color w:val="auto"/>
              </w:rPr>
              <w:t>No payment will be made for</w:t>
            </w:r>
          </w:p>
        </w:tc>
        <w:tc>
          <w:tcPr>
            <w:tcW w:w="0" w:type="dxa"/>
            <w:vAlign w:val="bottom"/>
          </w:tcPr>
          <w:p>
            <w:pPr>
              <w:spacing w:after="0"/>
              <w:rPr>
                <w:sz w:val="1"/>
                <w:szCs w:val="1"/>
                <w:color w:val="auto"/>
              </w:rPr>
            </w:pPr>
          </w:p>
        </w:tc>
      </w:tr>
      <w:tr>
        <w:trPr>
          <w:trHeight w:val="95"/>
        </w:trPr>
        <w:tc>
          <w:tcPr>
            <w:tcW w:w="1040" w:type="dxa"/>
            <w:vAlign w:val="bottom"/>
            <w:tcBorders>
              <w:left w:val="single" w:sz="8" w:color="012E6C"/>
              <w:right w:val="single" w:sz="8" w:color="012E6C"/>
            </w:tcBorders>
            <w:vMerge w:val="continue"/>
          </w:tcPr>
          <w:p>
            <w:pPr>
              <w:spacing w:after="0"/>
              <w:rPr>
                <w:sz w:val="8"/>
                <w:szCs w:val="8"/>
                <w:color w:val="auto"/>
              </w:rPr>
            </w:pPr>
          </w:p>
        </w:tc>
        <w:tc>
          <w:tcPr>
            <w:tcW w:w="194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on year-end performance</w:t>
            </w:r>
          </w:p>
        </w:tc>
        <w:tc>
          <w:tcPr>
            <w:tcW w:w="1940" w:type="dxa"/>
            <w:vAlign w:val="bottom"/>
            <w:tcBorders>
              <w:right w:val="single" w:sz="8" w:color="012E6C"/>
            </w:tcBorders>
          </w:tcPr>
          <w:p>
            <w:pPr>
              <w:spacing w:after="0"/>
              <w:rPr>
                <w:sz w:val="8"/>
                <w:szCs w:val="8"/>
                <w:color w:val="auto"/>
              </w:rPr>
            </w:pPr>
          </w:p>
        </w:tc>
        <w:tc>
          <w:tcPr>
            <w:tcW w:w="222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year.</w:t>
            </w: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Borders>
              <w:right w:val="single" w:sz="8" w:color="012E6C"/>
            </w:tcBorders>
          </w:tcPr>
          <w:p>
            <w:pPr>
              <w:spacing w:after="0"/>
              <w:rPr>
                <w:sz w:val="8"/>
                <w:szCs w:val="8"/>
                <w:color w:val="auto"/>
              </w:rPr>
            </w:pPr>
          </w:p>
        </w:tc>
        <w:tc>
          <w:tcPr>
            <w:tcW w:w="100" w:type="dxa"/>
            <w:vAlign w:val="bottom"/>
          </w:tcPr>
          <w:p>
            <w:pPr>
              <w:spacing w:after="0"/>
              <w:rPr>
                <w:sz w:val="8"/>
                <w:szCs w:val="8"/>
                <w:color w:val="auto"/>
              </w:rPr>
            </w:pPr>
          </w:p>
        </w:tc>
        <w:tc>
          <w:tcPr>
            <w:tcW w:w="1960" w:type="dxa"/>
            <w:vAlign w:val="bottom"/>
            <w:tcBorders>
              <w:right w:val="single" w:sz="8" w:color="012E6C"/>
            </w:tcBorders>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040" w:type="dxa"/>
            <w:vAlign w:val="bottom"/>
            <w:tcBorders>
              <w:left w:val="single" w:sz="8" w:color="012E6C"/>
              <w:right w:val="single" w:sz="8" w:color="012E6C"/>
            </w:tcBorders>
            <w:vMerge w:val="restart"/>
          </w:tcPr>
          <w:p>
            <w:pPr>
              <w:jc w:val="center"/>
              <w:spacing w:after="0"/>
              <w:rPr>
                <w:sz w:val="20"/>
                <w:szCs w:val="20"/>
                <w:color w:val="auto"/>
              </w:rPr>
            </w:pPr>
            <w:r>
              <w:rPr>
                <w:rFonts w:ascii="Arial" w:cs="Arial" w:eastAsia="Arial" w:hAnsi="Arial"/>
                <w:sz w:val="15"/>
                <w:szCs w:val="15"/>
                <w:b w:val="1"/>
                <w:bCs w:val="1"/>
                <w:color w:val="003478"/>
              </w:rPr>
              <w:t>Incentive</w:t>
            </w:r>
          </w:p>
        </w:tc>
        <w:tc>
          <w:tcPr>
            <w:tcW w:w="1940" w:type="dxa"/>
            <w:vAlign w:val="bottom"/>
            <w:tcBorders>
              <w:right w:val="single" w:sz="8" w:color="012E6C"/>
            </w:tcBorders>
            <w:vMerge w:val="continue"/>
          </w:tcPr>
          <w:p>
            <w:pPr>
              <w:spacing w:after="0"/>
              <w:rPr>
                <w:sz w:val="9"/>
                <w:szCs w:val="9"/>
                <w:color w:val="auto"/>
              </w:rPr>
            </w:pPr>
          </w:p>
        </w:tc>
        <w:tc>
          <w:tcPr>
            <w:tcW w:w="194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No provision.</w:t>
            </w:r>
          </w:p>
        </w:tc>
        <w:tc>
          <w:tcPr>
            <w:tcW w:w="2220" w:type="dxa"/>
            <w:vAlign w:val="bottom"/>
            <w:tcBorders>
              <w:right w:val="single" w:sz="8" w:color="012E6C"/>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Borders>
              <w:right w:val="single" w:sz="8" w:color="012E6C"/>
            </w:tcBorders>
            <w:gridSpan w:val="4"/>
            <w:vMerge w:val="restart"/>
          </w:tcPr>
          <w:p>
            <w:pPr>
              <w:spacing w:after="0"/>
              <w:rPr>
                <w:sz w:val="20"/>
                <w:szCs w:val="20"/>
                <w:color w:val="auto"/>
              </w:rPr>
            </w:pPr>
            <w:r>
              <w:rPr>
                <w:rFonts w:ascii="Arial" w:cs="Arial" w:eastAsia="Arial" w:hAnsi="Arial"/>
                <w:sz w:val="14"/>
                <w:szCs w:val="14"/>
                <w:color w:val="auto"/>
              </w:rPr>
              <w:t>No provision.</w:t>
            </w:r>
          </w:p>
        </w:tc>
        <w:tc>
          <w:tcPr>
            <w:tcW w:w="100" w:type="dxa"/>
            <w:vAlign w:val="bottom"/>
          </w:tcPr>
          <w:p>
            <w:pPr>
              <w:spacing w:after="0"/>
              <w:rPr>
                <w:sz w:val="9"/>
                <w:szCs w:val="9"/>
                <w:color w:val="auto"/>
              </w:rPr>
            </w:pPr>
          </w:p>
        </w:tc>
        <w:tc>
          <w:tcPr>
            <w:tcW w:w="1960" w:type="dxa"/>
            <w:vAlign w:val="bottom"/>
            <w:tcBorders>
              <w:right w:val="single" w:sz="8" w:color="012E6C"/>
            </w:tcBorders>
            <w:gridSpan w:val="7"/>
            <w:vMerge w:val="restart"/>
          </w:tcPr>
          <w:p>
            <w:pPr>
              <w:spacing w:after="0"/>
              <w:rPr>
                <w:sz w:val="20"/>
                <w:szCs w:val="20"/>
                <w:color w:val="auto"/>
              </w:rPr>
            </w:pPr>
            <w:r>
              <w:rPr>
                <w:rFonts w:ascii="Arial" w:cs="Arial" w:eastAsia="Arial" w:hAnsi="Arial"/>
                <w:sz w:val="14"/>
                <w:szCs w:val="14"/>
                <w:color w:val="auto"/>
              </w:rPr>
              <w:t>termination/resignation</w:t>
            </w:r>
          </w:p>
        </w:tc>
        <w:tc>
          <w:tcPr>
            <w:tcW w:w="0" w:type="dxa"/>
            <w:vAlign w:val="bottom"/>
          </w:tcPr>
          <w:p>
            <w:pPr>
              <w:spacing w:after="0"/>
              <w:rPr>
                <w:sz w:val="1"/>
                <w:szCs w:val="1"/>
                <w:color w:val="auto"/>
              </w:rPr>
            </w:pPr>
          </w:p>
        </w:tc>
      </w:tr>
      <w:tr>
        <w:trPr>
          <w:trHeight w:val="84"/>
        </w:trPr>
        <w:tc>
          <w:tcPr>
            <w:tcW w:w="1040" w:type="dxa"/>
            <w:vAlign w:val="bottom"/>
            <w:tcBorders>
              <w:left w:val="single" w:sz="8" w:color="012E6C"/>
              <w:right w:val="single" w:sz="8" w:color="012E6C"/>
            </w:tcBorders>
            <w:vMerge w:val="continue"/>
          </w:tcPr>
          <w:p>
            <w:pPr>
              <w:spacing w:after="0"/>
              <w:rPr>
                <w:sz w:val="7"/>
                <w:szCs w:val="7"/>
                <w:color w:val="auto"/>
              </w:rPr>
            </w:pPr>
          </w:p>
        </w:tc>
        <w:tc>
          <w:tcPr>
            <w:tcW w:w="194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results for retirement</w:t>
            </w:r>
          </w:p>
        </w:tc>
        <w:tc>
          <w:tcPr>
            <w:tcW w:w="1940" w:type="dxa"/>
            <w:vAlign w:val="bottom"/>
            <w:tcBorders>
              <w:right w:val="single" w:sz="8" w:color="012E6C"/>
            </w:tcBorders>
            <w:vMerge w:val="continue"/>
          </w:tcPr>
          <w:p>
            <w:pPr>
              <w:spacing w:after="0"/>
              <w:rPr>
                <w:sz w:val="7"/>
                <w:szCs w:val="7"/>
                <w:color w:val="auto"/>
              </w:rPr>
            </w:pPr>
          </w:p>
        </w:tc>
        <w:tc>
          <w:tcPr>
            <w:tcW w:w="222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No payment if layoff occurs at</w:t>
            </w:r>
          </w:p>
        </w:tc>
        <w:tc>
          <w:tcPr>
            <w:tcW w:w="100" w:type="dxa"/>
            <w:vAlign w:val="bottom"/>
          </w:tcPr>
          <w:p>
            <w:pPr>
              <w:spacing w:after="0"/>
              <w:rPr>
                <w:sz w:val="7"/>
                <w:szCs w:val="7"/>
                <w:color w:val="auto"/>
              </w:rPr>
            </w:pPr>
          </w:p>
        </w:tc>
        <w:tc>
          <w:tcPr>
            <w:tcW w:w="1960" w:type="dxa"/>
            <w:vAlign w:val="bottom"/>
            <w:tcBorders>
              <w:right w:val="single" w:sz="8" w:color="012E6C"/>
            </w:tcBorders>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tcBorders>
              <w:right w:val="single" w:sz="8" w:color="012E6C"/>
            </w:tcBorders>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040" w:type="dxa"/>
            <w:vAlign w:val="bottom"/>
            <w:tcBorders>
              <w:left w:val="single" w:sz="8" w:color="012E6C"/>
              <w:right w:val="single" w:sz="8" w:color="012E6C"/>
            </w:tcBorders>
            <w:vMerge w:val="restart"/>
          </w:tcPr>
          <w:p>
            <w:pPr>
              <w:jc w:val="center"/>
              <w:spacing w:after="0" w:line="130" w:lineRule="exact"/>
              <w:rPr>
                <w:sz w:val="20"/>
                <w:szCs w:val="20"/>
                <w:color w:val="auto"/>
              </w:rPr>
            </w:pPr>
            <w:r>
              <w:rPr>
                <w:rFonts w:ascii="Arial" w:cs="Arial" w:eastAsia="Arial" w:hAnsi="Arial"/>
                <w:sz w:val="12"/>
                <w:szCs w:val="12"/>
                <w:b w:val="1"/>
                <w:bCs w:val="1"/>
                <w:color w:val="003478"/>
              </w:rPr>
              <w:t>Bonus</w:t>
            </w:r>
            <w:r>
              <w:rPr>
                <w:rFonts w:ascii="Arial" w:cs="Arial" w:eastAsia="Arial" w:hAnsi="Arial"/>
                <w:sz w:val="15"/>
                <w:szCs w:val="15"/>
                <w:b w:val="1"/>
                <w:bCs w:val="1"/>
                <w:color w:val="003478"/>
                <w:vertAlign w:val="superscript"/>
              </w:rPr>
              <w:t>(2)</w:t>
            </w:r>
          </w:p>
        </w:tc>
        <w:tc>
          <w:tcPr>
            <w:tcW w:w="1940" w:type="dxa"/>
            <w:vAlign w:val="bottom"/>
            <w:tcBorders>
              <w:right w:val="single" w:sz="8" w:color="012E6C"/>
            </w:tcBorders>
            <w:vMerge w:val="continue"/>
          </w:tcPr>
          <w:p>
            <w:pPr>
              <w:spacing w:after="0"/>
              <w:rPr>
                <w:sz w:val="7"/>
                <w:szCs w:val="7"/>
                <w:color w:val="auto"/>
              </w:rPr>
            </w:pPr>
          </w:p>
        </w:tc>
        <w:tc>
          <w:tcPr>
            <w:tcW w:w="1940" w:type="dxa"/>
            <w:vAlign w:val="bottom"/>
            <w:tcBorders>
              <w:right w:val="single" w:sz="8" w:color="012E6C"/>
            </w:tcBorders>
          </w:tcPr>
          <w:p>
            <w:pPr>
              <w:spacing w:after="0"/>
              <w:rPr>
                <w:sz w:val="7"/>
                <w:szCs w:val="7"/>
                <w:color w:val="auto"/>
              </w:rPr>
            </w:pPr>
          </w:p>
        </w:tc>
        <w:tc>
          <w:tcPr>
            <w:tcW w:w="2220" w:type="dxa"/>
            <w:vAlign w:val="bottom"/>
            <w:tcBorders>
              <w:right w:val="single" w:sz="8" w:color="012E6C"/>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Borders>
              <w:right w:val="single" w:sz="8" w:color="012E6C"/>
            </w:tcBorders>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tcBorders>
              <w:right w:val="single" w:sz="8" w:color="012E6C"/>
            </w:tcBorders>
            <w:gridSpan w:val="7"/>
            <w:vMerge w:val="restart"/>
          </w:tcPr>
          <w:p>
            <w:pPr>
              <w:spacing w:after="0" w:line="130" w:lineRule="exact"/>
              <w:rPr>
                <w:sz w:val="20"/>
                <w:szCs w:val="20"/>
                <w:color w:val="auto"/>
              </w:rPr>
            </w:pPr>
            <w:r>
              <w:rPr>
                <w:rFonts w:ascii="Arial" w:cs="Arial" w:eastAsia="Arial" w:hAnsi="Arial"/>
                <w:sz w:val="14"/>
                <w:szCs w:val="14"/>
                <w:color w:val="auto"/>
              </w:rPr>
              <w:t>during the year.</w:t>
            </w:r>
          </w:p>
        </w:tc>
        <w:tc>
          <w:tcPr>
            <w:tcW w:w="0" w:type="dxa"/>
            <w:vAlign w:val="bottom"/>
          </w:tcPr>
          <w:p>
            <w:pPr>
              <w:spacing w:after="0"/>
              <w:rPr>
                <w:sz w:val="1"/>
                <w:szCs w:val="1"/>
                <w:color w:val="auto"/>
              </w:rPr>
            </w:pPr>
          </w:p>
        </w:tc>
      </w:tr>
      <w:tr>
        <w:trPr>
          <w:trHeight w:val="39"/>
        </w:trPr>
        <w:tc>
          <w:tcPr>
            <w:tcW w:w="1040" w:type="dxa"/>
            <w:vAlign w:val="bottom"/>
            <w:tcBorders>
              <w:left w:val="single" w:sz="8" w:color="012E6C"/>
              <w:right w:val="single" w:sz="8" w:color="012E6C"/>
            </w:tcBorders>
            <w:vMerge w:val="continue"/>
          </w:tcPr>
          <w:p>
            <w:pPr>
              <w:spacing w:after="0"/>
              <w:rPr>
                <w:sz w:val="3"/>
                <w:szCs w:val="3"/>
                <w:color w:val="auto"/>
              </w:rPr>
            </w:pPr>
          </w:p>
        </w:tc>
        <w:tc>
          <w:tcPr>
            <w:tcW w:w="194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during the year with six</w:t>
            </w:r>
          </w:p>
        </w:tc>
        <w:tc>
          <w:tcPr>
            <w:tcW w:w="1940" w:type="dxa"/>
            <w:vAlign w:val="bottom"/>
            <w:tcBorders>
              <w:right w:val="single" w:sz="8" w:color="012E6C"/>
            </w:tcBorders>
          </w:tcPr>
          <w:p>
            <w:pPr>
              <w:spacing w:after="0"/>
              <w:rPr>
                <w:sz w:val="3"/>
                <w:szCs w:val="3"/>
                <w:color w:val="auto"/>
              </w:rPr>
            </w:pPr>
          </w:p>
        </w:tc>
        <w:tc>
          <w:tcPr>
            <w:tcW w:w="2220" w:type="dxa"/>
            <w:vAlign w:val="bottom"/>
            <w:tcBorders>
              <w:right w:val="single" w:sz="8" w:color="012E6C"/>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Borders>
              <w:right w:val="single" w:sz="8" w:color="012E6C"/>
            </w:tcBorders>
          </w:tcPr>
          <w:p>
            <w:pPr>
              <w:spacing w:after="0"/>
              <w:rPr>
                <w:sz w:val="3"/>
                <w:szCs w:val="3"/>
                <w:color w:val="auto"/>
              </w:rPr>
            </w:pPr>
          </w:p>
        </w:tc>
        <w:tc>
          <w:tcPr>
            <w:tcW w:w="100" w:type="dxa"/>
            <w:vAlign w:val="bottom"/>
          </w:tcPr>
          <w:p>
            <w:pPr>
              <w:spacing w:after="0"/>
              <w:rPr>
                <w:sz w:val="3"/>
                <w:szCs w:val="3"/>
                <w:color w:val="auto"/>
              </w:rPr>
            </w:pPr>
          </w:p>
        </w:tc>
        <w:tc>
          <w:tcPr>
            <w:tcW w:w="1960" w:type="dxa"/>
            <w:vAlign w:val="bottom"/>
            <w:tcBorders>
              <w:right w:val="single" w:sz="8" w:color="012E6C"/>
            </w:tcBorders>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9"/>
        </w:trPr>
        <w:tc>
          <w:tcPr>
            <w:tcW w:w="1040" w:type="dxa"/>
            <w:vAlign w:val="bottom"/>
            <w:tcBorders>
              <w:left w:val="single" w:sz="8" w:color="012E6C"/>
              <w:right w:val="single" w:sz="8" w:color="012E6C"/>
            </w:tcBorders>
          </w:tcPr>
          <w:p>
            <w:pPr>
              <w:spacing w:after="0"/>
              <w:rPr>
                <w:sz w:val="12"/>
                <w:szCs w:val="12"/>
                <w:color w:val="auto"/>
              </w:rPr>
            </w:pPr>
          </w:p>
        </w:tc>
        <w:tc>
          <w:tcPr>
            <w:tcW w:w="1940" w:type="dxa"/>
            <w:vAlign w:val="bottom"/>
            <w:tcBorders>
              <w:right w:val="single" w:sz="8" w:color="012E6C"/>
            </w:tcBorders>
            <w:vMerge w:val="continue"/>
          </w:tcPr>
          <w:p>
            <w:pPr>
              <w:spacing w:after="0"/>
              <w:rPr>
                <w:sz w:val="12"/>
                <w:szCs w:val="12"/>
                <w:color w:val="auto"/>
              </w:rPr>
            </w:pPr>
          </w:p>
        </w:tc>
        <w:tc>
          <w:tcPr>
            <w:tcW w:w="1940" w:type="dxa"/>
            <w:vAlign w:val="bottom"/>
            <w:tcBorders>
              <w:right w:val="single" w:sz="8" w:color="012E6C"/>
            </w:tcBorders>
          </w:tcPr>
          <w:p>
            <w:pPr>
              <w:spacing w:after="0"/>
              <w:rPr>
                <w:sz w:val="12"/>
                <w:szCs w:val="12"/>
                <w:color w:val="auto"/>
              </w:rPr>
            </w:pPr>
          </w:p>
        </w:tc>
        <w:tc>
          <w:tcPr>
            <w:tcW w:w="2220" w:type="dxa"/>
            <w:vAlign w:val="bottom"/>
            <w:tcBorders>
              <w:right w:val="single" w:sz="8" w:color="012E6C"/>
            </w:tcBorders>
          </w:tcPr>
          <w:p>
            <w:pPr>
              <w:ind w:left="100"/>
              <w:spacing w:after="0" w:line="139" w:lineRule="exact"/>
              <w:rPr>
                <w:sz w:val="20"/>
                <w:szCs w:val="20"/>
                <w:color w:val="auto"/>
              </w:rPr>
            </w:pPr>
            <w:r>
              <w:rPr>
                <w:rFonts w:ascii="Arial" w:cs="Arial" w:eastAsia="Arial" w:hAnsi="Arial"/>
                <w:sz w:val="14"/>
                <w:szCs w:val="14"/>
                <w:color w:val="auto"/>
              </w:rPr>
              <w:t>any time during the year,</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Borders>
              <w:right w:val="single" w:sz="8" w:color="012E6C"/>
            </w:tcBorders>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right w:val="single" w:sz="8" w:color="012E6C"/>
            </w:tcBorders>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040" w:type="dxa"/>
            <w:vAlign w:val="bottom"/>
            <w:tcBorders>
              <w:left w:val="single" w:sz="8" w:color="012E6C"/>
              <w:right w:val="single" w:sz="8" w:color="012E6C"/>
            </w:tcBorders>
          </w:tcPr>
          <w:p>
            <w:pPr>
              <w:spacing w:after="0"/>
              <w:rPr>
                <w:sz w:val="15"/>
                <w:szCs w:val="15"/>
                <w:color w:val="auto"/>
              </w:rPr>
            </w:pPr>
          </w:p>
        </w:tc>
        <w:tc>
          <w:tcPr>
            <w:tcW w:w="19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months of participation in</w:t>
            </w:r>
          </w:p>
        </w:tc>
        <w:tc>
          <w:tcPr>
            <w:tcW w:w="1940" w:type="dxa"/>
            <w:vAlign w:val="bottom"/>
            <w:tcBorders>
              <w:right w:val="single" w:sz="8" w:color="012E6C"/>
            </w:tcBorders>
          </w:tcPr>
          <w:p>
            <w:pPr>
              <w:spacing w:after="0"/>
              <w:rPr>
                <w:sz w:val="15"/>
                <w:szCs w:val="15"/>
                <w:color w:val="auto"/>
              </w:rPr>
            </w:pPr>
          </w:p>
        </w:tc>
        <w:tc>
          <w:tcPr>
            <w:tcW w:w="222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including on the last day of the</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Borders>
              <w:right w:val="single" w:sz="8" w:color="012E6C"/>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040" w:type="dxa"/>
            <w:vAlign w:val="bottom"/>
            <w:tcBorders>
              <w:left w:val="single" w:sz="8" w:color="012E6C"/>
              <w:right w:val="single" w:sz="8" w:color="012E6C"/>
            </w:tcBorders>
          </w:tcPr>
          <w:p>
            <w:pPr>
              <w:spacing w:after="0"/>
              <w:rPr>
                <w:sz w:val="17"/>
                <w:szCs w:val="17"/>
                <w:color w:val="auto"/>
              </w:rPr>
            </w:pPr>
          </w:p>
        </w:tc>
        <w:tc>
          <w:tcPr>
            <w:tcW w:w="194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the year.</w:t>
            </w:r>
          </w:p>
        </w:tc>
        <w:tc>
          <w:tcPr>
            <w:tcW w:w="1940" w:type="dxa"/>
            <w:vAlign w:val="bottom"/>
            <w:tcBorders>
              <w:right w:val="single" w:sz="8" w:color="012E6C"/>
            </w:tcBorders>
          </w:tcPr>
          <w:p>
            <w:pPr>
              <w:spacing w:after="0"/>
              <w:rPr>
                <w:sz w:val="17"/>
                <w:szCs w:val="17"/>
                <w:color w:val="auto"/>
              </w:rPr>
            </w:pPr>
          </w:p>
        </w:tc>
        <w:tc>
          <w:tcPr>
            <w:tcW w:w="222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year, and benefits are paid to</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Borders>
              <w:right w:val="single" w:sz="8" w:color="012E6C"/>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right w:val="single" w:sz="8" w:color="012E6C"/>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040" w:type="dxa"/>
            <w:vAlign w:val="bottom"/>
            <w:tcBorders>
              <w:left w:val="single" w:sz="8" w:color="012E6C"/>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2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the Executive under the</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Borders>
              <w:right w:val="single" w:sz="8" w:color="012E6C"/>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40" w:type="dxa"/>
            <w:vAlign w:val="bottom"/>
            <w:tcBorders>
              <w:left w:val="single" w:sz="8" w:color="012E6C"/>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2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Executive Severance Plan.</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Borders>
              <w:right w:val="single" w:sz="8" w:color="012E6C"/>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1040" w:type="dxa"/>
            <w:vAlign w:val="bottom"/>
            <w:tcBorders>
              <w:left w:val="single" w:sz="8" w:color="012E6C"/>
              <w:bottom w:val="single" w:sz="8" w:color="012E6C"/>
              <w:right w:val="single" w:sz="8" w:color="012E6C"/>
            </w:tcBorders>
          </w:tcPr>
          <w:p>
            <w:pPr>
              <w:spacing w:after="0"/>
              <w:rPr>
                <w:sz w:val="6"/>
                <w:szCs w:val="6"/>
                <w:color w:val="auto"/>
              </w:rPr>
            </w:pPr>
          </w:p>
        </w:tc>
        <w:tc>
          <w:tcPr>
            <w:tcW w:w="1940" w:type="dxa"/>
            <w:vAlign w:val="bottom"/>
            <w:tcBorders>
              <w:bottom w:val="single" w:sz="8" w:color="012E6C"/>
              <w:right w:val="single" w:sz="8" w:color="012E6C"/>
            </w:tcBorders>
          </w:tcPr>
          <w:p>
            <w:pPr>
              <w:spacing w:after="0"/>
              <w:rPr>
                <w:sz w:val="6"/>
                <w:szCs w:val="6"/>
                <w:color w:val="auto"/>
              </w:rPr>
            </w:pPr>
          </w:p>
        </w:tc>
        <w:tc>
          <w:tcPr>
            <w:tcW w:w="1940" w:type="dxa"/>
            <w:vAlign w:val="bottom"/>
            <w:tcBorders>
              <w:bottom w:val="single" w:sz="8" w:color="012E6C"/>
              <w:right w:val="single" w:sz="8" w:color="012E6C"/>
            </w:tcBorders>
          </w:tcPr>
          <w:p>
            <w:pPr>
              <w:spacing w:after="0"/>
              <w:rPr>
                <w:sz w:val="6"/>
                <w:szCs w:val="6"/>
                <w:color w:val="auto"/>
              </w:rPr>
            </w:pPr>
          </w:p>
        </w:tc>
        <w:tc>
          <w:tcPr>
            <w:tcW w:w="2220" w:type="dxa"/>
            <w:vAlign w:val="bottom"/>
            <w:tcBorders>
              <w:bottom w:val="single" w:sz="8" w:color="012E6C"/>
              <w:right w:val="single" w:sz="8" w:color="012E6C"/>
            </w:tcBorders>
          </w:tcPr>
          <w:p>
            <w:pPr>
              <w:spacing w:after="0"/>
              <w:rPr>
                <w:sz w:val="6"/>
                <w:szCs w:val="6"/>
                <w:color w:val="auto"/>
              </w:rPr>
            </w:pPr>
          </w:p>
        </w:tc>
        <w:tc>
          <w:tcPr>
            <w:tcW w:w="100" w:type="dxa"/>
            <w:vAlign w:val="bottom"/>
            <w:tcBorders>
              <w:bottom w:val="single" w:sz="8" w:color="012E6C"/>
            </w:tcBorders>
          </w:tcPr>
          <w:p>
            <w:pPr>
              <w:spacing w:after="0"/>
              <w:rPr>
                <w:sz w:val="6"/>
                <w:szCs w:val="6"/>
                <w:color w:val="auto"/>
              </w:rPr>
            </w:pPr>
          </w:p>
        </w:tc>
        <w:tc>
          <w:tcPr>
            <w:tcW w:w="460" w:type="dxa"/>
            <w:vAlign w:val="bottom"/>
            <w:tcBorders>
              <w:bottom w:val="single" w:sz="8" w:color="012E6C"/>
            </w:tcBorders>
          </w:tcPr>
          <w:p>
            <w:pPr>
              <w:spacing w:after="0"/>
              <w:rPr>
                <w:sz w:val="6"/>
                <w:szCs w:val="6"/>
                <w:color w:val="auto"/>
              </w:rPr>
            </w:pPr>
          </w:p>
        </w:tc>
        <w:tc>
          <w:tcPr>
            <w:tcW w:w="300" w:type="dxa"/>
            <w:vAlign w:val="bottom"/>
            <w:tcBorders>
              <w:bottom w:val="single" w:sz="8" w:color="012E6C"/>
            </w:tcBorders>
          </w:tcPr>
          <w:p>
            <w:pPr>
              <w:spacing w:after="0"/>
              <w:rPr>
                <w:sz w:val="6"/>
                <w:szCs w:val="6"/>
                <w:color w:val="auto"/>
              </w:rPr>
            </w:pPr>
          </w:p>
        </w:tc>
        <w:tc>
          <w:tcPr>
            <w:tcW w:w="740" w:type="dxa"/>
            <w:vAlign w:val="bottom"/>
            <w:tcBorders>
              <w:bottom w:val="single" w:sz="8" w:color="012E6C"/>
            </w:tcBorders>
          </w:tcPr>
          <w:p>
            <w:pPr>
              <w:spacing w:after="0"/>
              <w:rPr>
                <w:sz w:val="6"/>
                <w:szCs w:val="6"/>
                <w:color w:val="auto"/>
              </w:rPr>
            </w:pPr>
          </w:p>
        </w:tc>
        <w:tc>
          <w:tcPr>
            <w:tcW w:w="460" w:type="dxa"/>
            <w:vAlign w:val="bottom"/>
            <w:tcBorders>
              <w:bottom w:val="single" w:sz="8" w:color="012E6C"/>
              <w:right w:val="single" w:sz="8" w:color="012E6C"/>
            </w:tcBorders>
          </w:tcPr>
          <w:p>
            <w:pPr>
              <w:spacing w:after="0"/>
              <w:rPr>
                <w:sz w:val="6"/>
                <w:szCs w:val="6"/>
                <w:color w:val="auto"/>
              </w:rPr>
            </w:pPr>
          </w:p>
        </w:tc>
        <w:tc>
          <w:tcPr>
            <w:tcW w:w="100" w:type="dxa"/>
            <w:vAlign w:val="bottom"/>
            <w:tcBorders>
              <w:bottom w:val="single" w:sz="8" w:color="012E6C"/>
            </w:tcBorders>
          </w:tcPr>
          <w:p>
            <w:pPr>
              <w:spacing w:after="0"/>
              <w:rPr>
                <w:sz w:val="6"/>
                <w:szCs w:val="6"/>
                <w:color w:val="auto"/>
              </w:rPr>
            </w:pPr>
          </w:p>
        </w:tc>
        <w:tc>
          <w:tcPr>
            <w:tcW w:w="760" w:type="dxa"/>
            <w:vAlign w:val="bottom"/>
            <w:tcBorders>
              <w:bottom w:val="single" w:sz="8" w:color="012E6C"/>
            </w:tcBorders>
          </w:tcPr>
          <w:p>
            <w:pPr>
              <w:spacing w:after="0"/>
              <w:rPr>
                <w:sz w:val="6"/>
                <w:szCs w:val="6"/>
                <w:color w:val="auto"/>
              </w:rPr>
            </w:pPr>
          </w:p>
        </w:tc>
        <w:tc>
          <w:tcPr>
            <w:tcW w:w="340" w:type="dxa"/>
            <w:vAlign w:val="bottom"/>
            <w:tcBorders>
              <w:bottom w:val="single" w:sz="8" w:color="012E6C"/>
            </w:tcBorders>
          </w:tcPr>
          <w:p>
            <w:pPr>
              <w:spacing w:after="0"/>
              <w:rPr>
                <w:sz w:val="6"/>
                <w:szCs w:val="6"/>
                <w:color w:val="auto"/>
              </w:rPr>
            </w:pPr>
          </w:p>
        </w:tc>
        <w:tc>
          <w:tcPr>
            <w:tcW w:w="80" w:type="dxa"/>
            <w:vAlign w:val="bottom"/>
            <w:tcBorders>
              <w:bottom w:val="single" w:sz="8" w:color="012E6C"/>
            </w:tcBorders>
          </w:tcPr>
          <w:p>
            <w:pPr>
              <w:spacing w:after="0"/>
              <w:rPr>
                <w:sz w:val="6"/>
                <w:szCs w:val="6"/>
                <w:color w:val="auto"/>
              </w:rPr>
            </w:pPr>
          </w:p>
        </w:tc>
        <w:tc>
          <w:tcPr>
            <w:tcW w:w="100" w:type="dxa"/>
            <w:vAlign w:val="bottom"/>
            <w:tcBorders>
              <w:bottom w:val="single" w:sz="8" w:color="012E6C"/>
            </w:tcBorders>
          </w:tcPr>
          <w:p>
            <w:pPr>
              <w:spacing w:after="0"/>
              <w:rPr>
                <w:sz w:val="6"/>
                <w:szCs w:val="6"/>
                <w:color w:val="auto"/>
              </w:rPr>
            </w:pPr>
          </w:p>
        </w:tc>
        <w:tc>
          <w:tcPr>
            <w:tcW w:w="340" w:type="dxa"/>
            <w:vAlign w:val="bottom"/>
            <w:tcBorders>
              <w:bottom w:val="single" w:sz="8" w:color="012E6C"/>
            </w:tcBorders>
          </w:tcPr>
          <w:p>
            <w:pPr>
              <w:spacing w:after="0"/>
              <w:rPr>
                <w:sz w:val="6"/>
                <w:szCs w:val="6"/>
                <w:color w:val="auto"/>
              </w:rPr>
            </w:pPr>
          </w:p>
        </w:tc>
        <w:tc>
          <w:tcPr>
            <w:tcW w:w="220" w:type="dxa"/>
            <w:vAlign w:val="bottom"/>
            <w:tcBorders>
              <w:bottom w:val="single" w:sz="8" w:color="012E6C"/>
            </w:tcBorders>
          </w:tcPr>
          <w:p>
            <w:pPr>
              <w:spacing w:after="0"/>
              <w:rPr>
                <w:sz w:val="6"/>
                <w:szCs w:val="6"/>
                <w:color w:val="auto"/>
              </w:rPr>
            </w:pPr>
          </w:p>
        </w:tc>
        <w:tc>
          <w:tcPr>
            <w:tcW w:w="120" w:type="dxa"/>
            <w:vAlign w:val="bottom"/>
            <w:tcBorders>
              <w:bottom w:val="single" w:sz="8" w:color="012E6C"/>
              <w:right w:val="single" w:sz="8" w:color="012E6C"/>
            </w:tcBorders>
          </w:tcPr>
          <w:p>
            <w:pPr>
              <w:spacing w:after="0"/>
              <w:rPr>
                <w:sz w:val="6"/>
                <w:szCs w:val="6"/>
                <w:color w:val="auto"/>
              </w:rPr>
            </w:pPr>
          </w:p>
        </w:tc>
        <w:tc>
          <w:tcPr>
            <w:tcW w:w="0" w:type="dxa"/>
            <w:vAlign w:val="bottom"/>
          </w:tcPr>
          <w:p>
            <w:pPr>
              <w:spacing w:after="0"/>
              <w:rPr>
                <w:sz w:val="1"/>
                <w:szCs w:val="1"/>
                <w:color w:val="auto"/>
              </w:rPr>
            </w:pPr>
          </w:p>
        </w:tc>
      </w:tr>
      <w:tr>
        <w:trPr>
          <w:trHeight w:val="412"/>
        </w:trPr>
        <w:tc>
          <w:tcPr>
            <w:tcW w:w="1040" w:type="dxa"/>
            <w:vAlign w:val="bottom"/>
            <w:tcBorders>
              <w:left w:val="single" w:sz="8" w:color="012E6C"/>
              <w:right w:val="single" w:sz="8" w:color="012E6C"/>
            </w:tcBorders>
            <w:shd w:val="clear" w:color="auto" w:fill="E5E7EF"/>
          </w:tcPr>
          <w:p>
            <w:pPr>
              <w:spacing w:after="0"/>
              <w:rPr>
                <w:sz w:val="24"/>
                <w:szCs w:val="24"/>
                <w:color w:val="auto"/>
              </w:rPr>
            </w:pPr>
          </w:p>
        </w:tc>
        <w:tc>
          <w:tcPr>
            <w:tcW w:w="1940" w:type="dxa"/>
            <w:vAlign w:val="bottom"/>
            <w:tcBorders>
              <w:right w:val="single" w:sz="8" w:color="012E6C"/>
            </w:tcBorders>
            <w:shd w:val="clear" w:color="auto" w:fill="E5E7EF"/>
          </w:tcPr>
          <w:p>
            <w:pPr>
              <w:spacing w:after="0"/>
              <w:rPr>
                <w:sz w:val="24"/>
                <w:szCs w:val="24"/>
                <w:color w:val="auto"/>
              </w:rPr>
            </w:pPr>
          </w:p>
        </w:tc>
        <w:tc>
          <w:tcPr>
            <w:tcW w:w="1940" w:type="dxa"/>
            <w:vAlign w:val="bottom"/>
            <w:tcBorders>
              <w:right w:val="single" w:sz="8" w:color="012E6C"/>
            </w:tcBorders>
            <w:shd w:val="clear" w:color="auto" w:fill="E5E7EF"/>
          </w:tcPr>
          <w:p>
            <w:pPr>
              <w:spacing w:after="0"/>
              <w:rPr>
                <w:sz w:val="24"/>
                <w:szCs w:val="24"/>
                <w:color w:val="auto"/>
              </w:rPr>
            </w:pPr>
          </w:p>
        </w:tc>
        <w:tc>
          <w:tcPr>
            <w:tcW w:w="222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Continued vesting of RSUs and</w:t>
            </w:r>
          </w:p>
        </w:tc>
        <w:tc>
          <w:tcPr>
            <w:tcW w:w="100" w:type="dxa"/>
            <w:vAlign w:val="bottom"/>
            <w:shd w:val="clear" w:color="auto" w:fill="E5E7EF"/>
          </w:tcPr>
          <w:p>
            <w:pPr>
              <w:spacing w:after="0"/>
              <w:rPr>
                <w:sz w:val="24"/>
                <w:szCs w:val="24"/>
                <w:color w:val="auto"/>
              </w:rPr>
            </w:pPr>
          </w:p>
        </w:tc>
        <w:tc>
          <w:tcPr>
            <w:tcW w:w="1960" w:type="dxa"/>
            <w:vAlign w:val="bottom"/>
            <w:tcBorders>
              <w:right w:val="single" w:sz="8" w:color="012E6C"/>
            </w:tcBorders>
            <w:gridSpan w:val="4"/>
            <w:shd w:val="clear" w:color="auto" w:fill="E5E7EF"/>
          </w:tcPr>
          <w:p>
            <w:pPr>
              <w:spacing w:after="0"/>
              <w:rPr>
                <w:sz w:val="20"/>
                <w:szCs w:val="20"/>
                <w:color w:val="auto"/>
              </w:rPr>
            </w:pPr>
            <w:r>
              <w:rPr>
                <w:rFonts w:ascii="Arial" w:cs="Arial" w:eastAsia="Arial" w:hAnsi="Arial"/>
                <w:sz w:val="14"/>
                <w:szCs w:val="14"/>
                <w:color w:val="auto"/>
              </w:rPr>
              <w:t>Unless assumed by the</w:t>
            </w:r>
          </w:p>
        </w:tc>
        <w:tc>
          <w:tcPr>
            <w:tcW w:w="100" w:type="dxa"/>
            <w:vAlign w:val="bottom"/>
            <w:shd w:val="clear" w:color="auto" w:fill="E5E7EF"/>
          </w:tcPr>
          <w:p>
            <w:pPr>
              <w:spacing w:after="0"/>
              <w:rPr>
                <w:sz w:val="24"/>
                <w:szCs w:val="24"/>
                <w:color w:val="auto"/>
              </w:rPr>
            </w:pPr>
          </w:p>
        </w:tc>
        <w:tc>
          <w:tcPr>
            <w:tcW w:w="760" w:type="dxa"/>
            <w:vAlign w:val="bottom"/>
            <w:shd w:val="clear" w:color="auto" w:fill="E5E7EF"/>
          </w:tcPr>
          <w:p>
            <w:pPr>
              <w:spacing w:after="0"/>
              <w:rPr>
                <w:sz w:val="24"/>
                <w:szCs w:val="24"/>
                <w:color w:val="auto"/>
              </w:rPr>
            </w:pPr>
          </w:p>
        </w:tc>
        <w:tc>
          <w:tcPr>
            <w:tcW w:w="340" w:type="dxa"/>
            <w:vAlign w:val="bottom"/>
            <w:shd w:val="clear" w:color="auto" w:fill="E5E7EF"/>
          </w:tcPr>
          <w:p>
            <w:pPr>
              <w:spacing w:after="0"/>
              <w:rPr>
                <w:sz w:val="24"/>
                <w:szCs w:val="24"/>
                <w:color w:val="auto"/>
              </w:rPr>
            </w:pPr>
          </w:p>
        </w:tc>
        <w:tc>
          <w:tcPr>
            <w:tcW w:w="80" w:type="dxa"/>
            <w:vAlign w:val="bottom"/>
            <w:shd w:val="clear" w:color="auto" w:fill="E5E7EF"/>
          </w:tcPr>
          <w:p>
            <w:pPr>
              <w:spacing w:after="0"/>
              <w:rPr>
                <w:sz w:val="24"/>
                <w:szCs w:val="24"/>
                <w:color w:val="auto"/>
              </w:rPr>
            </w:pPr>
          </w:p>
        </w:tc>
        <w:tc>
          <w:tcPr>
            <w:tcW w:w="100" w:type="dxa"/>
            <w:vAlign w:val="bottom"/>
            <w:tcBorders>
              <w:right w:val="single" w:sz="8" w:color="E5E7EF"/>
            </w:tcBorders>
            <w:shd w:val="clear" w:color="auto" w:fill="E5E7EF"/>
          </w:tcPr>
          <w:p>
            <w:pPr>
              <w:spacing w:after="0"/>
              <w:rPr>
                <w:sz w:val="24"/>
                <w:szCs w:val="24"/>
                <w:color w:val="auto"/>
              </w:rPr>
            </w:pPr>
          </w:p>
        </w:tc>
        <w:tc>
          <w:tcPr>
            <w:tcW w:w="340" w:type="dxa"/>
            <w:vAlign w:val="bottom"/>
            <w:shd w:val="clear" w:color="auto" w:fill="E5E7EF"/>
          </w:tcPr>
          <w:p>
            <w:pPr>
              <w:spacing w:after="0"/>
              <w:rPr>
                <w:sz w:val="24"/>
                <w:szCs w:val="24"/>
                <w:color w:val="auto"/>
              </w:rPr>
            </w:pPr>
          </w:p>
        </w:tc>
        <w:tc>
          <w:tcPr>
            <w:tcW w:w="220" w:type="dxa"/>
            <w:vAlign w:val="bottom"/>
            <w:tcBorders>
              <w:right w:val="single" w:sz="8" w:color="E5E7EF"/>
            </w:tcBorders>
            <w:shd w:val="clear" w:color="auto" w:fill="E5E7EF"/>
          </w:tcPr>
          <w:p>
            <w:pPr>
              <w:spacing w:after="0"/>
              <w:rPr>
                <w:sz w:val="24"/>
                <w:szCs w:val="24"/>
                <w:color w:val="auto"/>
              </w:rPr>
            </w:pPr>
          </w:p>
        </w:tc>
        <w:tc>
          <w:tcPr>
            <w:tcW w:w="120" w:type="dxa"/>
            <w:vAlign w:val="bottom"/>
            <w:tcBorders>
              <w:right w:val="single" w:sz="8" w:color="012E6C"/>
            </w:tcBorders>
            <w:shd w:val="clear" w:color="auto" w:fill="E5E7EF"/>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1040" w:type="dxa"/>
            <w:vAlign w:val="bottom"/>
            <w:tcBorders>
              <w:left w:val="single" w:sz="8" w:color="012E6C"/>
              <w:right w:val="single" w:sz="8" w:color="012E6C"/>
            </w:tcBorders>
            <w:shd w:val="clear" w:color="auto" w:fill="E5E7EF"/>
          </w:tcPr>
          <w:p>
            <w:pPr>
              <w:spacing w:after="0"/>
              <w:rPr>
                <w:sz w:val="8"/>
                <w:szCs w:val="8"/>
                <w:color w:val="auto"/>
              </w:rPr>
            </w:pPr>
          </w:p>
        </w:tc>
        <w:tc>
          <w:tcPr>
            <w:tcW w:w="1940" w:type="dxa"/>
            <w:vAlign w:val="bottom"/>
            <w:tcBorders>
              <w:right w:val="single" w:sz="8" w:color="012E6C"/>
            </w:tcBorders>
            <w:shd w:val="clear" w:color="auto" w:fill="E5E7EF"/>
          </w:tcPr>
          <w:p>
            <w:pPr>
              <w:spacing w:after="0"/>
              <w:rPr>
                <w:sz w:val="8"/>
                <w:szCs w:val="8"/>
                <w:color w:val="auto"/>
              </w:rPr>
            </w:pPr>
          </w:p>
        </w:tc>
        <w:tc>
          <w:tcPr>
            <w:tcW w:w="1940" w:type="dxa"/>
            <w:vAlign w:val="bottom"/>
            <w:tcBorders>
              <w:right w:val="single" w:sz="8" w:color="012E6C"/>
            </w:tcBorders>
            <w:shd w:val="clear" w:color="auto" w:fill="E5E7EF"/>
          </w:tcPr>
          <w:p>
            <w:pPr>
              <w:spacing w:after="0"/>
              <w:rPr>
                <w:sz w:val="8"/>
                <w:szCs w:val="8"/>
                <w:color w:val="auto"/>
              </w:rPr>
            </w:pPr>
          </w:p>
        </w:tc>
        <w:tc>
          <w:tcPr>
            <w:tcW w:w="2220" w:type="dxa"/>
            <w:vAlign w:val="bottom"/>
            <w:tcBorders>
              <w:right w:val="single" w:sz="8" w:color="012E6C"/>
            </w:tcBorders>
            <w:vMerge w:val="continue"/>
            <w:shd w:val="clear" w:color="auto" w:fill="E5E7EF"/>
          </w:tcPr>
          <w:p>
            <w:pPr>
              <w:spacing w:after="0"/>
              <w:rPr>
                <w:sz w:val="8"/>
                <w:szCs w:val="8"/>
                <w:color w:val="auto"/>
              </w:rPr>
            </w:pPr>
          </w:p>
        </w:tc>
        <w:tc>
          <w:tcPr>
            <w:tcW w:w="100" w:type="dxa"/>
            <w:vAlign w:val="bottom"/>
            <w:shd w:val="clear" w:color="auto" w:fill="E5E7EF"/>
          </w:tcPr>
          <w:p>
            <w:pPr>
              <w:spacing w:after="0"/>
              <w:rPr>
                <w:sz w:val="8"/>
                <w:szCs w:val="8"/>
                <w:color w:val="auto"/>
              </w:rPr>
            </w:pPr>
          </w:p>
        </w:tc>
        <w:tc>
          <w:tcPr>
            <w:tcW w:w="1960" w:type="dxa"/>
            <w:vAlign w:val="bottom"/>
            <w:tcBorders>
              <w:right w:val="single" w:sz="8" w:color="012E6C"/>
            </w:tcBorders>
            <w:gridSpan w:val="4"/>
            <w:vMerge w:val="restart"/>
            <w:shd w:val="clear" w:color="auto" w:fill="E5E7EF"/>
          </w:tcPr>
          <w:p>
            <w:pPr>
              <w:spacing w:after="0"/>
              <w:rPr>
                <w:sz w:val="20"/>
                <w:szCs w:val="20"/>
                <w:color w:val="auto"/>
              </w:rPr>
            </w:pPr>
            <w:r>
              <w:rPr>
                <w:rFonts w:ascii="Arial" w:cs="Arial" w:eastAsia="Arial" w:hAnsi="Arial"/>
                <w:sz w:val="14"/>
                <w:szCs w:val="14"/>
                <w:color w:val="auto"/>
              </w:rPr>
              <w:t>successor, RSUs and</w:t>
            </w:r>
          </w:p>
        </w:tc>
        <w:tc>
          <w:tcPr>
            <w:tcW w:w="100" w:type="dxa"/>
            <w:vAlign w:val="bottom"/>
            <w:shd w:val="clear" w:color="auto" w:fill="E5E7EF"/>
          </w:tcPr>
          <w:p>
            <w:pPr>
              <w:spacing w:after="0"/>
              <w:rPr>
                <w:sz w:val="8"/>
                <w:szCs w:val="8"/>
                <w:color w:val="auto"/>
              </w:rPr>
            </w:pPr>
          </w:p>
        </w:tc>
        <w:tc>
          <w:tcPr>
            <w:tcW w:w="760" w:type="dxa"/>
            <w:vAlign w:val="bottom"/>
            <w:shd w:val="clear" w:color="auto" w:fill="E5E7EF"/>
          </w:tcPr>
          <w:p>
            <w:pPr>
              <w:spacing w:after="0"/>
              <w:rPr>
                <w:sz w:val="8"/>
                <w:szCs w:val="8"/>
                <w:color w:val="auto"/>
              </w:rPr>
            </w:pPr>
          </w:p>
        </w:tc>
        <w:tc>
          <w:tcPr>
            <w:tcW w:w="340" w:type="dxa"/>
            <w:vAlign w:val="bottom"/>
            <w:shd w:val="clear" w:color="auto" w:fill="E5E7EF"/>
          </w:tcPr>
          <w:p>
            <w:pPr>
              <w:spacing w:after="0"/>
              <w:rPr>
                <w:sz w:val="8"/>
                <w:szCs w:val="8"/>
                <w:color w:val="auto"/>
              </w:rPr>
            </w:pPr>
          </w:p>
        </w:tc>
        <w:tc>
          <w:tcPr>
            <w:tcW w:w="80" w:type="dxa"/>
            <w:vAlign w:val="bottom"/>
            <w:shd w:val="clear" w:color="auto" w:fill="E5E7EF"/>
          </w:tcPr>
          <w:p>
            <w:pPr>
              <w:spacing w:after="0"/>
              <w:rPr>
                <w:sz w:val="8"/>
                <w:szCs w:val="8"/>
                <w:color w:val="auto"/>
              </w:rPr>
            </w:pPr>
          </w:p>
        </w:tc>
        <w:tc>
          <w:tcPr>
            <w:tcW w:w="100" w:type="dxa"/>
            <w:vAlign w:val="bottom"/>
            <w:tcBorders>
              <w:right w:val="single" w:sz="8" w:color="E5E7EF"/>
            </w:tcBorders>
            <w:shd w:val="clear" w:color="auto" w:fill="E5E7EF"/>
          </w:tcPr>
          <w:p>
            <w:pPr>
              <w:spacing w:after="0"/>
              <w:rPr>
                <w:sz w:val="8"/>
                <w:szCs w:val="8"/>
                <w:color w:val="auto"/>
              </w:rPr>
            </w:pPr>
          </w:p>
        </w:tc>
        <w:tc>
          <w:tcPr>
            <w:tcW w:w="340" w:type="dxa"/>
            <w:vAlign w:val="bottom"/>
            <w:shd w:val="clear" w:color="auto" w:fill="E5E7EF"/>
          </w:tcPr>
          <w:p>
            <w:pPr>
              <w:spacing w:after="0"/>
              <w:rPr>
                <w:sz w:val="8"/>
                <w:szCs w:val="8"/>
                <w:color w:val="auto"/>
              </w:rPr>
            </w:pPr>
          </w:p>
        </w:tc>
        <w:tc>
          <w:tcPr>
            <w:tcW w:w="220" w:type="dxa"/>
            <w:vAlign w:val="bottom"/>
            <w:tcBorders>
              <w:right w:val="single" w:sz="8" w:color="E5E7EF"/>
            </w:tcBorders>
            <w:shd w:val="clear" w:color="auto" w:fill="E5E7EF"/>
          </w:tcPr>
          <w:p>
            <w:pPr>
              <w:spacing w:after="0"/>
              <w:rPr>
                <w:sz w:val="8"/>
                <w:szCs w:val="8"/>
                <w:color w:val="auto"/>
              </w:rPr>
            </w:pPr>
          </w:p>
        </w:tc>
        <w:tc>
          <w:tcPr>
            <w:tcW w:w="120" w:type="dxa"/>
            <w:vAlign w:val="bottom"/>
            <w:tcBorders>
              <w:right w:val="single" w:sz="8" w:color="012E6C"/>
            </w:tcBorders>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40" w:type="dxa"/>
            <w:vAlign w:val="bottom"/>
            <w:tcBorders>
              <w:left w:val="single" w:sz="8" w:color="012E6C"/>
              <w:right w:val="single" w:sz="8" w:color="012E6C"/>
            </w:tcBorders>
            <w:shd w:val="clear" w:color="auto" w:fill="E5E7EF"/>
          </w:tcPr>
          <w:p>
            <w:pPr>
              <w:spacing w:after="0"/>
              <w:rPr>
                <w:sz w:val="7"/>
                <w:szCs w:val="7"/>
                <w:color w:val="auto"/>
              </w:rPr>
            </w:pPr>
          </w:p>
        </w:tc>
        <w:tc>
          <w:tcPr>
            <w:tcW w:w="1940" w:type="dxa"/>
            <w:vAlign w:val="bottom"/>
            <w:tcBorders>
              <w:right w:val="single" w:sz="8" w:color="012E6C"/>
            </w:tcBorders>
            <w:shd w:val="clear" w:color="auto" w:fill="E5E7EF"/>
          </w:tcPr>
          <w:p>
            <w:pPr>
              <w:spacing w:after="0"/>
              <w:rPr>
                <w:sz w:val="7"/>
                <w:szCs w:val="7"/>
                <w:color w:val="auto"/>
              </w:rPr>
            </w:pPr>
          </w:p>
        </w:tc>
        <w:tc>
          <w:tcPr>
            <w:tcW w:w="1940" w:type="dxa"/>
            <w:vAlign w:val="bottom"/>
            <w:tcBorders>
              <w:right w:val="single" w:sz="8" w:color="012E6C"/>
            </w:tcBorders>
            <w:shd w:val="clear" w:color="auto" w:fill="E5E7EF"/>
          </w:tcPr>
          <w:p>
            <w:pPr>
              <w:spacing w:after="0"/>
              <w:rPr>
                <w:sz w:val="7"/>
                <w:szCs w:val="7"/>
                <w:color w:val="auto"/>
              </w:rPr>
            </w:pPr>
          </w:p>
        </w:tc>
        <w:tc>
          <w:tcPr>
            <w:tcW w:w="222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dividend equivalents after</w:t>
            </w:r>
          </w:p>
        </w:tc>
        <w:tc>
          <w:tcPr>
            <w:tcW w:w="100" w:type="dxa"/>
            <w:vAlign w:val="bottom"/>
            <w:shd w:val="clear" w:color="auto" w:fill="E5E7EF"/>
          </w:tcPr>
          <w:p>
            <w:pPr>
              <w:spacing w:after="0"/>
              <w:rPr>
                <w:sz w:val="7"/>
                <w:szCs w:val="7"/>
                <w:color w:val="auto"/>
              </w:rPr>
            </w:pPr>
          </w:p>
        </w:tc>
        <w:tc>
          <w:tcPr>
            <w:tcW w:w="1960" w:type="dxa"/>
            <w:vAlign w:val="bottom"/>
            <w:tcBorders>
              <w:right w:val="single" w:sz="8" w:color="012E6C"/>
            </w:tcBorders>
            <w:gridSpan w:val="4"/>
            <w:vMerge w:val="continue"/>
            <w:shd w:val="clear" w:color="auto" w:fill="E5E7EF"/>
          </w:tcPr>
          <w:p>
            <w:pPr>
              <w:spacing w:after="0"/>
              <w:rPr>
                <w:sz w:val="7"/>
                <w:szCs w:val="7"/>
                <w:color w:val="auto"/>
              </w:rPr>
            </w:pPr>
          </w:p>
        </w:tc>
        <w:tc>
          <w:tcPr>
            <w:tcW w:w="100" w:type="dxa"/>
            <w:vAlign w:val="bottom"/>
            <w:shd w:val="clear" w:color="auto" w:fill="E5E7EF"/>
          </w:tcPr>
          <w:p>
            <w:pPr>
              <w:spacing w:after="0"/>
              <w:rPr>
                <w:sz w:val="7"/>
                <w:szCs w:val="7"/>
                <w:color w:val="auto"/>
              </w:rPr>
            </w:pPr>
          </w:p>
        </w:tc>
        <w:tc>
          <w:tcPr>
            <w:tcW w:w="760" w:type="dxa"/>
            <w:vAlign w:val="bottom"/>
            <w:shd w:val="clear" w:color="auto" w:fill="E5E7EF"/>
          </w:tcPr>
          <w:p>
            <w:pPr>
              <w:spacing w:after="0"/>
              <w:rPr>
                <w:sz w:val="7"/>
                <w:szCs w:val="7"/>
                <w:color w:val="auto"/>
              </w:rPr>
            </w:pPr>
          </w:p>
        </w:tc>
        <w:tc>
          <w:tcPr>
            <w:tcW w:w="340" w:type="dxa"/>
            <w:vAlign w:val="bottom"/>
            <w:shd w:val="clear" w:color="auto" w:fill="E5E7EF"/>
          </w:tcPr>
          <w:p>
            <w:pPr>
              <w:spacing w:after="0"/>
              <w:rPr>
                <w:sz w:val="7"/>
                <w:szCs w:val="7"/>
                <w:color w:val="auto"/>
              </w:rPr>
            </w:pPr>
          </w:p>
        </w:tc>
        <w:tc>
          <w:tcPr>
            <w:tcW w:w="80" w:type="dxa"/>
            <w:vAlign w:val="bottom"/>
            <w:shd w:val="clear" w:color="auto" w:fill="E5E7EF"/>
          </w:tcPr>
          <w:p>
            <w:pPr>
              <w:spacing w:after="0"/>
              <w:rPr>
                <w:sz w:val="7"/>
                <w:szCs w:val="7"/>
                <w:color w:val="auto"/>
              </w:rPr>
            </w:pPr>
          </w:p>
        </w:tc>
        <w:tc>
          <w:tcPr>
            <w:tcW w:w="100" w:type="dxa"/>
            <w:vAlign w:val="bottom"/>
            <w:tcBorders>
              <w:right w:val="single" w:sz="8" w:color="E5E7EF"/>
            </w:tcBorders>
            <w:shd w:val="clear" w:color="auto" w:fill="E5E7EF"/>
          </w:tcPr>
          <w:p>
            <w:pPr>
              <w:spacing w:after="0"/>
              <w:rPr>
                <w:sz w:val="7"/>
                <w:szCs w:val="7"/>
                <w:color w:val="auto"/>
              </w:rPr>
            </w:pPr>
          </w:p>
        </w:tc>
        <w:tc>
          <w:tcPr>
            <w:tcW w:w="340" w:type="dxa"/>
            <w:vAlign w:val="bottom"/>
            <w:shd w:val="clear" w:color="auto" w:fill="E5E7EF"/>
          </w:tcPr>
          <w:p>
            <w:pPr>
              <w:spacing w:after="0"/>
              <w:rPr>
                <w:sz w:val="7"/>
                <w:szCs w:val="7"/>
                <w:color w:val="auto"/>
              </w:rPr>
            </w:pPr>
          </w:p>
        </w:tc>
        <w:tc>
          <w:tcPr>
            <w:tcW w:w="220" w:type="dxa"/>
            <w:vAlign w:val="bottom"/>
            <w:tcBorders>
              <w:right w:val="single" w:sz="8" w:color="E5E7EF"/>
            </w:tcBorders>
            <w:shd w:val="clear" w:color="auto" w:fill="E5E7EF"/>
          </w:tcPr>
          <w:p>
            <w:pPr>
              <w:spacing w:after="0"/>
              <w:rPr>
                <w:sz w:val="7"/>
                <w:szCs w:val="7"/>
                <w:color w:val="auto"/>
              </w:rPr>
            </w:pPr>
          </w:p>
        </w:tc>
        <w:tc>
          <w:tcPr>
            <w:tcW w:w="120" w:type="dxa"/>
            <w:vAlign w:val="bottom"/>
            <w:tcBorders>
              <w:right w:val="single" w:sz="8" w:color="012E6C"/>
            </w:tcBorders>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040" w:type="dxa"/>
            <w:vAlign w:val="bottom"/>
            <w:tcBorders>
              <w:left w:val="single" w:sz="8" w:color="012E6C"/>
              <w:right w:val="single" w:sz="8" w:color="012E6C"/>
            </w:tcBorders>
            <w:shd w:val="clear" w:color="auto" w:fill="E5E7EF"/>
          </w:tcPr>
          <w:p>
            <w:pPr>
              <w:spacing w:after="0"/>
              <w:rPr>
                <w:sz w:val="8"/>
                <w:szCs w:val="8"/>
                <w:color w:val="auto"/>
              </w:rPr>
            </w:pPr>
          </w:p>
        </w:tc>
        <w:tc>
          <w:tcPr>
            <w:tcW w:w="1940" w:type="dxa"/>
            <w:vAlign w:val="bottom"/>
            <w:tcBorders>
              <w:right w:val="single" w:sz="8" w:color="012E6C"/>
            </w:tcBorders>
            <w:shd w:val="clear" w:color="auto" w:fill="E5E7EF"/>
          </w:tcPr>
          <w:p>
            <w:pPr>
              <w:spacing w:after="0"/>
              <w:rPr>
                <w:sz w:val="8"/>
                <w:szCs w:val="8"/>
                <w:color w:val="auto"/>
              </w:rPr>
            </w:pPr>
          </w:p>
        </w:tc>
        <w:tc>
          <w:tcPr>
            <w:tcW w:w="1940" w:type="dxa"/>
            <w:vAlign w:val="bottom"/>
            <w:tcBorders>
              <w:right w:val="single" w:sz="8" w:color="012E6C"/>
            </w:tcBorders>
            <w:shd w:val="clear" w:color="auto" w:fill="E5E7EF"/>
          </w:tcPr>
          <w:p>
            <w:pPr>
              <w:spacing w:after="0"/>
              <w:rPr>
                <w:sz w:val="8"/>
                <w:szCs w:val="8"/>
                <w:color w:val="auto"/>
              </w:rPr>
            </w:pPr>
          </w:p>
        </w:tc>
        <w:tc>
          <w:tcPr>
            <w:tcW w:w="2220" w:type="dxa"/>
            <w:vAlign w:val="bottom"/>
            <w:tcBorders>
              <w:right w:val="single" w:sz="8" w:color="012E6C"/>
            </w:tcBorders>
            <w:vMerge w:val="continue"/>
            <w:shd w:val="clear" w:color="auto" w:fill="E5E7EF"/>
          </w:tcPr>
          <w:p>
            <w:pPr>
              <w:spacing w:after="0"/>
              <w:rPr>
                <w:sz w:val="8"/>
                <w:szCs w:val="8"/>
                <w:color w:val="auto"/>
              </w:rPr>
            </w:pPr>
          </w:p>
        </w:tc>
        <w:tc>
          <w:tcPr>
            <w:tcW w:w="100" w:type="dxa"/>
            <w:vAlign w:val="bottom"/>
            <w:shd w:val="clear" w:color="auto" w:fill="E5E7EF"/>
          </w:tcPr>
          <w:p>
            <w:pPr>
              <w:spacing w:after="0"/>
              <w:rPr>
                <w:sz w:val="8"/>
                <w:szCs w:val="8"/>
                <w:color w:val="auto"/>
              </w:rPr>
            </w:pPr>
          </w:p>
        </w:tc>
        <w:tc>
          <w:tcPr>
            <w:tcW w:w="1960" w:type="dxa"/>
            <w:vAlign w:val="bottom"/>
            <w:tcBorders>
              <w:right w:val="single" w:sz="8" w:color="012E6C"/>
            </w:tcBorders>
            <w:gridSpan w:val="4"/>
            <w:vMerge w:val="restart"/>
            <w:shd w:val="clear" w:color="auto" w:fill="E5E7EF"/>
          </w:tcPr>
          <w:p>
            <w:pPr>
              <w:spacing w:after="0"/>
              <w:rPr>
                <w:sz w:val="20"/>
                <w:szCs w:val="20"/>
                <w:color w:val="auto"/>
              </w:rPr>
            </w:pPr>
            <w:r>
              <w:rPr>
                <w:rFonts w:ascii="Arial" w:cs="Arial" w:eastAsia="Arial" w:hAnsi="Arial"/>
                <w:sz w:val="14"/>
                <w:szCs w:val="14"/>
                <w:color w:val="auto"/>
              </w:rPr>
              <w:t>dividend equivalents will vest</w:t>
            </w:r>
          </w:p>
        </w:tc>
        <w:tc>
          <w:tcPr>
            <w:tcW w:w="100" w:type="dxa"/>
            <w:vAlign w:val="bottom"/>
            <w:shd w:val="clear" w:color="auto" w:fill="E5E7EF"/>
          </w:tcPr>
          <w:p>
            <w:pPr>
              <w:spacing w:after="0"/>
              <w:rPr>
                <w:sz w:val="8"/>
                <w:szCs w:val="8"/>
                <w:color w:val="auto"/>
              </w:rPr>
            </w:pPr>
          </w:p>
        </w:tc>
        <w:tc>
          <w:tcPr>
            <w:tcW w:w="760" w:type="dxa"/>
            <w:vAlign w:val="bottom"/>
            <w:shd w:val="clear" w:color="auto" w:fill="E5E7EF"/>
          </w:tcPr>
          <w:p>
            <w:pPr>
              <w:spacing w:after="0"/>
              <w:rPr>
                <w:sz w:val="8"/>
                <w:szCs w:val="8"/>
                <w:color w:val="auto"/>
              </w:rPr>
            </w:pPr>
          </w:p>
        </w:tc>
        <w:tc>
          <w:tcPr>
            <w:tcW w:w="340" w:type="dxa"/>
            <w:vAlign w:val="bottom"/>
            <w:shd w:val="clear" w:color="auto" w:fill="E5E7EF"/>
          </w:tcPr>
          <w:p>
            <w:pPr>
              <w:spacing w:after="0"/>
              <w:rPr>
                <w:sz w:val="8"/>
                <w:szCs w:val="8"/>
                <w:color w:val="auto"/>
              </w:rPr>
            </w:pPr>
          </w:p>
        </w:tc>
        <w:tc>
          <w:tcPr>
            <w:tcW w:w="80" w:type="dxa"/>
            <w:vAlign w:val="bottom"/>
            <w:shd w:val="clear" w:color="auto" w:fill="E5E7EF"/>
          </w:tcPr>
          <w:p>
            <w:pPr>
              <w:spacing w:after="0"/>
              <w:rPr>
                <w:sz w:val="8"/>
                <w:szCs w:val="8"/>
                <w:color w:val="auto"/>
              </w:rPr>
            </w:pPr>
          </w:p>
        </w:tc>
        <w:tc>
          <w:tcPr>
            <w:tcW w:w="100" w:type="dxa"/>
            <w:vAlign w:val="bottom"/>
            <w:tcBorders>
              <w:right w:val="single" w:sz="8" w:color="E5E7EF"/>
            </w:tcBorders>
            <w:shd w:val="clear" w:color="auto" w:fill="E5E7EF"/>
          </w:tcPr>
          <w:p>
            <w:pPr>
              <w:spacing w:after="0"/>
              <w:rPr>
                <w:sz w:val="8"/>
                <w:szCs w:val="8"/>
                <w:color w:val="auto"/>
              </w:rPr>
            </w:pPr>
          </w:p>
        </w:tc>
        <w:tc>
          <w:tcPr>
            <w:tcW w:w="340" w:type="dxa"/>
            <w:vAlign w:val="bottom"/>
            <w:shd w:val="clear" w:color="auto" w:fill="E5E7EF"/>
          </w:tcPr>
          <w:p>
            <w:pPr>
              <w:spacing w:after="0"/>
              <w:rPr>
                <w:sz w:val="8"/>
                <w:szCs w:val="8"/>
                <w:color w:val="auto"/>
              </w:rPr>
            </w:pPr>
          </w:p>
        </w:tc>
        <w:tc>
          <w:tcPr>
            <w:tcW w:w="220" w:type="dxa"/>
            <w:vAlign w:val="bottom"/>
            <w:tcBorders>
              <w:right w:val="single" w:sz="8" w:color="E5E7EF"/>
            </w:tcBorders>
            <w:shd w:val="clear" w:color="auto" w:fill="E5E7EF"/>
          </w:tcPr>
          <w:p>
            <w:pPr>
              <w:spacing w:after="0"/>
              <w:rPr>
                <w:sz w:val="8"/>
                <w:szCs w:val="8"/>
                <w:color w:val="auto"/>
              </w:rPr>
            </w:pPr>
          </w:p>
        </w:tc>
        <w:tc>
          <w:tcPr>
            <w:tcW w:w="120" w:type="dxa"/>
            <w:vAlign w:val="bottom"/>
            <w:tcBorders>
              <w:right w:val="single" w:sz="8" w:color="012E6C"/>
            </w:tcBorders>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40" w:type="dxa"/>
            <w:vAlign w:val="bottom"/>
            <w:tcBorders>
              <w:left w:val="single" w:sz="8" w:color="012E6C"/>
              <w:right w:val="single" w:sz="8" w:color="012E6C"/>
            </w:tcBorders>
            <w:shd w:val="clear" w:color="auto" w:fill="E5E7EF"/>
          </w:tcPr>
          <w:p>
            <w:pPr>
              <w:spacing w:after="0"/>
              <w:rPr>
                <w:sz w:val="7"/>
                <w:szCs w:val="7"/>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Continued vesting of RSUs</w:t>
            </w:r>
          </w:p>
        </w:tc>
        <w:tc>
          <w:tcPr>
            <w:tcW w:w="1940" w:type="dxa"/>
            <w:vAlign w:val="bottom"/>
            <w:tcBorders>
              <w:right w:val="single" w:sz="8" w:color="012E6C"/>
            </w:tcBorders>
            <w:shd w:val="clear" w:color="auto" w:fill="E5E7EF"/>
          </w:tcPr>
          <w:p>
            <w:pPr>
              <w:spacing w:after="0"/>
              <w:rPr>
                <w:sz w:val="7"/>
                <w:szCs w:val="7"/>
                <w:color w:val="auto"/>
              </w:rPr>
            </w:pPr>
          </w:p>
        </w:tc>
        <w:tc>
          <w:tcPr>
            <w:tcW w:w="222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layoff, subject to six-month</w:t>
            </w:r>
          </w:p>
        </w:tc>
        <w:tc>
          <w:tcPr>
            <w:tcW w:w="100" w:type="dxa"/>
            <w:vAlign w:val="bottom"/>
            <w:shd w:val="clear" w:color="auto" w:fill="E5E7EF"/>
          </w:tcPr>
          <w:p>
            <w:pPr>
              <w:spacing w:after="0"/>
              <w:rPr>
                <w:sz w:val="7"/>
                <w:szCs w:val="7"/>
                <w:color w:val="auto"/>
              </w:rPr>
            </w:pPr>
          </w:p>
        </w:tc>
        <w:tc>
          <w:tcPr>
            <w:tcW w:w="1960" w:type="dxa"/>
            <w:vAlign w:val="bottom"/>
            <w:tcBorders>
              <w:right w:val="single" w:sz="8" w:color="012E6C"/>
            </w:tcBorders>
            <w:gridSpan w:val="4"/>
            <w:vMerge w:val="continue"/>
            <w:shd w:val="clear" w:color="auto" w:fill="E5E7EF"/>
          </w:tcPr>
          <w:p>
            <w:pPr>
              <w:spacing w:after="0"/>
              <w:rPr>
                <w:sz w:val="7"/>
                <w:szCs w:val="7"/>
                <w:color w:val="auto"/>
              </w:rPr>
            </w:pPr>
          </w:p>
        </w:tc>
        <w:tc>
          <w:tcPr>
            <w:tcW w:w="100" w:type="dxa"/>
            <w:vAlign w:val="bottom"/>
            <w:shd w:val="clear" w:color="auto" w:fill="E5E7EF"/>
          </w:tcPr>
          <w:p>
            <w:pPr>
              <w:spacing w:after="0"/>
              <w:rPr>
                <w:sz w:val="7"/>
                <w:szCs w:val="7"/>
                <w:color w:val="auto"/>
              </w:rPr>
            </w:pPr>
          </w:p>
        </w:tc>
        <w:tc>
          <w:tcPr>
            <w:tcW w:w="760" w:type="dxa"/>
            <w:vAlign w:val="bottom"/>
            <w:shd w:val="clear" w:color="auto" w:fill="E5E7EF"/>
          </w:tcPr>
          <w:p>
            <w:pPr>
              <w:spacing w:after="0"/>
              <w:rPr>
                <w:sz w:val="7"/>
                <w:szCs w:val="7"/>
                <w:color w:val="auto"/>
              </w:rPr>
            </w:pPr>
          </w:p>
        </w:tc>
        <w:tc>
          <w:tcPr>
            <w:tcW w:w="340" w:type="dxa"/>
            <w:vAlign w:val="bottom"/>
            <w:shd w:val="clear" w:color="auto" w:fill="E5E7EF"/>
          </w:tcPr>
          <w:p>
            <w:pPr>
              <w:spacing w:after="0"/>
              <w:rPr>
                <w:sz w:val="7"/>
                <w:szCs w:val="7"/>
                <w:color w:val="auto"/>
              </w:rPr>
            </w:pPr>
          </w:p>
        </w:tc>
        <w:tc>
          <w:tcPr>
            <w:tcW w:w="80" w:type="dxa"/>
            <w:vAlign w:val="bottom"/>
            <w:shd w:val="clear" w:color="auto" w:fill="E5E7EF"/>
          </w:tcPr>
          <w:p>
            <w:pPr>
              <w:spacing w:after="0"/>
              <w:rPr>
                <w:sz w:val="7"/>
                <w:szCs w:val="7"/>
                <w:color w:val="auto"/>
              </w:rPr>
            </w:pPr>
          </w:p>
        </w:tc>
        <w:tc>
          <w:tcPr>
            <w:tcW w:w="100" w:type="dxa"/>
            <w:vAlign w:val="bottom"/>
            <w:tcBorders>
              <w:right w:val="single" w:sz="8" w:color="E5E7EF"/>
            </w:tcBorders>
            <w:shd w:val="clear" w:color="auto" w:fill="E5E7EF"/>
          </w:tcPr>
          <w:p>
            <w:pPr>
              <w:spacing w:after="0"/>
              <w:rPr>
                <w:sz w:val="7"/>
                <w:szCs w:val="7"/>
                <w:color w:val="auto"/>
              </w:rPr>
            </w:pPr>
          </w:p>
        </w:tc>
        <w:tc>
          <w:tcPr>
            <w:tcW w:w="340" w:type="dxa"/>
            <w:vAlign w:val="bottom"/>
            <w:shd w:val="clear" w:color="auto" w:fill="E5E7EF"/>
          </w:tcPr>
          <w:p>
            <w:pPr>
              <w:spacing w:after="0"/>
              <w:rPr>
                <w:sz w:val="7"/>
                <w:szCs w:val="7"/>
                <w:color w:val="auto"/>
              </w:rPr>
            </w:pPr>
          </w:p>
        </w:tc>
        <w:tc>
          <w:tcPr>
            <w:tcW w:w="220" w:type="dxa"/>
            <w:vAlign w:val="bottom"/>
            <w:tcBorders>
              <w:right w:val="single" w:sz="8" w:color="E5E7EF"/>
            </w:tcBorders>
            <w:shd w:val="clear" w:color="auto" w:fill="E5E7EF"/>
          </w:tcPr>
          <w:p>
            <w:pPr>
              <w:spacing w:after="0"/>
              <w:rPr>
                <w:sz w:val="7"/>
                <w:szCs w:val="7"/>
                <w:color w:val="auto"/>
              </w:rPr>
            </w:pPr>
          </w:p>
        </w:tc>
        <w:tc>
          <w:tcPr>
            <w:tcW w:w="120" w:type="dxa"/>
            <w:vAlign w:val="bottom"/>
            <w:tcBorders>
              <w:right w:val="single" w:sz="8" w:color="012E6C"/>
            </w:tcBorders>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040" w:type="dxa"/>
            <w:vAlign w:val="bottom"/>
            <w:tcBorders>
              <w:left w:val="single" w:sz="8" w:color="012E6C"/>
              <w:right w:val="single" w:sz="8" w:color="012E6C"/>
            </w:tcBorders>
            <w:shd w:val="clear" w:color="auto" w:fill="E5E7EF"/>
          </w:tcPr>
          <w:p>
            <w:pPr>
              <w:spacing w:after="0"/>
              <w:rPr>
                <w:sz w:val="8"/>
                <w:szCs w:val="8"/>
                <w:color w:val="auto"/>
              </w:rPr>
            </w:pPr>
          </w:p>
        </w:tc>
        <w:tc>
          <w:tcPr>
            <w:tcW w:w="1940" w:type="dxa"/>
            <w:vAlign w:val="bottom"/>
            <w:tcBorders>
              <w:right w:val="single" w:sz="8" w:color="012E6C"/>
            </w:tcBorders>
            <w:vMerge w:val="continue"/>
            <w:shd w:val="clear" w:color="auto" w:fill="E5E7EF"/>
          </w:tcPr>
          <w:p>
            <w:pPr>
              <w:spacing w:after="0"/>
              <w:rPr>
                <w:sz w:val="8"/>
                <w:szCs w:val="8"/>
                <w:color w:val="auto"/>
              </w:rPr>
            </w:pPr>
          </w:p>
        </w:tc>
        <w:tc>
          <w:tcPr>
            <w:tcW w:w="1940" w:type="dxa"/>
            <w:vAlign w:val="bottom"/>
            <w:tcBorders>
              <w:right w:val="single" w:sz="8" w:color="012E6C"/>
            </w:tcBorders>
            <w:shd w:val="clear" w:color="auto" w:fill="E5E7EF"/>
          </w:tcPr>
          <w:p>
            <w:pPr>
              <w:spacing w:after="0"/>
              <w:rPr>
                <w:sz w:val="8"/>
                <w:szCs w:val="8"/>
                <w:color w:val="auto"/>
              </w:rPr>
            </w:pPr>
          </w:p>
        </w:tc>
        <w:tc>
          <w:tcPr>
            <w:tcW w:w="2220" w:type="dxa"/>
            <w:vAlign w:val="bottom"/>
            <w:tcBorders>
              <w:right w:val="single" w:sz="8" w:color="012E6C"/>
            </w:tcBorders>
            <w:vMerge w:val="continue"/>
            <w:shd w:val="clear" w:color="auto" w:fill="E5E7EF"/>
          </w:tcPr>
          <w:p>
            <w:pPr>
              <w:spacing w:after="0"/>
              <w:rPr>
                <w:sz w:val="8"/>
                <w:szCs w:val="8"/>
                <w:color w:val="auto"/>
              </w:rPr>
            </w:pPr>
          </w:p>
        </w:tc>
        <w:tc>
          <w:tcPr>
            <w:tcW w:w="100" w:type="dxa"/>
            <w:vAlign w:val="bottom"/>
            <w:shd w:val="clear" w:color="auto" w:fill="E5E7EF"/>
          </w:tcPr>
          <w:p>
            <w:pPr>
              <w:spacing w:after="0"/>
              <w:rPr>
                <w:sz w:val="8"/>
                <w:szCs w:val="8"/>
                <w:color w:val="auto"/>
              </w:rPr>
            </w:pPr>
          </w:p>
        </w:tc>
        <w:tc>
          <w:tcPr>
            <w:tcW w:w="1960" w:type="dxa"/>
            <w:vAlign w:val="bottom"/>
            <w:tcBorders>
              <w:right w:val="single" w:sz="8" w:color="012E6C"/>
            </w:tcBorders>
            <w:gridSpan w:val="4"/>
            <w:vMerge w:val="restart"/>
            <w:shd w:val="clear" w:color="auto" w:fill="E5E7EF"/>
          </w:tcPr>
          <w:p>
            <w:pPr>
              <w:spacing w:after="0"/>
              <w:rPr>
                <w:sz w:val="20"/>
                <w:szCs w:val="20"/>
                <w:color w:val="auto"/>
              </w:rPr>
            </w:pPr>
            <w:r>
              <w:rPr>
                <w:rFonts w:ascii="Arial" w:cs="Arial" w:eastAsia="Arial" w:hAnsi="Arial"/>
                <w:sz w:val="14"/>
                <w:szCs w:val="14"/>
                <w:color w:val="auto"/>
              </w:rPr>
              <w:t>on a pro rata basis based on</w:t>
            </w:r>
          </w:p>
        </w:tc>
        <w:tc>
          <w:tcPr>
            <w:tcW w:w="100" w:type="dxa"/>
            <w:vAlign w:val="bottom"/>
            <w:shd w:val="clear" w:color="auto" w:fill="E5E7EF"/>
          </w:tcPr>
          <w:p>
            <w:pPr>
              <w:spacing w:after="0"/>
              <w:rPr>
                <w:sz w:val="8"/>
                <w:szCs w:val="8"/>
                <w:color w:val="auto"/>
              </w:rPr>
            </w:pPr>
          </w:p>
        </w:tc>
        <w:tc>
          <w:tcPr>
            <w:tcW w:w="760" w:type="dxa"/>
            <w:vAlign w:val="bottom"/>
            <w:shd w:val="clear" w:color="auto" w:fill="E5E7EF"/>
          </w:tcPr>
          <w:p>
            <w:pPr>
              <w:spacing w:after="0"/>
              <w:rPr>
                <w:sz w:val="8"/>
                <w:szCs w:val="8"/>
                <w:color w:val="auto"/>
              </w:rPr>
            </w:pPr>
          </w:p>
        </w:tc>
        <w:tc>
          <w:tcPr>
            <w:tcW w:w="340" w:type="dxa"/>
            <w:vAlign w:val="bottom"/>
            <w:shd w:val="clear" w:color="auto" w:fill="E5E7EF"/>
          </w:tcPr>
          <w:p>
            <w:pPr>
              <w:spacing w:after="0"/>
              <w:rPr>
                <w:sz w:val="8"/>
                <w:szCs w:val="8"/>
                <w:color w:val="auto"/>
              </w:rPr>
            </w:pPr>
          </w:p>
        </w:tc>
        <w:tc>
          <w:tcPr>
            <w:tcW w:w="80" w:type="dxa"/>
            <w:vAlign w:val="bottom"/>
            <w:shd w:val="clear" w:color="auto" w:fill="E5E7EF"/>
          </w:tcPr>
          <w:p>
            <w:pPr>
              <w:spacing w:after="0"/>
              <w:rPr>
                <w:sz w:val="8"/>
                <w:szCs w:val="8"/>
                <w:color w:val="auto"/>
              </w:rPr>
            </w:pPr>
          </w:p>
        </w:tc>
        <w:tc>
          <w:tcPr>
            <w:tcW w:w="100" w:type="dxa"/>
            <w:vAlign w:val="bottom"/>
            <w:tcBorders>
              <w:right w:val="single" w:sz="8" w:color="E5E7EF"/>
            </w:tcBorders>
            <w:shd w:val="clear" w:color="auto" w:fill="E5E7EF"/>
          </w:tcPr>
          <w:p>
            <w:pPr>
              <w:spacing w:after="0"/>
              <w:rPr>
                <w:sz w:val="8"/>
                <w:szCs w:val="8"/>
                <w:color w:val="auto"/>
              </w:rPr>
            </w:pPr>
          </w:p>
        </w:tc>
        <w:tc>
          <w:tcPr>
            <w:tcW w:w="340" w:type="dxa"/>
            <w:vAlign w:val="bottom"/>
            <w:shd w:val="clear" w:color="auto" w:fill="E5E7EF"/>
          </w:tcPr>
          <w:p>
            <w:pPr>
              <w:spacing w:after="0"/>
              <w:rPr>
                <w:sz w:val="8"/>
                <w:szCs w:val="8"/>
                <w:color w:val="auto"/>
              </w:rPr>
            </w:pPr>
          </w:p>
        </w:tc>
        <w:tc>
          <w:tcPr>
            <w:tcW w:w="220" w:type="dxa"/>
            <w:vAlign w:val="bottom"/>
            <w:tcBorders>
              <w:right w:val="single" w:sz="8" w:color="E5E7EF"/>
            </w:tcBorders>
            <w:shd w:val="clear" w:color="auto" w:fill="E5E7EF"/>
          </w:tcPr>
          <w:p>
            <w:pPr>
              <w:spacing w:after="0"/>
              <w:rPr>
                <w:sz w:val="8"/>
                <w:szCs w:val="8"/>
                <w:color w:val="auto"/>
              </w:rPr>
            </w:pPr>
          </w:p>
        </w:tc>
        <w:tc>
          <w:tcPr>
            <w:tcW w:w="120" w:type="dxa"/>
            <w:vAlign w:val="bottom"/>
            <w:tcBorders>
              <w:right w:val="single" w:sz="8" w:color="012E6C"/>
            </w:tcBorders>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40" w:type="dxa"/>
            <w:vAlign w:val="bottom"/>
            <w:tcBorders>
              <w:left w:val="single" w:sz="8" w:color="012E6C"/>
              <w:right w:val="single" w:sz="8" w:color="012E6C"/>
            </w:tcBorders>
            <w:shd w:val="clear" w:color="auto" w:fill="E5E7EF"/>
          </w:tcPr>
          <w:p>
            <w:pPr>
              <w:spacing w:after="0"/>
              <w:rPr>
                <w:sz w:val="7"/>
                <w:szCs w:val="7"/>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and dividend equivalents</w:t>
            </w:r>
          </w:p>
        </w:tc>
        <w:tc>
          <w:tcPr>
            <w:tcW w:w="1940" w:type="dxa"/>
            <w:vAlign w:val="bottom"/>
            <w:tcBorders>
              <w:right w:val="single" w:sz="8" w:color="012E6C"/>
            </w:tcBorders>
            <w:shd w:val="clear" w:color="auto" w:fill="E5E7EF"/>
          </w:tcPr>
          <w:p>
            <w:pPr>
              <w:spacing w:after="0"/>
              <w:rPr>
                <w:sz w:val="7"/>
                <w:szCs w:val="7"/>
                <w:color w:val="auto"/>
              </w:rPr>
            </w:pPr>
          </w:p>
        </w:tc>
        <w:tc>
          <w:tcPr>
            <w:tcW w:w="222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minimum service from date of</w:t>
            </w:r>
          </w:p>
        </w:tc>
        <w:tc>
          <w:tcPr>
            <w:tcW w:w="100" w:type="dxa"/>
            <w:vAlign w:val="bottom"/>
            <w:shd w:val="clear" w:color="auto" w:fill="E5E7EF"/>
          </w:tcPr>
          <w:p>
            <w:pPr>
              <w:spacing w:after="0"/>
              <w:rPr>
                <w:sz w:val="7"/>
                <w:szCs w:val="7"/>
                <w:color w:val="auto"/>
              </w:rPr>
            </w:pPr>
          </w:p>
        </w:tc>
        <w:tc>
          <w:tcPr>
            <w:tcW w:w="1960" w:type="dxa"/>
            <w:vAlign w:val="bottom"/>
            <w:tcBorders>
              <w:right w:val="single" w:sz="8" w:color="012E6C"/>
            </w:tcBorders>
            <w:gridSpan w:val="4"/>
            <w:vMerge w:val="continue"/>
            <w:shd w:val="clear" w:color="auto" w:fill="E5E7EF"/>
          </w:tcPr>
          <w:p>
            <w:pPr>
              <w:spacing w:after="0"/>
              <w:rPr>
                <w:sz w:val="7"/>
                <w:szCs w:val="7"/>
                <w:color w:val="auto"/>
              </w:rPr>
            </w:pPr>
          </w:p>
        </w:tc>
        <w:tc>
          <w:tcPr>
            <w:tcW w:w="100" w:type="dxa"/>
            <w:vAlign w:val="bottom"/>
            <w:shd w:val="clear" w:color="auto" w:fill="E5E7EF"/>
          </w:tcPr>
          <w:p>
            <w:pPr>
              <w:spacing w:after="0"/>
              <w:rPr>
                <w:sz w:val="7"/>
                <w:szCs w:val="7"/>
                <w:color w:val="auto"/>
              </w:rPr>
            </w:pPr>
          </w:p>
        </w:tc>
        <w:tc>
          <w:tcPr>
            <w:tcW w:w="760" w:type="dxa"/>
            <w:vAlign w:val="bottom"/>
            <w:shd w:val="clear" w:color="auto" w:fill="E5E7EF"/>
          </w:tcPr>
          <w:p>
            <w:pPr>
              <w:spacing w:after="0"/>
              <w:rPr>
                <w:sz w:val="7"/>
                <w:szCs w:val="7"/>
                <w:color w:val="auto"/>
              </w:rPr>
            </w:pPr>
          </w:p>
        </w:tc>
        <w:tc>
          <w:tcPr>
            <w:tcW w:w="340" w:type="dxa"/>
            <w:vAlign w:val="bottom"/>
            <w:shd w:val="clear" w:color="auto" w:fill="E5E7EF"/>
          </w:tcPr>
          <w:p>
            <w:pPr>
              <w:spacing w:after="0"/>
              <w:rPr>
                <w:sz w:val="7"/>
                <w:szCs w:val="7"/>
                <w:color w:val="auto"/>
              </w:rPr>
            </w:pPr>
          </w:p>
        </w:tc>
        <w:tc>
          <w:tcPr>
            <w:tcW w:w="80" w:type="dxa"/>
            <w:vAlign w:val="bottom"/>
            <w:shd w:val="clear" w:color="auto" w:fill="E5E7EF"/>
          </w:tcPr>
          <w:p>
            <w:pPr>
              <w:spacing w:after="0"/>
              <w:rPr>
                <w:sz w:val="7"/>
                <w:szCs w:val="7"/>
                <w:color w:val="auto"/>
              </w:rPr>
            </w:pPr>
          </w:p>
        </w:tc>
        <w:tc>
          <w:tcPr>
            <w:tcW w:w="100" w:type="dxa"/>
            <w:vAlign w:val="bottom"/>
            <w:tcBorders>
              <w:right w:val="single" w:sz="8" w:color="E5E7EF"/>
            </w:tcBorders>
            <w:shd w:val="clear" w:color="auto" w:fill="E5E7EF"/>
          </w:tcPr>
          <w:p>
            <w:pPr>
              <w:spacing w:after="0"/>
              <w:rPr>
                <w:sz w:val="7"/>
                <w:szCs w:val="7"/>
                <w:color w:val="auto"/>
              </w:rPr>
            </w:pPr>
          </w:p>
        </w:tc>
        <w:tc>
          <w:tcPr>
            <w:tcW w:w="340" w:type="dxa"/>
            <w:vAlign w:val="bottom"/>
            <w:shd w:val="clear" w:color="auto" w:fill="E5E7EF"/>
          </w:tcPr>
          <w:p>
            <w:pPr>
              <w:spacing w:after="0"/>
              <w:rPr>
                <w:sz w:val="7"/>
                <w:szCs w:val="7"/>
                <w:color w:val="auto"/>
              </w:rPr>
            </w:pPr>
          </w:p>
        </w:tc>
        <w:tc>
          <w:tcPr>
            <w:tcW w:w="220" w:type="dxa"/>
            <w:vAlign w:val="bottom"/>
            <w:tcBorders>
              <w:right w:val="single" w:sz="8" w:color="E5E7EF"/>
            </w:tcBorders>
            <w:shd w:val="clear" w:color="auto" w:fill="E5E7EF"/>
          </w:tcPr>
          <w:p>
            <w:pPr>
              <w:spacing w:after="0"/>
              <w:rPr>
                <w:sz w:val="7"/>
                <w:szCs w:val="7"/>
                <w:color w:val="auto"/>
              </w:rPr>
            </w:pPr>
          </w:p>
        </w:tc>
        <w:tc>
          <w:tcPr>
            <w:tcW w:w="120" w:type="dxa"/>
            <w:vAlign w:val="bottom"/>
            <w:tcBorders>
              <w:right w:val="single" w:sz="8" w:color="012E6C"/>
            </w:tcBorders>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040" w:type="dxa"/>
            <w:vAlign w:val="bottom"/>
            <w:tcBorders>
              <w:left w:val="single" w:sz="8" w:color="012E6C"/>
              <w:right w:val="single" w:sz="8" w:color="012E6C"/>
            </w:tcBorders>
            <w:vMerge w:val="restart"/>
            <w:shd w:val="clear" w:color="auto" w:fill="E5E7EF"/>
          </w:tcPr>
          <w:p>
            <w:pPr>
              <w:jc w:val="center"/>
              <w:spacing w:after="0"/>
              <w:rPr>
                <w:sz w:val="20"/>
                <w:szCs w:val="20"/>
                <w:color w:val="auto"/>
              </w:rPr>
            </w:pPr>
            <w:r>
              <w:rPr>
                <w:rFonts w:ascii="Arial" w:cs="Arial" w:eastAsia="Arial" w:hAnsi="Arial"/>
                <w:sz w:val="15"/>
                <w:szCs w:val="15"/>
                <w:b w:val="1"/>
                <w:bCs w:val="1"/>
                <w:color w:val="003478"/>
                <w:w w:val="93"/>
              </w:rPr>
              <w:t>RSUs</w:t>
            </w:r>
            <w:r>
              <w:rPr>
                <w:rFonts w:ascii="Arial" w:cs="Arial" w:eastAsia="Arial" w:hAnsi="Arial"/>
                <w:sz w:val="19"/>
                <w:szCs w:val="19"/>
                <w:b w:val="1"/>
                <w:bCs w:val="1"/>
                <w:color w:val="003478"/>
                <w:w w:val="93"/>
                <w:vertAlign w:val="superscript"/>
              </w:rPr>
              <w:t>(3)</w:t>
            </w:r>
          </w:p>
        </w:tc>
        <w:tc>
          <w:tcPr>
            <w:tcW w:w="1940" w:type="dxa"/>
            <w:vAlign w:val="bottom"/>
            <w:tcBorders>
              <w:right w:val="single" w:sz="8" w:color="012E6C"/>
            </w:tcBorders>
            <w:vMerge w:val="continue"/>
            <w:shd w:val="clear" w:color="auto" w:fill="E5E7EF"/>
          </w:tcPr>
          <w:p>
            <w:pPr>
              <w:spacing w:after="0"/>
              <w:rPr>
                <w:sz w:val="8"/>
                <w:szCs w:val="8"/>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Immediate vesting of</w:t>
            </w:r>
          </w:p>
        </w:tc>
        <w:tc>
          <w:tcPr>
            <w:tcW w:w="2220" w:type="dxa"/>
            <w:vAlign w:val="bottom"/>
            <w:tcBorders>
              <w:right w:val="single" w:sz="8" w:color="012E6C"/>
            </w:tcBorders>
            <w:vMerge w:val="continue"/>
            <w:shd w:val="clear" w:color="auto" w:fill="E5E7EF"/>
          </w:tcPr>
          <w:p>
            <w:pPr>
              <w:spacing w:after="0"/>
              <w:rPr>
                <w:sz w:val="8"/>
                <w:szCs w:val="8"/>
                <w:color w:val="auto"/>
              </w:rPr>
            </w:pPr>
          </w:p>
        </w:tc>
        <w:tc>
          <w:tcPr>
            <w:tcW w:w="100" w:type="dxa"/>
            <w:vAlign w:val="bottom"/>
            <w:shd w:val="clear" w:color="auto" w:fill="E5E7EF"/>
          </w:tcPr>
          <w:p>
            <w:pPr>
              <w:spacing w:after="0"/>
              <w:rPr>
                <w:sz w:val="8"/>
                <w:szCs w:val="8"/>
                <w:color w:val="auto"/>
              </w:rPr>
            </w:pPr>
          </w:p>
        </w:tc>
        <w:tc>
          <w:tcPr>
            <w:tcW w:w="1960" w:type="dxa"/>
            <w:vAlign w:val="bottom"/>
            <w:tcBorders>
              <w:right w:val="single" w:sz="8" w:color="012E6C"/>
            </w:tcBorders>
            <w:gridSpan w:val="4"/>
            <w:vMerge w:val="restart"/>
            <w:shd w:val="clear" w:color="auto" w:fill="E5E7EF"/>
          </w:tcPr>
          <w:p>
            <w:pPr>
              <w:spacing w:after="0"/>
              <w:rPr>
                <w:sz w:val="20"/>
                <w:szCs w:val="20"/>
                <w:color w:val="auto"/>
              </w:rPr>
            </w:pPr>
            <w:r>
              <w:rPr>
                <w:rFonts w:ascii="Arial" w:cs="Arial" w:eastAsia="Arial" w:hAnsi="Arial"/>
                <w:sz w:val="14"/>
                <w:szCs w:val="14"/>
                <w:color w:val="auto"/>
              </w:rPr>
              <w:t>the days into the vesting</w:t>
            </w:r>
          </w:p>
        </w:tc>
        <w:tc>
          <w:tcPr>
            <w:tcW w:w="100" w:type="dxa"/>
            <w:vAlign w:val="bottom"/>
            <w:shd w:val="clear" w:color="auto" w:fill="E5E7EF"/>
          </w:tcPr>
          <w:p>
            <w:pPr>
              <w:spacing w:after="0"/>
              <w:rPr>
                <w:sz w:val="8"/>
                <w:szCs w:val="8"/>
                <w:color w:val="auto"/>
              </w:rPr>
            </w:pPr>
          </w:p>
        </w:tc>
        <w:tc>
          <w:tcPr>
            <w:tcW w:w="1960" w:type="dxa"/>
            <w:vAlign w:val="bottom"/>
            <w:tcBorders>
              <w:right w:val="single" w:sz="8" w:color="012E6C"/>
            </w:tcBorders>
            <w:gridSpan w:val="7"/>
            <w:vMerge w:val="restart"/>
            <w:shd w:val="clear" w:color="auto" w:fill="E5E7EF"/>
          </w:tcPr>
          <w:p>
            <w:pPr>
              <w:spacing w:after="0"/>
              <w:rPr>
                <w:sz w:val="20"/>
                <w:szCs w:val="20"/>
                <w:color w:val="auto"/>
              </w:rPr>
            </w:pPr>
            <w:r>
              <w:rPr>
                <w:rFonts w:ascii="Arial" w:cs="Arial" w:eastAsia="Arial" w:hAnsi="Arial"/>
                <w:sz w:val="14"/>
                <w:szCs w:val="14"/>
                <w:color w:val="auto"/>
              </w:rPr>
              <w:t>Forfeit unvested RSUs,</w:t>
            </w:r>
          </w:p>
        </w:tc>
        <w:tc>
          <w:tcPr>
            <w:tcW w:w="0" w:type="dxa"/>
            <w:vAlign w:val="bottom"/>
          </w:tcPr>
          <w:p>
            <w:pPr>
              <w:spacing w:after="0"/>
              <w:rPr>
                <w:sz w:val="1"/>
                <w:szCs w:val="1"/>
                <w:color w:val="auto"/>
              </w:rPr>
            </w:pPr>
          </w:p>
        </w:tc>
      </w:tr>
      <w:tr>
        <w:trPr>
          <w:trHeight w:val="81"/>
        </w:trPr>
        <w:tc>
          <w:tcPr>
            <w:tcW w:w="1040" w:type="dxa"/>
            <w:vAlign w:val="bottom"/>
            <w:tcBorders>
              <w:left w:val="single" w:sz="8" w:color="012E6C"/>
              <w:right w:val="single" w:sz="8" w:color="012E6C"/>
            </w:tcBorders>
            <w:vMerge w:val="continue"/>
            <w:shd w:val="clear" w:color="auto" w:fill="E5E7EF"/>
          </w:tcPr>
          <w:p>
            <w:pPr>
              <w:spacing w:after="0"/>
              <w:rPr>
                <w:sz w:val="7"/>
                <w:szCs w:val="7"/>
                <w:color w:val="auto"/>
              </w:rPr>
            </w:pPr>
          </w:p>
        </w:tc>
        <w:tc>
          <w:tcPr>
            <w:tcW w:w="1940" w:type="dxa"/>
            <w:vAlign w:val="bottom"/>
            <w:tcBorders>
              <w:right w:val="single" w:sz="8" w:color="012E6C"/>
            </w:tcBorders>
            <w:vMerge w:val="restart"/>
            <w:shd w:val="clear" w:color="auto" w:fill="E5E7EF"/>
          </w:tcPr>
          <w:p>
            <w:pPr>
              <w:ind w:left="100"/>
              <w:spacing w:after="0" w:line="137" w:lineRule="exact"/>
              <w:rPr>
                <w:sz w:val="20"/>
                <w:szCs w:val="20"/>
                <w:color w:val="auto"/>
              </w:rPr>
            </w:pPr>
            <w:r>
              <w:rPr>
                <w:rFonts w:ascii="Arial" w:cs="Arial" w:eastAsia="Arial" w:hAnsi="Arial"/>
                <w:sz w:val="14"/>
                <w:szCs w:val="14"/>
                <w:color w:val="auto"/>
              </w:rPr>
              <w:t>subject to six-month</w:t>
            </w:r>
          </w:p>
        </w:tc>
        <w:tc>
          <w:tcPr>
            <w:tcW w:w="1940" w:type="dxa"/>
            <w:vAlign w:val="bottom"/>
            <w:tcBorders>
              <w:right w:val="single" w:sz="8" w:color="012E6C"/>
            </w:tcBorders>
            <w:vMerge w:val="continue"/>
            <w:shd w:val="clear" w:color="auto" w:fill="E5E7EF"/>
          </w:tcPr>
          <w:p>
            <w:pPr>
              <w:spacing w:after="0"/>
              <w:rPr>
                <w:sz w:val="7"/>
                <w:szCs w:val="7"/>
                <w:color w:val="auto"/>
              </w:rPr>
            </w:pPr>
          </w:p>
        </w:tc>
        <w:tc>
          <w:tcPr>
            <w:tcW w:w="2220" w:type="dxa"/>
            <w:vAlign w:val="bottom"/>
            <w:tcBorders>
              <w:right w:val="single" w:sz="8" w:color="012E6C"/>
            </w:tcBorders>
            <w:vMerge w:val="restart"/>
            <w:shd w:val="clear" w:color="auto" w:fill="E5E7EF"/>
          </w:tcPr>
          <w:p>
            <w:pPr>
              <w:ind w:left="100"/>
              <w:spacing w:after="0" w:line="137" w:lineRule="exact"/>
              <w:rPr>
                <w:sz w:val="20"/>
                <w:szCs w:val="20"/>
                <w:color w:val="auto"/>
              </w:rPr>
            </w:pPr>
            <w:r>
              <w:rPr>
                <w:rFonts w:ascii="Arial" w:cs="Arial" w:eastAsia="Arial" w:hAnsi="Arial"/>
                <w:sz w:val="14"/>
                <w:szCs w:val="14"/>
                <w:color w:val="auto"/>
              </w:rPr>
              <w:t>grant and, for the 2020-22 and</w:t>
            </w:r>
          </w:p>
        </w:tc>
        <w:tc>
          <w:tcPr>
            <w:tcW w:w="100" w:type="dxa"/>
            <w:vAlign w:val="bottom"/>
            <w:shd w:val="clear" w:color="auto" w:fill="E5E7EF"/>
          </w:tcPr>
          <w:p>
            <w:pPr>
              <w:spacing w:after="0"/>
              <w:rPr>
                <w:sz w:val="7"/>
                <w:szCs w:val="7"/>
                <w:color w:val="auto"/>
              </w:rPr>
            </w:pPr>
          </w:p>
        </w:tc>
        <w:tc>
          <w:tcPr>
            <w:tcW w:w="1960" w:type="dxa"/>
            <w:vAlign w:val="bottom"/>
            <w:tcBorders>
              <w:right w:val="single" w:sz="8" w:color="012E6C"/>
            </w:tcBorders>
            <w:gridSpan w:val="4"/>
            <w:vMerge w:val="continue"/>
            <w:shd w:val="clear" w:color="auto" w:fill="E5E7EF"/>
          </w:tcPr>
          <w:p>
            <w:pPr>
              <w:spacing w:after="0"/>
              <w:rPr>
                <w:sz w:val="7"/>
                <w:szCs w:val="7"/>
                <w:color w:val="auto"/>
              </w:rPr>
            </w:pPr>
          </w:p>
        </w:tc>
        <w:tc>
          <w:tcPr>
            <w:tcW w:w="100" w:type="dxa"/>
            <w:vAlign w:val="bottom"/>
            <w:shd w:val="clear" w:color="auto" w:fill="E5E7EF"/>
          </w:tcPr>
          <w:p>
            <w:pPr>
              <w:spacing w:after="0"/>
              <w:rPr>
                <w:sz w:val="7"/>
                <w:szCs w:val="7"/>
                <w:color w:val="auto"/>
              </w:rPr>
            </w:pPr>
          </w:p>
        </w:tc>
        <w:tc>
          <w:tcPr>
            <w:tcW w:w="1960" w:type="dxa"/>
            <w:vAlign w:val="bottom"/>
            <w:tcBorders>
              <w:right w:val="single" w:sz="8" w:color="012E6C"/>
            </w:tcBorders>
            <w:gridSpan w:val="7"/>
            <w:vMerge w:val="continue"/>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1040" w:type="dxa"/>
            <w:vAlign w:val="bottom"/>
            <w:tcBorders>
              <w:left w:val="single" w:sz="8" w:color="012E6C"/>
              <w:right w:val="single" w:sz="8" w:color="012E6C"/>
            </w:tcBorders>
            <w:vMerge w:val="continue"/>
            <w:shd w:val="clear" w:color="auto" w:fill="E5E7EF"/>
          </w:tcPr>
          <w:p>
            <w:pPr>
              <w:spacing w:after="0"/>
              <w:rPr>
                <w:sz w:val="4"/>
                <w:szCs w:val="4"/>
                <w:color w:val="auto"/>
              </w:rPr>
            </w:pPr>
          </w:p>
        </w:tc>
        <w:tc>
          <w:tcPr>
            <w:tcW w:w="1940" w:type="dxa"/>
            <w:vAlign w:val="bottom"/>
            <w:tcBorders>
              <w:right w:val="single" w:sz="8" w:color="012E6C"/>
            </w:tcBorders>
            <w:vMerge w:val="continue"/>
            <w:shd w:val="clear" w:color="auto" w:fill="E5E7EF"/>
          </w:tcPr>
          <w:p>
            <w:pPr>
              <w:spacing w:after="0"/>
              <w:rPr>
                <w:sz w:val="4"/>
                <w:szCs w:val="4"/>
                <w:color w:val="auto"/>
              </w:rPr>
            </w:pPr>
          </w:p>
        </w:tc>
        <w:tc>
          <w:tcPr>
            <w:tcW w:w="1940" w:type="dxa"/>
            <w:vAlign w:val="bottom"/>
            <w:tcBorders>
              <w:right w:val="single" w:sz="8" w:color="012E6C"/>
            </w:tcBorders>
            <w:vMerge w:val="continue"/>
            <w:shd w:val="clear" w:color="auto" w:fill="E5E7EF"/>
          </w:tcPr>
          <w:p>
            <w:pPr>
              <w:spacing w:after="0"/>
              <w:rPr>
                <w:sz w:val="4"/>
                <w:szCs w:val="4"/>
                <w:color w:val="auto"/>
              </w:rPr>
            </w:pPr>
          </w:p>
        </w:tc>
        <w:tc>
          <w:tcPr>
            <w:tcW w:w="2220" w:type="dxa"/>
            <w:vAlign w:val="bottom"/>
            <w:tcBorders>
              <w:right w:val="single" w:sz="8" w:color="012E6C"/>
            </w:tcBorders>
            <w:vMerge w:val="continue"/>
            <w:shd w:val="clear" w:color="auto" w:fill="E5E7EF"/>
          </w:tcPr>
          <w:p>
            <w:pPr>
              <w:spacing w:after="0"/>
              <w:rPr>
                <w:sz w:val="4"/>
                <w:szCs w:val="4"/>
                <w:color w:val="auto"/>
              </w:rPr>
            </w:pPr>
          </w:p>
        </w:tc>
        <w:tc>
          <w:tcPr>
            <w:tcW w:w="100" w:type="dxa"/>
            <w:vAlign w:val="bottom"/>
            <w:shd w:val="clear" w:color="auto" w:fill="E5E7EF"/>
          </w:tcPr>
          <w:p>
            <w:pPr>
              <w:spacing w:after="0"/>
              <w:rPr>
                <w:sz w:val="4"/>
                <w:szCs w:val="4"/>
                <w:color w:val="auto"/>
              </w:rPr>
            </w:pPr>
          </w:p>
        </w:tc>
        <w:tc>
          <w:tcPr>
            <w:tcW w:w="1960" w:type="dxa"/>
            <w:vAlign w:val="bottom"/>
            <w:tcBorders>
              <w:right w:val="single" w:sz="8" w:color="012E6C"/>
            </w:tcBorders>
            <w:gridSpan w:val="4"/>
            <w:vMerge w:val="restart"/>
            <w:shd w:val="clear" w:color="auto" w:fill="E5E7EF"/>
          </w:tcPr>
          <w:p>
            <w:pPr>
              <w:spacing w:after="0"/>
              <w:rPr>
                <w:sz w:val="20"/>
                <w:szCs w:val="20"/>
                <w:color w:val="auto"/>
              </w:rPr>
            </w:pPr>
            <w:r>
              <w:rPr>
                <w:rFonts w:ascii="Arial" w:cs="Arial" w:eastAsia="Arial" w:hAnsi="Arial"/>
                <w:sz w:val="14"/>
                <w:szCs w:val="14"/>
                <w:color w:val="auto"/>
              </w:rPr>
              <w:t>period at closing unless the</w:t>
            </w:r>
          </w:p>
        </w:tc>
        <w:tc>
          <w:tcPr>
            <w:tcW w:w="100" w:type="dxa"/>
            <w:vAlign w:val="bottom"/>
            <w:shd w:val="clear" w:color="auto" w:fill="E5E7EF"/>
          </w:tcPr>
          <w:p>
            <w:pPr>
              <w:spacing w:after="0"/>
              <w:rPr>
                <w:sz w:val="4"/>
                <w:szCs w:val="4"/>
                <w:color w:val="auto"/>
              </w:rPr>
            </w:pPr>
          </w:p>
        </w:tc>
        <w:tc>
          <w:tcPr>
            <w:tcW w:w="1960" w:type="dxa"/>
            <w:vAlign w:val="bottom"/>
            <w:tcBorders>
              <w:right w:val="single" w:sz="8" w:color="012E6C"/>
            </w:tcBorders>
            <w:gridSpan w:val="7"/>
            <w:vMerge w:val="continue"/>
            <w:shd w:val="clear" w:color="auto" w:fill="E5E7EF"/>
          </w:tcPr>
          <w:p>
            <w:pPr>
              <w:spacing w:after="0"/>
              <w:rPr>
                <w:sz w:val="4"/>
                <w:szCs w:val="4"/>
                <w:color w:val="auto"/>
              </w:rPr>
            </w:pPr>
          </w:p>
        </w:tc>
        <w:tc>
          <w:tcPr>
            <w:tcW w:w="0" w:type="dxa"/>
            <w:vAlign w:val="bottom"/>
          </w:tcPr>
          <w:p>
            <w:pPr>
              <w:spacing w:after="0"/>
              <w:rPr>
                <w:sz w:val="1"/>
                <w:szCs w:val="1"/>
                <w:color w:val="auto"/>
              </w:rPr>
            </w:pPr>
          </w:p>
        </w:tc>
      </w:tr>
      <w:tr>
        <w:trPr>
          <w:trHeight w:val="116"/>
        </w:trPr>
        <w:tc>
          <w:tcPr>
            <w:tcW w:w="1040" w:type="dxa"/>
            <w:vAlign w:val="bottom"/>
            <w:tcBorders>
              <w:left w:val="single" w:sz="8" w:color="012E6C"/>
              <w:right w:val="single" w:sz="8" w:color="012E6C"/>
            </w:tcBorders>
            <w:shd w:val="clear" w:color="auto" w:fill="E5E7EF"/>
          </w:tcPr>
          <w:p>
            <w:pPr>
              <w:spacing w:after="0"/>
              <w:rPr>
                <w:sz w:val="10"/>
                <w:szCs w:val="10"/>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minimum service from date</w:t>
            </w: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RSUs, PSUs at Target,</w:t>
            </w:r>
          </w:p>
        </w:tc>
        <w:tc>
          <w:tcPr>
            <w:tcW w:w="222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2021-23 awards, execution of a</w:t>
            </w:r>
          </w:p>
        </w:tc>
        <w:tc>
          <w:tcPr>
            <w:tcW w:w="100" w:type="dxa"/>
            <w:vAlign w:val="bottom"/>
            <w:shd w:val="clear" w:color="auto" w:fill="E5E7EF"/>
          </w:tcPr>
          <w:p>
            <w:pPr>
              <w:spacing w:after="0"/>
              <w:rPr>
                <w:sz w:val="10"/>
                <w:szCs w:val="10"/>
                <w:color w:val="auto"/>
              </w:rPr>
            </w:pPr>
          </w:p>
        </w:tc>
        <w:tc>
          <w:tcPr>
            <w:tcW w:w="1960" w:type="dxa"/>
            <w:vAlign w:val="bottom"/>
            <w:tcBorders>
              <w:right w:val="single" w:sz="8" w:color="012E6C"/>
            </w:tcBorders>
            <w:gridSpan w:val="4"/>
            <w:vMerge w:val="continue"/>
            <w:shd w:val="clear" w:color="auto" w:fill="E5E7EF"/>
          </w:tcPr>
          <w:p>
            <w:pPr>
              <w:spacing w:after="0"/>
              <w:rPr>
                <w:sz w:val="10"/>
                <w:szCs w:val="10"/>
                <w:color w:val="auto"/>
              </w:rPr>
            </w:pPr>
          </w:p>
        </w:tc>
        <w:tc>
          <w:tcPr>
            <w:tcW w:w="100" w:type="dxa"/>
            <w:vAlign w:val="bottom"/>
            <w:shd w:val="clear" w:color="auto" w:fill="E5E7EF"/>
          </w:tcPr>
          <w:p>
            <w:pPr>
              <w:spacing w:after="0"/>
              <w:rPr>
                <w:sz w:val="10"/>
                <w:szCs w:val="10"/>
                <w:color w:val="auto"/>
              </w:rPr>
            </w:pPr>
          </w:p>
        </w:tc>
        <w:tc>
          <w:tcPr>
            <w:tcW w:w="1960" w:type="dxa"/>
            <w:vAlign w:val="bottom"/>
            <w:tcBorders>
              <w:right w:val="single" w:sz="8" w:color="012E6C"/>
            </w:tcBorders>
            <w:gridSpan w:val="7"/>
            <w:vMerge w:val="restart"/>
            <w:shd w:val="clear" w:color="auto" w:fill="E5E7EF"/>
          </w:tcPr>
          <w:p>
            <w:pPr>
              <w:spacing w:after="0"/>
              <w:rPr>
                <w:sz w:val="20"/>
                <w:szCs w:val="20"/>
                <w:color w:val="auto"/>
              </w:rPr>
            </w:pPr>
            <w:r>
              <w:rPr>
                <w:rFonts w:ascii="Arial" w:cs="Arial" w:eastAsia="Arial" w:hAnsi="Arial"/>
                <w:sz w:val="14"/>
                <w:szCs w:val="14"/>
                <w:color w:val="auto"/>
              </w:rPr>
              <w:t>PSUs and LTIP and dividend</w:t>
            </w:r>
          </w:p>
        </w:tc>
        <w:tc>
          <w:tcPr>
            <w:tcW w:w="0" w:type="dxa"/>
            <w:vAlign w:val="bottom"/>
          </w:tcPr>
          <w:p>
            <w:pPr>
              <w:spacing w:after="0"/>
              <w:rPr>
                <w:sz w:val="1"/>
                <w:szCs w:val="1"/>
                <w:color w:val="auto"/>
              </w:rPr>
            </w:pPr>
          </w:p>
        </w:tc>
      </w:tr>
      <w:tr>
        <w:trPr>
          <w:trHeight w:val="58"/>
        </w:trPr>
        <w:tc>
          <w:tcPr>
            <w:tcW w:w="1040" w:type="dxa"/>
            <w:vAlign w:val="bottom"/>
            <w:tcBorders>
              <w:left w:val="single" w:sz="8" w:color="012E6C"/>
              <w:right w:val="single" w:sz="8" w:color="012E6C"/>
            </w:tcBorders>
            <w:shd w:val="clear" w:color="auto" w:fill="E5E7EF"/>
          </w:tcPr>
          <w:p>
            <w:pPr>
              <w:spacing w:after="0"/>
              <w:rPr>
                <w:sz w:val="5"/>
                <w:szCs w:val="5"/>
                <w:color w:val="auto"/>
              </w:rPr>
            </w:pPr>
          </w:p>
        </w:tc>
        <w:tc>
          <w:tcPr>
            <w:tcW w:w="1940" w:type="dxa"/>
            <w:vAlign w:val="bottom"/>
            <w:tcBorders>
              <w:right w:val="single" w:sz="8" w:color="012E6C"/>
            </w:tcBorders>
            <w:vMerge w:val="continue"/>
            <w:shd w:val="clear" w:color="auto" w:fill="E5E7EF"/>
          </w:tcPr>
          <w:p>
            <w:pPr>
              <w:spacing w:after="0"/>
              <w:rPr>
                <w:sz w:val="5"/>
                <w:szCs w:val="5"/>
                <w:color w:val="auto"/>
              </w:rPr>
            </w:pPr>
          </w:p>
        </w:tc>
        <w:tc>
          <w:tcPr>
            <w:tcW w:w="1940" w:type="dxa"/>
            <w:vAlign w:val="bottom"/>
            <w:tcBorders>
              <w:right w:val="single" w:sz="8" w:color="012E6C"/>
            </w:tcBorders>
            <w:vMerge w:val="continue"/>
            <w:shd w:val="clear" w:color="auto" w:fill="E5E7EF"/>
          </w:tcPr>
          <w:p>
            <w:pPr>
              <w:spacing w:after="0"/>
              <w:rPr>
                <w:sz w:val="5"/>
                <w:szCs w:val="5"/>
                <w:color w:val="auto"/>
              </w:rPr>
            </w:pPr>
          </w:p>
        </w:tc>
        <w:tc>
          <w:tcPr>
            <w:tcW w:w="2220" w:type="dxa"/>
            <w:vAlign w:val="bottom"/>
            <w:tcBorders>
              <w:right w:val="single" w:sz="8" w:color="012E6C"/>
            </w:tcBorders>
            <w:vMerge w:val="continue"/>
            <w:shd w:val="clear" w:color="auto" w:fill="E5E7EF"/>
          </w:tcPr>
          <w:p>
            <w:pPr>
              <w:spacing w:after="0"/>
              <w:rPr>
                <w:sz w:val="5"/>
                <w:szCs w:val="5"/>
                <w:color w:val="auto"/>
              </w:rPr>
            </w:pPr>
          </w:p>
        </w:tc>
        <w:tc>
          <w:tcPr>
            <w:tcW w:w="100" w:type="dxa"/>
            <w:vAlign w:val="bottom"/>
            <w:shd w:val="clear" w:color="auto" w:fill="E5E7EF"/>
          </w:tcPr>
          <w:p>
            <w:pPr>
              <w:spacing w:after="0"/>
              <w:rPr>
                <w:sz w:val="5"/>
                <w:szCs w:val="5"/>
                <w:color w:val="auto"/>
              </w:rPr>
            </w:pPr>
          </w:p>
        </w:tc>
        <w:tc>
          <w:tcPr>
            <w:tcW w:w="760" w:type="dxa"/>
            <w:vAlign w:val="bottom"/>
            <w:gridSpan w:val="2"/>
            <w:vMerge w:val="restart"/>
            <w:shd w:val="clear" w:color="auto" w:fill="E5E7EF"/>
          </w:tcPr>
          <w:p>
            <w:pPr>
              <w:spacing w:after="0"/>
              <w:rPr>
                <w:sz w:val="20"/>
                <w:szCs w:val="20"/>
                <w:color w:val="auto"/>
              </w:rPr>
            </w:pPr>
            <w:r>
              <w:rPr>
                <w:rFonts w:ascii="Arial" w:cs="Arial" w:eastAsia="Arial" w:hAnsi="Arial"/>
                <w:sz w:val="14"/>
                <w:szCs w:val="14"/>
                <w:color w:val="auto"/>
                <w:w w:val="99"/>
              </w:rPr>
              <w:t>employee is</w:t>
            </w:r>
          </w:p>
        </w:tc>
        <w:tc>
          <w:tcPr>
            <w:tcW w:w="740" w:type="dxa"/>
            <w:vAlign w:val="bottom"/>
            <w:vMerge w:val="restart"/>
            <w:shd w:val="clear" w:color="auto" w:fill="E4E6EF"/>
          </w:tcPr>
          <w:p>
            <w:pPr>
              <w:ind w:left="40"/>
              <w:spacing w:after="0"/>
              <w:rPr>
                <w:sz w:val="20"/>
                <w:szCs w:val="20"/>
                <w:color w:val="auto"/>
              </w:rPr>
            </w:pPr>
            <w:r>
              <w:rPr>
                <w:rFonts w:ascii="Arial" w:cs="Arial" w:eastAsia="Arial" w:hAnsi="Arial"/>
                <w:sz w:val="14"/>
                <w:szCs w:val="14"/>
                <w:color w:val="auto"/>
                <w:shd w:val="clear" w:color="auto" w:fill="E4E6EF"/>
              </w:rPr>
              <w:t>retirement-</w:t>
            </w:r>
          </w:p>
        </w:tc>
        <w:tc>
          <w:tcPr>
            <w:tcW w:w="460" w:type="dxa"/>
            <w:vAlign w:val="bottom"/>
            <w:tcBorders>
              <w:right w:val="single" w:sz="8" w:color="012E6C"/>
            </w:tcBorders>
            <w:shd w:val="clear" w:color="auto" w:fill="E5E7EF"/>
          </w:tcPr>
          <w:p>
            <w:pPr>
              <w:spacing w:after="0"/>
              <w:rPr>
                <w:sz w:val="5"/>
                <w:szCs w:val="5"/>
                <w:color w:val="auto"/>
              </w:rPr>
            </w:pPr>
          </w:p>
        </w:tc>
        <w:tc>
          <w:tcPr>
            <w:tcW w:w="100" w:type="dxa"/>
            <w:vAlign w:val="bottom"/>
            <w:shd w:val="clear" w:color="auto" w:fill="E5E7EF"/>
          </w:tcPr>
          <w:p>
            <w:pPr>
              <w:spacing w:after="0"/>
              <w:rPr>
                <w:sz w:val="5"/>
                <w:szCs w:val="5"/>
                <w:color w:val="auto"/>
              </w:rPr>
            </w:pPr>
          </w:p>
        </w:tc>
        <w:tc>
          <w:tcPr>
            <w:tcW w:w="1960" w:type="dxa"/>
            <w:vAlign w:val="bottom"/>
            <w:tcBorders>
              <w:right w:val="single" w:sz="8" w:color="012E6C"/>
            </w:tcBorders>
            <w:gridSpan w:val="7"/>
            <w:vMerge w:val="continue"/>
            <w:shd w:val="clear" w:color="auto" w:fill="E5E7EF"/>
          </w:tcPr>
          <w:p>
            <w:pPr>
              <w:spacing w:after="0"/>
              <w:rPr>
                <w:sz w:val="5"/>
                <w:szCs w:val="5"/>
                <w:color w:val="auto"/>
              </w:rPr>
            </w:pPr>
          </w:p>
        </w:tc>
        <w:tc>
          <w:tcPr>
            <w:tcW w:w="0" w:type="dxa"/>
            <w:vAlign w:val="bottom"/>
          </w:tcPr>
          <w:p>
            <w:pPr>
              <w:spacing w:after="0"/>
              <w:rPr>
                <w:sz w:val="1"/>
                <w:szCs w:val="1"/>
                <w:color w:val="auto"/>
              </w:rPr>
            </w:pPr>
          </w:p>
        </w:tc>
      </w:tr>
      <w:tr>
        <w:trPr>
          <w:trHeight w:val="103"/>
        </w:trPr>
        <w:tc>
          <w:tcPr>
            <w:tcW w:w="1040" w:type="dxa"/>
            <w:vAlign w:val="bottom"/>
            <w:tcBorders>
              <w:left w:val="single" w:sz="8" w:color="012E6C"/>
              <w:bottom w:val="single" w:sz="8" w:color="E5E7EF"/>
              <w:right w:val="single" w:sz="8" w:color="012E6C"/>
            </w:tcBorders>
            <w:shd w:val="clear" w:color="auto" w:fill="E5E7EF"/>
          </w:tcPr>
          <w:p>
            <w:pPr>
              <w:spacing w:after="0"/>
              <w:rPr>
                <w:sz w:val="8"/>
                <w:szCs w:val="8"/>
                <w:color w:val="auto"/>
              </w:rPr>
            </w:pPr>
          </w:p>
        </w:tc>
        <w:tc>
          <w:tcPr>
            <w:tcW w:w="1940" w:type="dxa"/>
            <w:vAlign w:val="bottom"/>
            <w:tcBorders>
              <w:bottom w:val="single" w:sz="8" w:color="E5E7EF"/>
              <w:right w:val="single" w:sz="8" w:color="012E6C"/>
            </w:tcBorders>
            <w:vMerge w:val="restart"/>
            <w:shd w:val="clear" w:color="auto" w:fill="E5E7EF"/>
          </w:tcPr>
          <w:p>
            <w:pPr>
              <w:ind w:left="100"/>
              <w:spacing w:after="0" w:line="175" w:lineRule="exact"/>
              <w:rPr>
                <w:sz w:val="20"/>
                <w:szCs w:val="20"/>
                <w:color w:val="auto"/>
              </w:rPr>
            </w:pPr>
            <w:r>
              <w:rPr>
                <w:rFonts w:ascii="Arial" w:cs="Arial" w:eastAsia="Arial" w:hAnsi="Arial"/>
                <w:sz w:val="14"/>
                <w:szCs w:val="14"/>
                <w:color w:val="auto"/>
              </w:rPr>
              <w:t>of grant.</w:t>
            </w:r>
            <w:r>
              <w:rPr>
                <w:rFonts w:ascii="Arial" w:cs="Arial" w:eastAsia="Arial" w:hAnsi="Arial"/>
                <w:sz w:val="18"/>
                <w:szCs w:val="18"/>
                <w:color w:val="auto"/>
                <w:vertAlign w:val="superscript"/>
              </w:rPr>
              <w:t>(3)</w:t>
            </w:r>
          </w:p>
        </w:tc>
        <w:tc>
          <w:tcPr>
            <w:tcW w:w="1940" w:type="dxa"/>
            <w:vAlign w:val="bottom"/>
            <w:tcBorders>
              <w:bottom w:val="single" w:sz="8" w:color="E5E7EF"/>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LTIP at Target and</w:t>
            </w:r>
          </w:p>
        </w:tc>
        <w:tc>
          <w:tcPr>
            <w:tcW w:w="2220" w:type="dxa"/>
            <w:vAlign w:val="bottom"/>
            <w:tcBorders>
              <w:bottom w:val="single" w:sz="8" w:color="E5E7EF"/>
              <w:right w:val="single" w:sz="8" w:color="012E6C"/>
            </w:tcBorders>
            <w:vMerge w:val="restart"/>
            <w:shd w:val="clear" w:color="auto" w:fill="E5E7EF"/>
          </w:tcPr>
          <w:p>
            <w:pPr>
              <w:ind w:left="100"/>
              <w:spacing w:after="0" w:line="175" w:lineRule="exact"/>
              <w:rPr>
                <w:sz w:val="20"/>
                <w:szCs w:val="20"/>
                <w:color w:val="auto"/>
              </w:rPr>
            </w:pPr>
            <w:r>
              <w:rPr>
                <w:rFonts w:ascii="Arial" w:cs="Arial" w:eastAsia="Arial" w:hAnsi="Arial"/>
                <w:sz w:val="14"/>
                <w:szCs w:val="14"/>
                <w:color w:val="auto"/>
              </w:rPr>
              <w:t>release of claims.</w:t>
            </w:r>
            <w:r>
              <w:rPr>
                <w:rFonts w:ascii="Arial" w:cs="Arial" w:eastAsia="Arial" w:hAnsi="Arial"/>
                <w:sz w:val="18"/>
                <w:szCs w:val="18"/>
                <w:color w:val="auto"/>
                <w:vertAlign w:val="superscript"/>
              </w:rPr>
              <w:t>(3)</w:t>
            </w:r>
            <w:r>
              <w:rPr>
                <w:rFonts w:ascii="Arial" w:cs="Arial" w:eastAsia="Arial" w:hAnsi="Arial"/>
                <w:sz w:val="14"/>
                <w:szCs w:val="14"/>
                <w:color w:val="auto"/>
              </w:rPr>
              <w:t xml:space="preserve"> Immediate</w:t>
            </w:r>
          </w:p>
        </w:tc>
        <w:tc>
          <w:tcPr>
            <w:tcW w:w="100" w:type="dxa"/>
            <w:vAlign w:val="bottom"/>
            <w:tcBorders>
              <w:bottom w:val="single" w:sz="8" w:color="E5E7EF"/>
            </w:tcBorders>
            <w:shd w:val="clear" w:color="auto" w:fill="E5E7EF"/>
          </w:tcPr>
          <w:p>
            <w:pPr>
              <w:spacing w:after="0"/>
              <w:rPr>
                <w:sz w:val="8"/>
                <w:szCs w:val="8"/>
                <w:color w:val="auto"/>
              </w:rPr>
            </w:pPr>
          </w:p>
        </w:tc>
        <w:tc>
          <w:tcPr>
            <w:tcW w:w="760" w:type="dxa"/>
            <w:vAlign w:val="bottom"/>
            <w:tcBorders>
              <w:bottom w:val="single" w:sz="8" w:color="E5E7EF"/>
            </w:tcBorders>
            <w:gridSpan w:val="2"/>
            <w:vMerge w:val="continue"/>
            <w:shd w:val="clear" w:color="auto" w:fill="E5E7EF"/>
          </w:tcPr>
          <w:p>
            <w:pPr>
              <w:spacing w:after="0"/>
              <w:rPr>
                <w:sz w:val="8"/>
                <w:szCs w:val="8"/>
                <w:color w:val="auto"/>
              </w:rPr>
            </w:pPr>
          </w:p>
        </w:tc>
        <w:tc>
          <w:tcPr>
            <w:tcW w:w="740" w:type="dxa"/>
            <w:vAlign w:val="bottom"/>
            <w:tcBorders>
              <w:bottom w:val="single" w:sz="8" w:color="E5E7EF"/>
            </w:tcBorders>
            <w:vMerge w:val="continue"/>
            <w:shd w:val="clear" w:color="auto" w:fill="E4E6EF"/>
          </w:tcPr>
          <w:p>
            <w:pPr>
              <w:spacing w:after="0"/>
              <w:rPr>
                <w:sz w:val="8"/>
                <w:szCs w:val="8"/>
                <w:color w:val="auto"/>
              </w:rPr>
            </w:pPr>
          </w:p>
        </w:tc>
        <w:tc>
          <w:tcPr>
            <w:tcW w:w="460" w:type="dxa"/>
            <w:vAlign w:val="bottom"/>
            <w:tcBorders>
              <w:bottom w:val="single" w:sz="8" w:color="E5E7EF"/>
              <w:right w:val="single" w:sz="8" w:color="012E6C"/>
            </w:tcBorders>
            <w:shd w:val="clear" w:color="auto" w:fill="E5E7EF"/>
          </w:tcPr>
          <w:p>
            <w:pPr>
              <w:spacing w:after="0"/>
              <w:rPr>
                <w:sz w:val="8"/>
                <w:szCs w:val="8"/>
                <w:color w:val="auto"/>
              </w:rPr>
            </w:pPr>
          </w:p>
        </w:tc>
        <w:tc>
          <w:tcPr>
            <w:tcW w:w="100" w:type="dxa"/>
            <w:vAlign w:val="bottom"/>
            <w:tcBorders>
              <w:bottom w:val="single" w:sz="8" w:color="E5E7EF"/>
            </w:tcBorders>
            <w:shd w:val="clear" w:color="auto" w:fill="E5E7EF"/>
          </w:tcPr>
          <w:p>
            <w:pPr>
              <w:spacing w:after="0"/>
              <w:rPr>
                <w:sz w:val="8"/>
                <w:szCs w:val="8"/>
                <w:color w:val="auto"/>
              </w:rPr>
            </w:pPr>
          </w:p>
        </w:tc>
        <w:tc>
          <w:tcPr>
            <w:tcW w:w="1960" w:type="dxa"/>
            <w:vAlign w:val="bottom"/>
            <w:tcBorders>
              <w:bottom w:val="single" w:sz="8" w:color="E5E7EF"/>
              <w:right w:val="single" w:sz="8" w:color="012E6C"/>
            </w:tcBorders>
            <w:gridSpan w:val="7"/>
            <w:vMerge w:val="restart"/>
            <w:shd w:val="clear" w:color="auto" w:fill="E5E7EF"/>
          </w:tcPr>
          <w:p>
            <w:pPr>
              <w:spacing w:after="0"/>
              <w:rPr>
                <w:sz w:val="20"/>
                <w:szCs w:val="20"/>
                <w:color w:val="auto"/>
              </w:rPr>
            </w:pPr>
            <w:r>
              <w:rPr>
                <w:rFonts w:ascii="Arial" w:cs="Arial" w:eastAsia="Arial" w:hAnsi="Arial"/>
                <w:sz w:val="14"/>
                <w:szCs w:val="14"/>
                <w:color w:val="auto"/>
              </w:rPr>
              <w:t>equivalents on RSUs and</w:t>
            </w:r>
          </w:p>
        </w:tc>
        <w:tc>
          <w:tcPr>
            <w:tcW w:w="0" w:type="dxa"/>
            <w:vAlign w:val="bottom"/>
          </w:tcPr>
          <w:p>
            <w:pPr>
              <w:spacing w:after="0"/>
              <w:rPr>
                <w:sz w:val="1"/>
                <w:szCs w:val="1"/>
                <w:color w:val="auto"/>
              </w:rPr>
            </w:pPr>
          </w:p>
        </w:tc>
      </w:tr>
      <w:tr>
        <w:trPr>
          <w:trHeight w:val="52"/>
        </w:trPr>
        <w:tc>
          <w:tcPr>
            <w:tcW w:w="1040" w:type="dxa"/>
            <w:vAlign w:val="bottom"/>
            <w:tcBorders>
              <w:left w:val="single" w:sz="8" w:color="012E6C"/>
              <w:right w:val="single" w:sz="8" w:color="012E6C"/>
            </w:tcBorders>
            <w:shd w:val="clear" w:color="auto" w:fill="E5E7EF"/>
          </w:tcPr>
          <w:p>
            <w:pPr>
              <w:spacing w:after="0"/>
              <w:rPr>
                <w:sz w:val="4"/>
                <w:szCs w:val="4"/>
                <w:color w:val="auto"/>
              </w:rPr>
            </w:pPr>
          </w:p>
        </w:tc>
        <w:tc>
          <w:tcPr>
            <w:tcW w:w="1940" w:type="dxa"/>
            <w:vAlign w:val="bottom"/>
            <w:tcBorders>
              <w:right w:val="single" w:sz="8" w:color="012E6C"/>
            </w:tcBorders>
            <w:vMerge w:val="continue"/>
            <w:shd w:val="clear" w:color="auto" w:fill="E5E7EF"/>
          </w:tcPr>
          <w:p>
            <w:pPr>
              <w:spacing w:after="0"/>
              <w:rPr>
                <w:sz w:val="4"/>
                <w:szCs w:val="4"/>
                <w:color w:val="auto"/>
              </w:rPr>
            </w:pPr>
          </w:p>
        </w:tc>
        <w:tc>
          <w:tcPr>
            <w:tcW w:w="1940" w:type="dxa"/>
            <w:vAlign w:val="bottom"/>
            <w:tcBorders>
              <w:right w:val="single" w:sz="8" w:color="012E6C"/>
            </w:tcBorders>
            <w:vMerge w:val="continue"/>
            <w:shd w:val="clear" w:color="auto" w:fill="E5E7EF"/>
          </w:tcPr>
          <w:p>
            <w:pPr>
              <w:spacing w:after="0"/>
              <w:rPr>
                <w:sz w:val="4"/>
                <w:szCs w:val="4"/>
                <w:color w:val="auto"/>
              </w:rPr>
            </w:pPr>
          </w:p>
        </w:tc>
        <w:tc>
          <w:tcPr>
            <w:tcW w:w="2220" w:type="dxa"/>
            <w:vAlign w:val="bottom"/>
            <w:tcBorders>
              <w:right w:val="single" w:sz="8" w:color="012E6C"/>
            </w:tcBorders>
            <w:vMerge w:val="continue"/>
            <w:shd w:val="clear" w:color="auto" w:fill="E5E7EF"/>
          </w:tcPr>
          <w:p>
            <w:pPr>
              <w:spacing w:after="0"/>
              <w:rPr>
                <w:sz w:val="4"/>
                <w:szCs w:val="4"/>
                <w:color w:val="auto"/>
              </w:rPr>
            </w:pPr>
          </w:p>
        </w:tc>
        <w:tc>
          <w:tcPr>
            <w:tcW w:w="100" w:type="dxa"/>
            <w:vAlign w:val="bottom"/>
            <w:shd w:val="clear" w:color="auto" w:fill="E5E7EF"/>
          </w:tcPr>
          <w:p>
            <w:pPr>
              <w:spacing w:after="0"/>
              <w:rPr>
                <w:sz w:val="4"/>
                <w:szCs w:val="4"/>
                <w:color w:val="auto"/>
              </w:rPr>
            </w:pPr>
          </w:p>
        </w:tc>
        <w:tc>
          <w:tcPr>
            <w:tcW w:w="460" w:type="dxa"/>
            <w:vAlign w:val="bottom"/>
            <w:vMerge w:val="restart"/>
            <w:shd w:val="clear" w:color="auto" w:fill="E4E6EF"/>
          </w:tcPr>
          <w:p>
            <w:pPr>
              <w:spacing w:after="0" w:line="155" w:lineRule="exact"/>
              <w:rPr>
                <w:sz w:val="20"/>
                <w:szCs w:val="20"/>
                <w:color w:val="auto"/>
              </w:rPr>
            </w:pPr>
            <w:r>
              <w:rPr>
                <w:rFonts w:ascii="Arial" w:cs="Arial" w:eastAsia="Arial" w:hAnsi="Arial"/>
                <w:sz w:val="14"/>
                <w:szCs w:val="14"/>
                <w:color w:val="auto"/>
                <w:shd w:val="clear" w:color="auto" w:fill="E4E6EF"/>
              </w:rPr>
              <w:t>eligible</w:t>
            </w:r>
          </w:p>
        </w:tc>
        <w:tc>
          <w:tcPr>
            <w:tcW w:w="1500" w:type="dxa"/>
            <w:vAlign w:val="bottom"/>
            <w:tcBorders>
              <w:right w:val="single" w:sz="8" w:color="012E6C"/>
            </w:tcBorders>
            <w:gridSpan w:val="3"/>
            <w:vMerge w:val="restart"/>
            <w:shd w:val="clear" w:color="auto" w:fill="E5E7EF"/>
          </w:tcPr>
          <w:p>
            <w:pPr>
              <w:ind w:left="20"/>
              <w:spacing w:after="0" w:line="155" w:lineRule="exact"/>
              <w:rPr>
                <w:sz w:val="20"/>
                <w:szCs w:val="20"/>
                <w:color w:val="auto"/>
              </w:rPr>
            </w:pPr>
            <w:r>
              <w:rPr>
                <w:rFonts w:ascii="Arial" w:cs="Arial" w:eastAsia="Arial" w:hAnsi="Arial"/>
                <w:sz w:val="14"/>
                <w:szCs w:val="14"/>
                <w:color w:val="auto"/>
              </w:rPr>
              <w:t>in which case the</w:t>
            </w:r>
          </w:p>
        </w:tc>
        <w:tc>
          <w:tcPr>
            <w:tcW w:w="100" w:type="dxa"/>
            <w:vAlign w:val="bottom"/>
            <w:shd w:val="clear" w:color="auto" w:fill="E5E7EF"/>
          </w:tcPr>
          <w:p>
            <w:pPr>
              <w:spacing w:after="0"/>
              <w:rPr>
                <w:sz w:val="4"/>
                <w:szCs w:val="4"/>
                <w:color w:val="auto"/>
              </w:rPr>
            </w:pPr>
          </w:p>
        </w:tc>
        <w:tc>
          <w:tcPr>
            <w:tcW w:w="1960" w:type="dxa"/>
            <w:vAlign w:val="bottom"/>
            <w:tcBorders>
              <w:right w:val="single" w:sz="8" w:color="012E6C"/>
            </w:tcBorders>
            <w:gridSpan w:val="7"/>
            <w:vMerge w:val="continue"/>
            <w:shd w:val="clear" w:color="auto" w:fill="E5E7EF"/>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1040" w:type="dxa"/>
            <w:vAlign w:val="bottom"/>
            <w:tcBorders>
              <w:left w:val="single" w:sz="8" w:color="012E6C"/>
              <w:right w:val="single" w:sz="8" w:color="012E6C"/>
            </w:tcBorders>
            <w:shd w:val="clear" w:color="auto" w:fill="E5E7EF"/>
          </w:tcPr>
          <w:p>
            <w:pPr>
              <w:spacing w:after="0"/>
              <w:rPr>
                <w:sz w:val="8"/>
                <w:szCs w:val="8"/>
                <w:color w:val="auto"/>
              </w:rPr>
            </w:pPr>
          </w:p>
        </w:tc>
        <w:tc>
          <w:tcPr>
            <w:tcW w:w="1940" w:type="dxa"/>
            <w:vAlign w:val="bottom"/>
            <w:tcBorders>
              <w:right w:val="single" w:sz="8" w:color="012E6C"/>
            </w:tcBorders>
            <w:shd w:val="clear" w:color="auto" w:fill="E5E7EF"/>
          </w:tcPr>
          <w:p>
            <w:pPr>
              <w:spacing w:after="0"/>
              <w:rPr>
                <w:sz w:val="8"/>
                <w:szCs w:val="8"/>
                <w:color w:val="auto"/>
              </w:rPr>
            </w:pPr>
          </w:p>
        </w:tc>
        <w:tc>
          <w:tcPr>
            <w:tcW w:w="1940" w:type="dxa"/>
            <w:vAlign w:val="bottom"/>
            <w:tcBorders>
              <w:right w:val="single" w:sz="8" w:color="012E6C"/>
            </w:tcBorders>
            <w:vMerge w:val="restart"/>
            <w:shd w:val="clear" w:color="auto" w:fill="E5E7EF"/>
          </w:tcPr>
          <w:p>
            <w:pPr>
              <w:ind w:left="100"/>
              <w:spacing w:after="0" w:line="150" w:lineRule="exact"/>
              <w:rPr>
                <w:sz w:val="20"/>
                <w:szCs w:val="20"/>
                <w:color w:val="auto"/>
              </w:rPr>
            </w:pPr>
            <w:r>
              <w:rPr>
                <w:rFonts w:ascii="Arial" w:cs="Arial" w:eastAsia="Arial" w:hAnsi="Arial"/>
                <w:sz w:val="14"/>
                <w:szCs w:val="14"/>
                <w:color w:val="auto"/>
              </w:rPr>
              <w:t>dividend equivalents on</w:t>
            </w:r>
          </w:p>
        </w:tc>
        <w:tc>
          <w:tcPr>
            <w:tcW w:w="2220" w:type="dxa"/>
            <w:vAlign w:val="bottom"/>
            <w:tcBorders>
              <w:right w:val="single" w:sz="8" w:color="012E6C"/>
            </w:tcBorders>
            <w:vMerge w:val="restart"/>
            <w:shd w:val="clear" w:color="auto" w:fill="E5E7EF"/>
          </w:tcPr>
          <w:p>
            <w:pPr>
              <w:ind w:left="100"/>
              <w:spacing w:after="0" w:line="150" w:lineRule="exact"/>
              <w:rPr>
                <w:sz w:val="20"/>
                <w:szCs w:val="20"/>
                <w:color w:val="auto"/>
              </w:rPr>
            </w:pPr>
            <w:r>
              <w:rPr>
                <w:rFonts w:ascii="Arial" w:cs="Arial" w:eastAsia="Arial" w:hAnsi="Arial"/>
                <w:sz w:val="14"/>
                <w:szCs w:val="14"/>
                <w:color w:val="auto"/>
              </w:rPr>
              <w:t>vesting following death or</w:t>
            </w:r>
          </w:p>
        </w:tc>
        <w:tc>
          <w:tcPr>
            <w:tcW w:w="100" w:type="dxa"/>
            <w:vAlign w:val="bottom"/>
            <w:shd w:val="clear" w:color="auto" w:fill="E5E7EF"/>
          </w:tcPr>
          <w:p>
            <w:pPr>
              <w:spacing w:after="0"/>
              <w:rPr>
                <w:sz w:val="8"/>
                <w:szCs w:val="8"/>
                <w:color w:val="auto"/>
              </w:rPr>
            </w:pPr>
          </w:p>
        </w:tc>
        <w:tc>
          <w:tcPr>
            <w:tcW w:w="460" w:type="dxa"/>
            <w:vAlign w:val="bottom"/>
            <w:vMerge w:val="continue"/>
            <w:shd w:val="clear" w:color="auto" w:fill="E4E6EF"/>
          </w:tcPr>
          <w:p>
            <w:pPr>
              <w:spacing w:after="0"/>
              <w:rPr>
                <w:sz w:val="8"/>
                <w:szCs w:val="8"/>
                <w:color w:val="auto"/>
              </w:rPr>
            </w:pPr>
          </w:p>
        </w:tc>
        <w:tc>
          <w:tcPr>
            <w:tcW w:w="1500" w:type="dxa"/>
            <w:vAlign w:val="bottom"/>
            <w:tcBorders>
              <w:right w:val="single" w:sz="8" w:color="012E6C"/>
            </w:tcBorders>
            <w:gridSpan w:val="3"/>
            <w:vMerge w:val="continue"/>
            <w:shd w:val="clear" w:color="auto" w:fill="E5E7EF"/>
          </w:tcPr>
          <w:p>
            <w:pPr>
              <w:spacing w:after="0"/>
              <w:rPr>
                <w:sz w:val="8"/>
                <w:szCs w:val="8"/>
                <w:color w:val="auto"/>
              </w:rPr>
            </w:pPr>
          </w:p>
        </w:tc>
        <w:tc>
          <w:tcPr>
            <w:tcW w:w="100" w:type="dxa"/>
            <w:vAlign w:val="bottom"/>
            <w:shd w:val="clear" w:color="auto" w:fill="E5E7EF"/>
          </w:tcPr>
          <w:p>
            <w:pPr>
              <w:spacing w:after="0"/>
              <w:rPr>
                <w:sz w:val="8"/>
                <w:szCs w:val="8"/>
                <w:color w:val="auto"/>
              </w:rPr>
            </w:pPr>
          </w:p>
        </w:tc>
        <w:tc>
          <w:tcPr>
            <w:tcW w:w="1960" w:type="dxa"/>
            <w:vAlign w:val="bottom"/>
            <w:tcBorders>
              <w:right w:val="single" w:sz="8" w:color="012E6C"/>
            </w:tcBorders>
            <w:gridSpan w:val="7"/>
            <w:vMerge w:val="restart"/>
            <w:shd w:val="clear" w:color="auto" w:fill="E5E7EF"/>
          </w:tcPr>
          <w:p>
            <w:pPr>
              <w:spacing w:after="0" w:line="150" w:lineRule="exact"/>
              <w:rPr>
                <w:sz w:val="20"/>
                <w:szCs w:val="20"/>
                <w:color w:val="auto"/>
              </w:rPr>
            </w:pPr>
            <w:r>
              <w:rPr>
                <w:rFonts w:ascii="Arial" w:cs="Arial" w:eastAsia="Arial" w:hAnsi="Arial"/>
                <w:sz w:val="14"/>
                <w:szCs w:val="14"/>
                <w:color w:val="auto"/>
              </w:rPr>
              <w:t>PSUs if termination occurs</w:t>
            </w:r>
          </w:p>
        </w:tc>
        <w:tc>
          <w:tcPr>
            <w:tcW w:w="0" w:type="dxa"/>
            <w:vAlign w:val="bottom"/>
          </w:tcPr>
          <w:p>
            <w:pPr>
              <w:spacing w:after="0"/>
              <w:rPr>
                <w:sz w:val="1"/>
                <w:szCs w:val="1"/>
                <w:color w:val="auto"/>
              </w:rPr>
            </w:pPr>
          </w:p>
        </w:tc>
      </w:tr>
      <w:tr>
        <w:trPr>
          <w:trHeight w:val="67"/>
        </w:trPr>
        <w:tc>
          <w:tcPr>
            <w:tcW w:w="1040" w:type="dxa"/>
            <w:vAlign w:val="bottom"/>
            <w:tcBorders>
              <w:left w:val="single" w:sz="8" w:color="012E6C"/>
              <w:right w:val="single" w:sz="8" w:color="012E6C"/>
            </w:tcBorders>
            <w:shd w:val="clear" w:color="auto" w:fill="E5E7EF"/>
          </w:tcPr>
          <w:p>
            <w:pPr>
              <w:spacing w:after="0"/>
              <w:rPr>
                <w:sz w:val="5"/>
                <w:szCs w:val="5"/>
                <w:color w:val="auto"/>
              </w:rPr>
            </w:pPr>
          </w:p>
        </w:tc>
        <w:tc>
          <w:tcPr>
            <w:tcW w:w="1940" w:type="dxa"/>
            <w:vAlign w:val="bottom"/>
            <w:tcBorders>
              <w:right w:val="single" w:sz="8" w:color="012E6C"/>
            </w:tcBorders>
            <w:shd w:val="clear" w:color="auto" w:fill="E5E7EF"/>
          </w:tcPr>
          <w:p>
            <w:pPr>
              <w:spacing w:after="0"/>
              <w:rPr>
                <w:sz w:val="5"/>
                <w:szCs w:val="5"/>
                <w:color w:val="auto"/>
              </w:rPr>
            </w:pPr>
          </w:p>
        </w:tc>
        <w:tc>
          <w:tcPr>
            <w:tcW w:w="1940" w:type="dxa"/>
            <w:vAlign w:val="bottom"/>
            <w:tcBorders>
              <w:right w:val="single" w:sz="8" w:color="012E6C"/>
            </w:tcBorders>
            <w:vMerge w:val="continue"/>
            <w:shd w:val="clear" w:color="auto" w:fill="E5E7EF"/>
          </w:tcPr>
          <w:p>
            <w:pPr>
              <w:spacing w:after="0"/>
              <w:rPr>
                <w:sz w:val="5"/>
                <w:szCs w:val="5"/>
                <w:color w:val="auto"/>
              </w:rPr>
            </w:pPr>
          </w:p>
        </w:tc>
        <w:tc>
          <w:tcPr>
            <w:tcW w:w="2220" w:type="dxa"/>
            <w:vAlign w:val="bottom"/>
            <w:tcBorders>
              <w:right w:val="single" w:sz="8" w:color="012E6C"/>
            </w:tcBorders>
            <w:vMerge w:val="continue"/>
            <w:shd w:val="clear" w:color="auto" w:fill="E5E7EF"/>
          </w:tcPr>
          <w:p>
            <w:pPr>
              <w:spacing w:after="0"/>
              <w:rPr>
                <w:sz w:val="5"/>
                <w:szCs w:val="5"/>
                <w:color w:val="auto"/>
              </w:rPr>
            </w:pPr>
          </w:p>
        </w:tc>
        <w:tc>
          <w:tcPr>
            <w:tcW w:w="100" w:type="dxa"/>
            <w:vAlign w:val="bottom"/>
            <w:shd w:val="clear" w:color="auto" w:fill="E5E7EF"/>
          </w:tcPr>
          <w:p>
            <w:pPr>
              <w:spacing w:after="0"/>
              <w:rPr>
                <w:sz w:val="5"/>
                <w:szCs w:val="5"/>
                <w:color w:val="auto"/>
              </w:rPr>
            </w:pPr>
          </w:p>
        </w:tc>
        <w:tc>
          <w:tcPr>
            <w:tcW w:w="1960" w:type="dxa"/>
            <w:vAlign w:val="bottom"/>
            <w:tcBorders>
              <w:right w:val="single" w:sz="8" w:color="012E6C"/>
            </w:tcBorders>
            <w:gridSpan w:val="4"/>
            <w:vMerge w:val="restart"/>
            <w:shd w:val="clear" w:color="auto" w:fill="E5E7EF"/>
          </w:tcPr>
          <w:p>
            <w:pPr>
              <w:spacing w:after="0"/>
              <w:rPr>
                <w:sz w:val="20"/>
                <w:szCs w:val="20"/>
                <w:color w:val="auto"/>
              </w:rPr>
            </w:pPr>
            <w:r>
              <w:rPr>
                <w:rFonts w:ascii="Arial" w:cs="Arial" w:eastAsia="Arial" w:hAnsi="Arial"/>
                <w:sz w:val="14"/>
                <w:szCs w:val="14"/>
                <w:color w:val="auto"/>
              </w:rPr>
              <w:t>RSU grant will continue to</w:t>
            </w:r>
          </w:p>
        </w:tc>
        <w:tc>
          <w:tcPr>
            <w:tcW w:w="100" w:type="dxa"/>
            <w:vAlign w:val="bottom"/>
            <w:shd w:val="clear" w:color="auto" w:fill="E5E7EF"/>
          </w:tcPr>
          <w:p>
            <w:pPr>
              <w:spacing w:after="0"/>
              <w:rPr>
                <w:sz w:val="5"/>
                <w:szCs w:val="5"/>
                <w:color w:val="auto"/>
              </w:rPr>
            </w:pPr>
          </w:p>
        </w:tc>
        <w:tc>
          <w:tcPr>
            <w:tcW w:w="1960" w:type="dxa"/>
            <w:vAlign w:val="bottom"/>
            <w:tcBorders>
              <w:right w:val="single" w:sz="8" w:color="012E6C"/>
            </w:tcBorders>
            <w:gridSpan w:val="7"/>
            <w:vMerge w:val="continue"/>
            <w:shd w:val="clear" w:color="auto" w:fill="E5E7EF"/>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1040" w:type="dxa"/>
            <w:vAlign w:val="bottom"/>
            <w:tcBorders>
              <w:left w:val="single" w:sz="8" w:color="012E6C"/>
              <w:right w:val="single" w:sz="8" w:color="012E6C"/>
            </w:tcBorders>
            <w:shd w:val="clear" w:color="auto" w:fill="E5E7EF"/>
          </w:tcPr>
          <w:p>
            <w:pPr>
              <w:spacing w:after="0"/>
              <w:rPr>
                <w:sz w:val="10"/>
                <w:szCs w:val="10"/>
                <w:color w:val="auto"/>
              </w:rPr>
            </w:pPr>
          </w:p>
        </w:tc>
        <w:tc>
          <w:tcPr>
            <w:tcW w:w="1940" w:type="dxa"/>
            <w:vAlign w:val="bottom"/>
            <w:tcBorders>
              <w:right w:val="single" w:sz="8" w:color="012E6C"/>
            </w:tcBorders>
            <w:shd w:val="clear" w:color="auto" w:fill="E5E7EF"/>
          </w:tcPr>
          <w:p>
            <w:pPr>
              <w:spacing w:after="0"/>
              <w:rPr>
                <w:sz w:val="10"/>
                <w:szCs w:val="10"/>
                <w:color w:val="auto"/>
              </w:rPr>
            </w:pPr>
          </w:p>
        </w:tc>
        <w:tc>
          <w:tcPr>
            <w:tcW w:w="1940" w:type="dxa"/>
            <w:vAlign w:val="bottom"/>
            <w:tcBorders>
              <w:right w:val="single" w:sz="8" w:color="012E6C"/>
            </w:tcBorders>
            <w:vMerge w:val="restart"/>
            <w:shd w:val="clear" w:color="auto" w:fill="E5E7EF"/>
          </w:tcPr>
          <w:p>
            <w:pPr>
              <w:ind w:left="100"/>
              <w:spacing w:after="0" w:line="155" w:lineRule="exact"/>
              <w:rPr>
                <w:sz w:val="20"/>
                <w:szCs w:val="20"/>
                <w:color w:val="auto"/>
              </w:rPr>
            </w:pPr>
            <w:r>
              <w:rPr>
                <w:rFonts w:ascii="Arial" w:cs="Arial" w:eastAsia="Arial" w:hAnsi="Arial"/>
                <w:sz w:val="14"/>
                <w:szCs w:val="14"/>
                <w:color w:val="auto"/>
              </w:rPr>
              <w:t>RSUs and PSUs if not</w:t>
            </w:r>
          </w:p>
        </w:tc>
        <w:tc>
          <w:tcPr>
            <w:tcW w:w="2220" w:type="dxa"/>
            <w:vAlign w:val="bottom"/>
            <w:tcBorders>
              <w:right w:val="single" w:sz="8" w:color="012E6C"/>
            </w:tcBorders>
            <w:vMerge w:val="restart"/>
            <w:shd w:val="clear" w:color="auto" w:fill="E5E7EF"/>
          </w:tcPr>
          <w:p>
            <w:pPr>
              <w:ind w:left="100"/>
              <w:spacing w:after="0" w:line="155" w:lineRule="exact"/>
              <w:rPr>
                <w:sz w:val="20"/>
                <w:szCs w:val="20"/>
                <w:color w:val="auto"/>
              </w:rPr>
            </w:pPr>
            <w:r>
              <w:rPr>
                <w:rFonts w:ascii="Arial" w:cs="Arial" w:eastAsia="Arial" w:hAnsi="Arial"/>
                <w:sz w:val="14"/>
                <w:szCs w:val="14"/>
                <w:color w:val="auto"/>
              </w:rPr>
              <w:t>disability.</w:t>
            </w:r>
          </w:p>
        </w:tc>
        <w:tc>
          <w:tcPr>
            <w:tcW w:w="100" w:type="dxa"/>
            <w:vAlign w:val="bottom"/>
            <w:shd w:val="clear" w:color="auto" w:fill="E5E7EF"/>
          </w:tcPr>
          <w:p>
            <w:pPr>
              <w:spacing w:after="0"/>
              <w:rPr>
                <w:sz w:val="10"/>
                <w:szCs w:val="10"/>
                <w:color w:val="auto"/>
              </w:rPr>
            </w:pPr>
          </w:p>
        </w:tc>
        <w:tc>
          <w:tcPr>
            <w:tcW w:w="1960" w:type="dxa"/>
            <w:vAlign w:val="bottom"/>
            <w:tcBorders>
              <w:right w:val="single" w:sz="8" w:color="012E6C"/>
            </w:tcBorders>
            <w:gridSpan w:val="4"/>
            <w:vMerge w:val="continue"/>
            <w:shd w:val="clear" w:color="auto" w:fill="E5E7EF"/>
          </w:tcPr>
          <w:p>
            <w:pPr>
              <w:spacing w:after="0"/>
              <w:rPr>
                <w:sz w:val="10"/>
                <w:szCs w:val="10"/>
                <w:color w:val="auto"/>
              </w:rPr>
            </w:pPr>
          </w:p>
        </w:tc>
        <w:tc>
          <w:tcPr>
            <w:tcW w:w="100" w:type="dxa"/>
            <w:vAlign w:val="bottom"/>
            <w:shd w:val="clear" w:color="auto" w:fill="E5E7EF"/>
          </w:tcPr>
          <w:p>
            <w:pPr>
              <w:spacing w:after="0"/>
              <w:rPr>
                <w:sz w:val="10"/>
                <w:szCs w:val="10"/>
                <w:color w:val="auto"/>
              </w:rPr>
            </w:pPr>
          </w:p>
        </w:tc>
        <w:tc>
          <w:tcPr>
            <w:tcW w:w="1100" w:type="dxa"/>
            <w:vAlign w:val="bottom"/>
            <w:gridSpan w:val="2"/>
            <w:vMerge w:val="restart"/>
            <w:shd w:val="clear" w:color="auto" w:fill="E5E7EF"/>
          </w:tcPr>
          <w:p>
            <w:pPr>
              <w:spacing w:after="0" w:line="155" w:lineRule="exact"/>
              <w:rPr>
                <w:sz w:val="20"/>
                <w:szCs w:val="20"/>
                <w:color w:val="auto"/>
              </w:rPr>
            </w:pPr>
            <w:r>
              <w:rPr>
                <w:rFonts w:ascii="Arial" w:cs="Arial" w:eastAsia="Arial" w:hAnsi="Arial"/>
                <w:sz w:val="14"/>
                <w:szCs w:val="14"/>
                <w:color w:val="auto"/>
                <w:w w:val="99"/>
              </w:rPr>
              <w:t>prior to becoming</w:t>
            </w:r>
          </w:p>
        </w:tc>
        <w:tc>
          <w:tcPr>
            <w:tcW w:w="740" w:type="dxa"/>
            <w:vAlign w:val="bottom"/>
            <w:tcBorders>
              <w:right w:val="single" w:sz="8" w:color="E4E6EF"/>
            </w:tcBorders>
            <w:gridSpan w:val="4"/>
            <w:vMerge w:val="restart"/>
            <w:shd w:val="clear" w:color="auto" w:fill="E4E6EF"/>
          </w:tcPr>
          <w:p>
            <w:pPr>
              <w:ind w:left="40"/>
              <w:spacing w:after="0" w:line="141" w:lineRule="exact"/>
              <w:rPr>
                <w:sz w:val="20"/>
                <w:szCs w:val="20"/>
                <w:color w:val="auto"/>
              </w:rPr>
            </w:pPr>
            <w:r>
              <w:rPr>
                <w:rFonts w:ascii="Arial" w:cs="Arial" w:eastAsia="Arial" w:hAnsi="Arial"/>
                <w:sz w:val="14"/>
                <w:szCs w:val="14"/>
                <w:color w:val="auto"/>
                <w:w w:val="97"/>
                <w:shd w:val="clear" w:color="auto" w:fill="E4E6EF"/>
              </w:rPr>
              <w:t>retirement-</w:t>
            </w:r>
          </w:p>
        </w:tc>
        <w:tc>
          <w:tcPr>
            <w:tcW w:w="120" w:type="dxa"/>
            <w:vAlign w:val="bottom"/>
            <w:tcBorders>
              <w:right w:val="single" w:sz="8" w:color="012E6C"/>
            </w:tcBorders>
            <w:shd w:val="clear" w:color="auto" w:fill="E5E7EF"/>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1040" w:type="dxa"/>
            <w:vAlign w:val="bottom"/>
            <w:tcBorders>
              <w:left w:val="single" w:sz="8" w:color="012E6C"/>
              <w:right w:val="single" w:sz="8" w:color="012E6C"/>
            </w:tcBorders>
            <w:shd w:val="clear" w:color="auto" w:fill="E5E7EF"/>
          </w:tcPr>
          <w:p>
            <w:pPr>
              <w:spacing w:after="0"/>
              <w:rPr>
                <w:sz w:val="4"/>
                <w:szCs w:val="4"/>
                <w:color w:val="auto"/>
              </w:rPr>
            </w:pPr>
          </w:p>
        </w:tc>
        <w:tc>
          <w:tcPr>
            <w:tcW w:w="1940" w:type="dxa"/>
            <w:vAlign w:val="bottom"/>
            <w:tcBorders>
              <w:right w:val="single" w:sz="8" w:color="012E6C"/>
            </w:tcBorders>
            <w:shd w:val="clear" w:color="auto" w:fill="E5E7EF"/>
          </w:tcPr>
          <w:p>
            <w:pPr>
              <w:spacing w:after="0"/>
              <w:rPr>
                <w:sz w:val="4"/>
                <w:szCs w:val="4"/>
                <w:color w:val="auto"/>
              </w:rPr>
            </w:pPr>
          </w:p>
        </w:tc>
        <w:tc>
          <w:tcPr>
            <w:tcW w:w="1940" w:type="dxa"/>
            <w:vAlign w:val="bottom"/>
            <w:tcBorders>
              <w:right w:val="single" w:sz="8" w:color="012E6C"/>
            </w:tcBorders>
            <w:vMerge w:val="continue"/>
            <w:shd w:val="clear" w:color="auto" w:fill="E5E7EF"/>
          </w:tcPr>
          <w:p>
            <w:pPr>
              <w:spacing w:after="0"/>
              <w:rPr>
                <w:sz w:val="4"/>
                <w:szCs w:val="4"/>
                <w:color w:val="auto"/>
              </w:rPr>
            </w:pPr>
          </w:p>
        </w:tc>
        <w:tc>
          <w:tcPr>
            <w:tcW w:w="2220" w:type="dxa"/>
            <w:vAlign w:val="bottom"/>
            <w:tcBorders>
              <w:right w:val="single" w:sz="8" w:color="012E6C"/>
            </w:tcBorders>
            <w:vMerge w:val="continue"/>
            <w:shd w:val="clear" w:color="auto" w:fill="E5E7EF"/>
          </w:tcPr>
          <w:p>
            <w:pPr>
              <w:spacing w:after="0"/>
              <w:rPr>
                <w:sz w:val="4"/>
                <w:szCs w:val="4"/>
                <w:color w:val="auto"/>
              </w:rPr>
            </w:pPr>
          </w:p>
        </w:tc>
        <w:tc>
          <w:tcPr>
            <w:tcW w:w="100" w:type="dxa"/>
            <w:vAlign w:val="bottom"/>
            <w:shd w:val="clear" w:color="auto" w:fill="E5E7EF"/>
          </w:tcPr>
          <w:p>
            <w:pPr>
              <w:spacing w:after="0"/>
              <w:rPr>
                <w:sz w:val="4"/>
                <w:szCs w:val="4"/>
                <w:color w:val="auto"/>
              </w:rPr>
            </w:pPr>
          </w:p>
        </w:tc>
        <w:tc>
          <w:tcPr>
            <w:tcW w:w="1960" w:type="dxa"/>
            <w:vAlign w:val="bottom"/>
            <w:tcBorders>
              <w:right w:val="single" w:sz="8" w:color="012E6C"/>
            </w:tcBorders>
            <w:gridSpan w:val="4"/>
            <w:vMerge w:val="restart"/>
            <w:shd w:val="clear" w:color="auto" w:fill="E5E7EF"/>
          </w:tcPr>
          <w:p>
            <w:pPr>
              <w:spacing w:after="0"/>
              <w:rPr>
                <w:sz w:val="20"/>
                <w:szCs w:val="20"/>
                <w:color w:val="auto"/>
              </w:rPr>
            </w:pPr>
            <w:r>
              <w:rPr>
                <w:rFonts w:ascii="Arial" w:cs="Arial" w:eastAsia="Arial" w:hAnsi="Arial"/>
                <w:sz w:val="14"/>
                <w:szCs w:val="14"/>
                <w:color w:val="auto"/>
              </w:rPr>
              <w:t>vest until the vesting date.</w:t>
            </w:r>
          </w:p>
        </w:tc>
        <w:tc>
          <w:tcPr>
            <w:tcW w:w="100" w:type="dxa"/>
            <w:vAlign w:val="bottom"/>
            <w:shd w:val="clear" w:color="auto" w:fill="E5E7EF"/>
          </w:tcPr>
          <w:p>
            <w:pPr>
              <w:spacing w:after="0"/>
              <w:rPr>
                <w:sz w:val="4"/>
                <w:szCs w:val="4"/>
                <w:color w:val="auto"/>
              </w:rPr>
            </w:pPr>
          </w:p>
        </w:tc>
        <w:tc>
          <w:tcPr>
            <w:tcW w:w="1100" w:type="dxa"/>
            <w:vAlign w:val="bottom"/>
            <w:gridSpan w:val="2"/>
            <w:vMerge w:val="continue"/>
            <w:shd w:val="clear" w:color="auto" w:fill="E5E7EF"/>
          </w:tcPr>
          <w:p>
            <w:pPr>
              <w:spacing w:after="0"/>
              <w:rPr>
                <w:sz w:val="4"/>
                <w:szCs w:val="4"/>
                <w:color w:val="auto"/>
              </w:rPr>
            </w:pPr>
          </w:p>
        </w:tc>
        <w:tc>
          <w:tcPr>
            <w:tcW w:w="740" w:type="dxa"/>
            <w:vAlign w:val="bottom"/>
            <w:tcBorders>
              <w:right w:val="single" w:sz="8" w:color="E4E6EF"/>
            </w:tcBorders>
            <w:gridSpan w:val="4"/>
            <w:vMerge w:val="continue"/>
            <w:shd w:val="clear" w:color="auto" w:fill="E4E6EF"/>
          </w:tcPr>
          <w:p>
            <w:pPr>
              <w:spacing w:after="0"/>
              <w:rPr>
                <w:sz w:val="4"/>
                <w:szCs w:val="4"/>
                <w:color w:val="auto"/>
              </w:rPr>
            </w:pPr>
          </w:p>
        </w:tc>
        <w:tc>
          <w:tcPr>
            <w:tcW w:w="120" w:type="dxa"/>
            <w:vAlign w:val="bottom"/>
            <w:tcBorders>
              <w:right w:val="single" w:sz="8" w:color="012E6C"/>
            </w:tcBorders>
            <w:shd w:val="clear" w:color="auto" w:fill="E5E7EF"/>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040" w:type="dxa"/>
            <w:vAlign w:val="bottom"/>
            <w:tcBorders>
              <w:left w:val="single" w:sz="8" w:color="012E6C"/>
              <w:bottom w:val="single" w:sz="8" w:color="E5E7EF"/>
              <w:right w:val="single" w:sz="8" w:color="012E6C"/>
            </w:tcBorders>
            <w:shd w:val="clear" w:color="auto" w:fill="E5E7EF"/>
          </w:tcPr>
          <w:p>
            <w:pPr>
              <w:spacing w:after="0"/>
              <w:rPr>
                <w:sz w:val="12"/>
                <w:szCs w:val="12"/>
                <w:color w:val="auto"/>
              </w:rPr>
            </w:pPr>
          </w:p>
        </w:tc>
        <w:tc>
          <w:tcPr>
            <w:tcW w:w="1940" w:type="dxa"/>
            <w:vAlign w:val="bottom"/>
            <w:tcBorders>
              <w:bottom w:val="single" w:sz="8" w:color="E5E7EF"/>
              <w:right w:val="single" w:sz="8" w:color="012E6C"/>
            </w:tcBorders>
            <w:shd w:val="clear" w:color="auto" w:fill="E5E7EF"/>
          </w:tcPr>
          <w:p>
            <w:pPr>
              <w:spacing w:after="0"/>
              <w:rPr>
                <w:sz w:val="12"/>
                <w:szCs w:val="12"/>
                <w:color w:val="auto"/>
              </w:rPr>
            </w:pPr>
          </w:p>
        </w:tc>
        <w:tc>
          <w:tcPr>
            <w:tcW w:w="1940" w:type="dxa"/>
            <w:vAlign w:val="bottom"/>
            <w:tcBorders>
              <w:bottom w:val="single" w:sz="8" w:color="E5E7EF"/>
              <w:right w:val="single" w:sz="8" w:color="012E6C"/>
            </w:tcBorders>
            <w:shd w:val="clear" w:color="auto" w:fill="E5E7EF"/>
          </w:tcPr>
          <w:p>
            <w:pPr>
              <w:ind w:left="100"/>
              <w:spacing w:after="0" w:line="141" w:lineRule="exact"/>
              <w:rPr>
                <w:sz w:val="20"/>
                <w:szCs w:val="20"/>
                <w:color w:val="auto"/>
              </w:rPr>
            </w:pPr>
            <w:r>
              <w:rPr>
                <w:rFonts w:ascii="Arial" w:cs="Arial" w:eastAsia="Arial" w:hAnsi="Arial"/>
                <w:sz w:val="14"/>
                <w:szCs w:val="14"/>
                <w:color w:val="auto"/>
              </w:rPr>
              <w:t>assumed by successor.</w:t>
            </w:r>
          </w:p>
        </w:tc>
        <w:tc>
          <w:tcPr>
            <w:tcW w:w="2220" w:type="dxa"/>
            <w:vAlign w:val="bottom"/>
            <w:tcBorders>
              <w:bottom w:val="single" w:sz="8" w:color="E5E7EF"/>
              <w:right w:val="single" w:sz="8" w:color="012E6C"/>
            </w:tcBorders>
            <w:shd w:val="clear" w:color="auto" w:fill="E5E7EF"/>
          </w:tcPr>
          <w:p>
            <w:pPr>
              <w:spacing w:after="0"/>
              <w:rPr>
                <w:sz w:val="12"/>
                <w:szCs w:val="12"/>
                <w:color w:val="auto"/>
              </w:rPr>
            </w:pPr>
          </w:p>
        </w:tc>
        <w:tc>
          <w:tcPr>
            <w:tcW w:w="100" w:type="dxa"/>
            <w:vAlign w:val="bottom"/>
            <w:tcBorders>
              <w:bottom w:val="single" w:sz="8" w:color="E5E7EF"/>
            </w:tcBorders>
            <w:shd w:val="clear" w:color="auto" w:fill="E5E7EF"/>
          </w:tcPr>
          <w:p>
            <w:pPr>
              <w:spacing w:after="0"/>
              <w:rPr>
                <w:sz w:val="12"/>
                <w:szCs w:val="12"/>
                <w:color w:val="auto"/>
              </w:rPr>
            </w:pPr>
          </w:p>
        </w:tc>
        <w:tc>
          <w:tcPr>
            <w:tcW w:w="1960" w:type="dxa"/>
            <w:vAlign w:val="bottom"/>
            <w:tcBorders>
              <w:bottom w:val="single" w:sz="8" w:color="E5E7EF"/>
              <w:right w:val="single" w:sz="8" w:color="012E6C"/>
            </w:tcBorders>
            <w:gridSpan w:val="4"/>
            <w:vMerge w:val="continue"/>
            <w:shd w:val="clear" w:color="auto" w:fill="E5E7EF"/>
          </w:tcPr>
          <w:p>
            <w:pPr>
              <w:spacing w:after="0"/>
              <w:rPr>
                <w:sz w:val="12"/>
                <w:szCs w:val="12"/>
                <w:color w:val="auto"/>
              </w:rPr>
            </w:pPr>
          </w:p>
        </w:tc>
        <w:tc>
          <w:tcPr>
            <w:tcW w:w="100" w:type="dxa"/>
            <w:vAlign w:val="bottom"/>
            <w:tcBorders>
              <w:bottom w:val="single" w:sz="8" w:color="E5E7EF"/>
            </w:tcBorders>
            <w:shd w:val="clear" w:color="auto" w:fill="E5E7EF"/>
          </w:tcPr>
          <w:p>
            <w:pPr>
              <w:spacing w:after="0"/>
              <w:rPr>
                <w:sz w:val="12"/>
                <w:szCs w:val="12"/>
                <w:color w:val="auto"/>
              </w:rPr>
            </w:pPr>
          </w:p>
        </w:tc>
        <w:tc>
          <w:tcPr>
            <w:tcW w:w="1280" w:type="dxa"/>
            <w:vAlign w:val="bottom"/>
            <w:tcBorders>
              <w:bottom w:val="single" w:sz="8" w:color="E4E6EF"/>
              <w:right w:val="single" w:sz="8" w:color="E5E7EF"/>
            </w:tcBorders>
            <w:gridSpan w:val="4"/>
            <w:shd w:val="clear" w:color="auto" w:fill="E4E6EF"/>
          </w:tcPr>
          <w:p>
            <w:pPr>
              <w:spacing w:after="0" w:line="141" w:lineRule="exact"/>
              <w:rPr>
                <w:sz w:val="20"/>
                <w:szCs w:val="20"/>
                <w:color w:val="auto"/>
              </w:rPr>
            </w:pPr>
            <w:r>
              <w:rPr>
                <w:rFonts w:ascii="Arial" w:cs="Arial" w:eastAsia="Arial" w:hAnsi="Arial"/>
                <w:sz w:val="14"/>
                <w:szCs w:val="14"/>
                <w:color w:val="auto"/>
                <w:shd w:val="clear" w:color="auto" w:fill="E4E6EF"/>
              </w:rPr>
              <w:t>eligible or anytime if</w:t>
            </w:r>
          </w:p>
        </w:tc>
        <w:tc>
          <w:tcPr>
            <w:tcW w:w="340" w:type="dxa"/>
            <w:vAlign w:val="bottom"/>
            <w:tcBorders>
              <w:bottom w:val="single" w:sz="8" w:color="E5E7EF"/>
            </w:tcBorders>
            <w:shd w:val="clear" w:color="auto" w:fill="E5E7EF"/>
          </w:tcPr>
          <w:p>
            <w:pPr>
              <w:spacing w:after="0"/>
              <w:rPr>
                <w:sz w:val="12"/>
                <w:szCs w:val="12"/>
                <w:color w:val="auto"/>
              </w:rPr>
            </w:pPr>
          </w:p>
        </w:tc>
        <w:tc>
          <w:tcPr>
            <w:tcW w:w="220" w:type="dxa"/>
            <w:vAlign w:val="bottom"/>
            <w:tcBorders>
              <w:bottom w:val="single" w:sz="8" w:color="E5E7EF"/>
              <w:right w:val="single" w:sz="8" w:color="E5E7EF"/>
            </w:tcBorders>
            <w:shd w:val="clear" w:color="auto" w:fill="E5E7EF"/>
          </w:tcPr>
          <w:p>
            <w:pPr>
              <w:spacing w:after="0"/>
              <w:rPr>
                <w:sz w:val="12"/>
                <w:szCs w:val="12"/>
                <w:color w:val="auto"/>
              </w:rPr>
            </w:pPr>
          </w:p>
        </w:tc>
        <w:tc>
          <w:tcPr>
            <w:tcW w:w="120" w:type="dxa"/>
            <w:vAlign w:val="bottom"/>
            <w:tcBorders>
              <w:bottom w:val="single" w:sz="8" w:color="E5E7EF"/>
              <w:right w:val="single" w:sz="8" w:color="012E6C"/>
            </w:tcBorders>
            <w:shd w:val="clear" w:color="auto" w:fill="E5E7EF"/>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040" w:type="dxa"/>
            <w:vAlign w:val="bottom"/>
            <w:tcBorders>
              <w:left w:val="single" w:sz="8" w:color="012E6C"/>
              <w:right w:val="single" w:sz="8" w:color="012E6C"/>
            </w:tcBorders>
            <w:shd w:val="clear" w:color="auto" w:fill="E5E7EF"/>
          </w:tcPr>
          <w:p>
            <w:pPr>
              <w:spacing w:after="0"/>
              <w:rPr>
                <w:sz w:val="18"/>
                <w:szCs w:val="18"/>
                <w:color w:val="auto"/>
              </w:rPr>
            </w:pPr>
          </w:p>
        </w:tc>
        <w:tc>
          <w:tcPr>
            <w:tcW w:w="1940" w:type="dxa"/>
            <w:vAlign w:val="bottom"/>
            <w:tcBorders>
              <w:right w:val="single" w:sz="8" w:color="012E6C"/>
            </w:tcBorders>
            <w:shd w:val="clear" w:color="auto" w:fill="E5E7EF"/>
          </w:tcPr>
          <w:p>
            <w:pPr>
              <w:spacing w:after="0"/>
              <w:rPr>
                <w:sz w:val="18"/>
                <w:szCs w:val="18"/>
                <w:color w:val="auto"/>
              </w:rPr>
            </w:pPr>
          </w:p>
        </w:tc>
        <w:tc>
          <w:tcPr>
            <w:tcW w:w="1940" w:type="dxa"/>
            <w:vAlign w:val="bottom"/>
            <w:tcBorders>
              <w:right w:val="single" w:sz="8" w:color="012E6C"/>
            </w:tcBorders>
            <w:shd w:val="clear" w:color="auto" w:fill="E5E7EF"/>
          </w:tcPr>
          <w:p>
            <w:pPr>
              <w:ind w:left="100"/>
              <w:spacing w:after="0" w:line="148" w:lineRule="exact"/>
              <w:rPr>
                <w:sz w:val="20"/>
                <w:szCs w:val="20"/>
                <w:color w:val="auto"/>
              </w:rPr>
            </w:pPr>
            <w:r>
              <w:rPr>
                <w:rFonts w:ascii="Arial" w:cs="Arial" w:eastAsia="Arial" w:hAnsi="Arial"/>
                <w:sz w:val="14"/>
                <w:szCs w:val="14"/>
                <w:color w:val="auto"/>
              </w:rPr>
              <w:t>Immediate vesting</w:t>
            </w:r>
          </w:p>
        </w:tc>
        <w:tc>
          <w:tcPr>
            <w:tcW w:w="2220" w:type="dxa"/>
            <w:vAlign w:val="bottom"/>
            <w:tcBorders>
              <w:right w:val="single" w:sz="8" w:color="012E6C"/>
            </w:tcBorders>
            <w:shd w:val="clear" w:color="auto" w:fill="E5E7EF"/>
          </w:tcPr>
          <w:p>
            <w:pPr>
              <w:spacing w:after="0"/>
              <w:rPr>
                <w:sz w:val="18"/>
                <w:szCs w:val="18"/>
                <w:color w:val="auto"/>
              </w:rPr>
            </w:pPr>
          </w:p>
        </w:tc>
        <w:tc>
          <w:tcPr>
            <w:tcW w:w="100" w:type="dxa"/>
            <w:vAlign w:val="bottom"/>
            <w:shd w:val="clear" w:color="auto" w:fill="E5E7EF"/>
          </w:tcPr>
          <w:p>
            <w:pPr>
              <w:spacing w:after="0"/>
              <w:rPr>
                <w:sz w:val="18"/>
                <w:szCs w:val="18"/>
                <w:color w:val="auto"/>
              </w:rPr>
            </w:pPr>
          </w:p>
        </w:tc>
        <w:tc>
          <w:tcPr>
            <w:tcW w:w="460" w:type="dxa"/>
            <w:vAlign w:val="bottom"/>
            <w:shd w:val="clear" w:color="auto" w:fill="E5E7EF"/>
          </w:tcPr>
          <w:p>
            <w:pPr>
              <w:spacing w:after="0"/>
              <w:rPr>
                <w:sz w:val="18"/>
                <w:szCs w:val="18"/>
                <w:color w:val="auto"/>
              </w:rPr>
            </w:pPr>
          </w:p>
        </w:tc>
        <w:tc>
          <w:tcPr>
            <w:tcW w:w="300" w:type="dxa"/>
            <w:vAlign w:val="bottom"/>
            <w:shd w:val="clear" w:color="auto" w:fill="E5E7EF"/>
          </w:tcPr>
          <w:p>
            <w:pPr>
              <w:spacing w:after="0"/>
              <w:rPr>
                <w:sz w:val="18"/>
                <w:szCs w:val="18"/>
                <w:color w:val="auto"/>
              </w:rPr>
            </w:pPr>
          </w:p>
        </w:tc>
        <w:tc>
          <w:tcPr>
            <w:tcW w:w="740" w:type="dxa"/>
            <w:vAlign w:val="bottom"/>
            <w:shd w:val="clear" w:color="auto" w:fill="E5E7EF"/>
          </w:tcPr>
          <w:p>
            <w:pPr>
              <w:spacing w:after="0"/>
              <w:rPr>
                <w:sz w:val="18"/>
                <w:szCs w:val="18"/>
                <w:color w:val="auto"/>
              </w:rPr>
            </w:pPr>
          </w:p>
        </w:tc>
        <w:tc>
          <w:tcPr>
            <w:tcW w:w="460" w:type="dxa"/>
            <w:vAlign w:val="bottom"/>
            <w:tcBorders>
              <w:right w:val="single" w:sz="8" w:color="012E6C"/>
            </w:tcBorders>
            <w:shd w:val="clear" w:color="auto" w:fill="E5E7EF"/>
          </w:tcPr>
          <w:p>
            <w:pPr>
              <w:spacing w:after="0"/>
              <w:rPr>
                <w:sz w:val="18"/>
                <w:szCs w:val="18"/>
                <w:color w:val="auto"/>
              </w:rPr>
            </w:pPr>
          </w:p>
        </w:tc>
        <w:tc>
          <w:tcPr>
            <w:tcW w:w="100" w:type="dxa"/>
            <w:vAlign w:val="bottom"/>
            <w:shd w:val="clear" w:color="auto" w:fill="E5E7EF"/>
          </w:tcPr>
          <w:p>
            <w:pPr>
              <w:spacing w:after="0"/>
              <w:rPr>
                <w:sz w:val="18"/>
                <w:szCs w:val="18"/>
                <w:color w:val="auto"/>
              </w:rPr>
            </w:pPr>
          </w:p>
        </w:tc>
        <w:tc>
          <w:tcPr>
            <w:tcW w:w="1280" w:type="dxa"/>
            <w:vAlign w:val="bottom"/>
            <w:tcBorders>
              <w:right w:val="single" w:sz="8" w:color="E4E6EF"/>
            </w:tcBorders>
            <w:gridSpan w:val="4"/>
            <w:shd w:val="clear" w:color="auto" w:fill="E4E6EF"/>
          </w:tcPr>
          <w:p>
            <w:pPr>
              <w:spacing w:after="0" w:line="148" w:lineRule="exact"/>
              <w:rPr>
                <w:sz w:val="20"/>
                <w:szCs w:val="20"/>
                <w:color w:val="auto"/>
              </w:rPr>
            </w:pPr>
            <w:r>
              <w:rPr>
                <w:rFonts w:ascii="Arial" w:cs="Arial" w:eastAsia="Arial" w:hAnsi="Arial"/>
                <w:sz w:val="14"/>
                <w:szCs w:val="14"/>
                <w:color w:val="auto"/>
                <w:w w:val="98"/>
                <w:shd w:val="clear" w:color="auto" w:fill="E4E6EF"/>
              </w:rPr>
              <w:t>termination is due to</w:t>
            </w:r>
          </w:p>
        </w:tc>
        <w:tc>
          <w:tcPr>
            <w:tcW w:w="340" w:type="dxa"/>
            <w:vAlign w:val="bottom"/>
            <w:shd w:val="clear" w:color="auto" w:fill="E5E7EF"/>
          </w:tcPr>
          <w:p>
            <w:pPr>
              <w:spacing w:after="0"/>
              <w:rPr>
                <w:sz w:val="18"/>
                <w:szCs w:val="18"/>
                <w:color w:val="auto"/>
              </w:rPr>
            </w:pPr>
          </w:p>
        </w:tc>
        <w:tc>
          <w:tcPr>
            <w:tcW w:w="220" w:type="dxa"/>
            <w:vAlign w:val="bottom"/>
            <w:tcBorders>
              <w:right w:val="single" w:sz="8" w:color="E5E7EF"/>
            </w:tcBorders>
            <w:shd w:val="clear" w:color="auto" w:fill="E5E7EF"/>
          </w:tcPr>
          <w:p>
            <w:pPr>
              <w:spacing w:after="0"/>
              <w:rPr>
                <w:sz w:val="18"/>
                <w:szCs w:val="18"/>
                <w:color w:val="auto"/>
              </w:rPr>
            </w:pPr>
          </w:p>
        </w:tc>
        <w:tc>
          <w:tcPr>
            <w:tcW w:w="120" w:type="dxa"/>
            <w:vAlign w:val="bottom"/>
            <w:tcBorders>
              <w:right w:val="single" w:sz="8" w:color="012E6C"/>
            </w:tcBorders>
            <w:shd w:val="clear" w:color="auto" w:fill="E5E7EF"/>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1040" w:type="dxa"/>
            <w:vAlign w:val="bottom"/>
            <w:tcBorders>
              <w:top w:val="single" w:sz="8" w:color="012E6C"/>
              <w:left w:val="single" w:sz="8" w:color="012E6C"/>
              <w:right w:val="single" w:sz="8" w:color="012E6C"/>
            </w:tcBorders>
            <w:shd w:val="clear" w:color="auto" w:fill="E5E7EF"/>
          </w:tcPr>
          <w:p>
            <w:pPr>
              <w:spacing w:after="0"/>
              <w:rPr>
                <w:sz w:val="9"/>
                <w:szCs w:val="9"/>
                <w:color w:val="auto"/>
              </w:rPr>
            </w:pPr>
          </w:p>
        </w:tc>
        <w:tc>
          <w:tcPr>
            <w:tcW w:w="1940" w:type="dxa"/>
            <w:vAlign w:val="bottom"/>
            <w:tcBorders>
              <w:top w:val="single" w:sz="8" w:color="012E6C"/>
              <w:right w:val="single" w:sz="8" w:color="012E6C"/>
            </w:tcBorders>
            <w:shd w:val="clear" w:color="auto" w:fill="E5E7EF"/>
          </w:tcPr>
          <w:p>
            <w:pPr>
              <w:spacing w:after="0"/>
              <w:rPr>
                <w:sz w:val="9"/>
                <w:szCs w:val="9"/>
                <w:color w:val="auto"/>
              </w:rPr>
            </w:pPr>
          </w:p>
        </w:tc>
        <w:tc>
          <w:tcPr>
            <w:tcW w:w="1940" w:type="dxa"/>
            <w:vAlign w:val="bottom"/>
            <w:tcBorders>
              <w:top w:val="single" w:sz="8" w:color="E5E7EF"/>
              <w:right w:val="single" w:sz="8" w:color="012E6C"/>
            </w:tcBorders>
            <w:shd w:val="clear" w:color="auto" w:fill="E5E7EF"/>
          </w:tcPr>
          <w:p>
            <w:pPr>
              <w:ind w:left="100"/>
              <w:spacing w:after="0" w:line="94" w:lineRule="exact"/>
              <w:rPr>
                <w:sz w:val="20"/>
                <w:szCs w:val="20"/>
                <w:color w:val="auto"/>
              </w:rPr>
            </w:pPr>
            <w:r>
              <w:rPr>
                <w:rFonts w:ascii="Arial" w:cs="Arial" w:eastAsia="Arial" w:hAnsi="Arial"/>
                <w:sz w:val="10"/>
                <w:szCs w:val="10"/>
                <w:color w:val="auto"/>
              </w:rPr>
              <w:t>following involuntary</w:t>
            </w:r>
          </w:p>
        </w:tc>
        <w:tc>
          <w:tcPr>
            <w:tcW w:w="2220" w:type="dxa"/>
            <w:vAlign w:val="bottom"/>
            <w:tcBorders>
              <w:top w:val="single" w:sz="8" w:color="012E6C"/>
              <w:right w:val="single" w:sz="8" w:color="012E6C"/>
            </w:tcBorders>
            <w:shd w:val="clear" w:color="auto" w:fill="E5E7EF"/>
          </w:tcPr>
          <w:p>
            <w:pPr>
              <w:spacing w:after="0"/>
              <w:rPr>
                <w:sz w:val="9"/>
                <w:szCs w:val="9"/>
                <w:color w:val="auto"/>
              </w:rPr>
            </w:pPr>
          </w:p>
        </w:tc>
        <w:tc>
          <w:tcPr>
            <w:tcW w:w="100" w:type="dxa"/>
            <w:vAlign w:val="bottom"/>
            <w:tcBorders>
              <w:top w:val="single" w:sz="8" w:color="012E6C"/>
            </w:tcBorders>
            <w:shd w:val="clear" w:color="auto" w:fill="E5E7EF"/>
          </w:tcPr>
          <w:p>
            <w:pPr>
              <w:spacing w:after="0"/>
              <w:rPr>
                <w:sz w:val="9"/>
                <w:szCs w:val="9"/>
                <w:color w:val="auto"/>
              </w:rPr>
            </w:pPr>
          </w:p>
        </w:tc>
        <w:tc>
          <w:tcPr>
            <w:tcW w:w="460" w:type="dxa"/>
            <w:vAlign w:val="bottom"/>
            <w:tcBorders>
              <w:top w:val="single" w:sz="8" w:color="012E6C"/>
            </w:tcBorders>
            <w:shd w:val="clear" w:color="auto" w:fill="E5E7EF"/>
          </w:tcPr>
          <w:p>
            <w:pPr>
              <w:spacing w:after="0"/>
              <w:rPr>
                <w:sz w:val="9"/>
                <w:szCs w:val="9"/>
                <w:color w:val="auto"/>
              </w:rPr>
            </w:pPr>
          </w:p>
        </w:tc>
        <w:tc>
          <w:tcPr>
            <w:tcW w:w="300" w:type="dxa"/>
            <w:vAlign w:val="bottom"/>
            <w:tcBorders>
              <w:top w:val="single" w:sz="8" w:color="012E6C"/>
            </w:tcBorders>
            <w:shd w:val="clear" w:color="auto" w:fill="E5E7EF"/>
          </w:tcPr>
          <w:p>
            <w:pPr>
              <w:spacing w:after="0"/>
              <w:rPr>
                <w:sz w:val="9"/>
                <w:szCs w:val="9"/>
                <w:color w:val="auto"/>
              </w:rPr>
            </w:pPr>
          </w:p>
        </w:tc>
        <w:tc>
          <w:tcPr>
            <w:tcW w:w="740" w:type="dxa"/>
            <w:vAlign w:val="bottom"/>
            <w:tcBorders>
              <w:top w:val="single" w:sz="8" w:color="012E6C"/>
            </w:tcBorders>
            <w:shd w:val="clear" w:color="auto" w:fill="E5E7EF"/>
          </w:tcPr>
          <w:p>
            <w:pPr>
              <w:spacing w:after="0"/>
              <w:rPr>
                <w:sz w:val="9"/>
                <w:szCs w:val="9"/>
                <w:color w:val="auto"/>
              </w:rPr>
            </w:pPr>
          </w:p>
        </w:tc>
        <w:tc>
          <w:tcPr>
            <w:tcW w:w="460" w:type="dxa"/>
            <w:vAlign w:val="bottom"/>
            <w:tcBorders>
              <w:top w:val="single" w:sz="8" w:color="012E6C"/>
              <w:right w:val="single" w:sz="8" w:color="012E6C"/>
            </w:tcBorders>
            <w:shd w:val="clear" w:color="auto" w:fill="E5E7EF"/>
          </w:tcPr>
          <w:p>
            <w:pPr>
              <w:spacing w:after="0"/>
              <w:rPr>
                <w:sz w:val="9"/>
                <w:szCs w:val="9"/>
                <w:color w:val="auto"/>
              </w:rPr>
            </w:pPr>
          </w:p>
        </w:tc>
        <w:tc>
          <w:tcPr>
            <w:tcW w:w="100" w:type="dxa"/>
            <w:vAlign w:val="bottom"/>
            <w:tcBorders>
              <w:top w:val="single" w:sz="8" w:color="E5E7EF"/>
            </w:tcBorders>
            <w:shd w:val="clear" w:color="auto" w:fill="E5E7EF"/>
          </w:tcPr>
          <w:p>
            <w:pPr>
              <w:spacing w:after="0"/>
              <w:rPr>
                <w:sz w:val="9"/>
                <w:szCs w:val="9"/>
                <w:color w:val="auto"/>
              </w:rPr>
            </w:pPr>
          </w:p>
        </w:tc>
        <w:tc>
          <w:tcPr>
            <w:tcW w:w="760" w:type="dxa"/>
            <w:vAlign w:val="bottom"/>
            <w:tcBorders>
              <w:top w:val="single" w:sz="8" w:color="E4E6EF"/>
            </w:tcBorders>
            <w:shd w:val="clear" w:color="auto" w:fill="E4E6EF"/>
          </w:tcPr>
          <w:p>
            <w:pPr>
              <w:spacing w:after="0" w:line="94" w:lineRule="exact"/>
              <w:rPr>
                <w:sz w:val="20"/>
                <w:szCs w:val="20"/>
                <w:color w:val="auto"/>
              </w:rPr>
            </w:pPr>
            <w:r>
              <w:rPr>
                <w:rFonts w:ascii="Arial" w:cs="Arial" w:eastAsia="Arial" w:hAnsi="Arial"/>
                <w:sz w:val="10"/>
                <w:szCs w:val="10"/>
                <w:color w:val="auto"/>
                <w:shd w:val="clear" w:color="auto" w:fill="E4E6EF"/>
              </w:rPr>
              <w:t>misconduct.</w:t>
            </w:r>
          </w:p>
        </w:tc>
        <w:tc>
          <w:tcPr>
            <w:tcW w:w="420" w:type="dxa"/>
            <w:vAlign w:val="bottom"/>
            <w:tcBorders>
              <w:top w:val="single" w:sz="8" w:color="E5E7EF"/>
            </w:tcBorders>
            <w:gridSpan w:val="2"/>
            <w:shd w:val="clear" w:color="auto" w:fill="E5E7EF"/>
          </w:tcPr>
          <w:p>
            <w:pPr>
              <w:spacing w:after="0"/>
              <w:rPr>
                <w:sz w:val="9"/>
                <w:szCs w:val="9"/>
                <w:color w:val="auto"/>
              </w:rPr>
            </w:pPr>
          </w:p>
        </w:tc>
        <w:tc>
          <w:tcPr>
            <w:tcW w:w="440" w:type="dxa"/>
            <w:vAlign w:val="bottom"/>
            <w:tcBorders>
              <w:top w:val="single" w:sz="8" w:color="E5E7EF"/>
            </w:tcBorders>
            <w:gridSpan w:val="2"/>
            <w:shd w:val="clear" w:color="auto" w:fill="E5E7EF"/>
          </w:tcPr>
          <w:p>
            <w:pPr>
              <w:spacing w:after="0"/>
              <w:rPr>
                <w:sz w:val="9"/>
                <w:szCs w:val="9"/>
                <w:color w:val="auto"/>
              </w:rPr>
            </w:pPr>
          </w:p>
        </w:tc>
        <w:tc>
          <w:tcPr>
            <w:tcW w:w="220" w:type="dxa"/>
            <w:vAlign w:val="bottom"/>
            <w:tcBorders>
              <w:top w:val="single" w:sz="8" w:color="E5E7EF"/>
              <w:right w:val="single" w:sz="8" w:color="E5E7EF"/>
            </w:tcBorders>
            <w:shd w:val="clear" w:color="auto" w:fill="E5E7EF"/>
          </w:tcPr>
          <w:p>
            <w:pPr>
              <w:spacing w:after="0"/>
              <w:rPr>
                <w:sz w:val="9"/>
                <w:szCs w:val="9"/>
                <w:color w:val="auto"/>
              </w:rPr>
            </w:pPr>
          </w:p>
        </w:tc>
        <w:tc>
          <w:tcPr>
            <w:tcW w:w="120" w:type="dxa"/>
            <w:vAlign w:val="bottom"/>
            <w:tcBorders>
              <w:top w:val="single" w:sz="8" w:color="E5E7EF"/>
              <w:right w:val="single" w:sz="8" w:color="012E6C"/>
            </w:tcBorders>
            <w:shd w:val="clear" w:color="auto" w:fill="E5E7EF"/>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1040" w:type="dxa"/>
            <w:vAlign w:val="bottom"/>
            <w:tcBorders>
              <w:left w:val="single" w:sz="8" w:color="012E6C"/>
              <w:right w:val="single" w:sz="8" w:color="012E6C"/>
            </w:tcBorders>
            <w:shd w:val="clear" w:color="auto" w:fill="E5E7EF"/>
          </w:tcPr>
          <w:p>
            <w:pPr>
              <w:spacing w:after="0"/>
              <w:rPr>
                <w:sz w:val="5"/>
                <w:szCs w:val="5"/>
                <w:color w:val="auto"/>
              </w:rPr>
            </w:pPr>
          </w:p>
        </w:tc>
        <w:tc>
          <w:tcPr>
            <w:tcW w:w="1940" w:type="dxa"/>
            <w:vAlign w:val="bottom"/>
            <w:tcBorders>
              <w:right w:val="single" w:sz="8" w:color="012E6C"/>
            </w:tcBorders>
            <w:shd w:val="clear" w:color="auto" w:fill="E5E7EF"/>
          </w:tcPr>
          <w:p>
            <w:pPr>
              <w:spacing w:after="0"/>
              <w:rPr>
                <w:sz w:val="5"/>
                <w:szCs w:val="5"/>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termination without cause</w:t>
            </w:r>
          </w:p>
        </w:tc>
        <w:tc>
          <w:tcPr>
            <w:tcW w:w="2220" w:type="dxa"/>
            <w:vAlign w:val="bottom"/>
            <w:tcBorders>
              <w:right w:val="single" w:sz="8" w:color="012E6C"/>
            </w:tcBorders>
            <w:shd w:val="clear" w:color="auto" w:fill="E5E7EF"/>
          </w:tcPr>
          <w:p>
            <w:pPr>
              <w:spacing w:after="0"/>
              <w:rPr>
                <w:sz w:val="5"/>
                <w:szCs w:val="5"/>
                <w:color w:val="auto"/>
              </w:rPr>
            </w:pPr>
          </w:p>
        </w:tc>
        <w:tc>
          <w:tcPr>
            <w:tcW w:w="100" w:type="dxa"/>
            <w:vAlign w:val="bottom"/>
            <w:shd w:val="clear" w:color="auto" w:fill="E5E7EF"/>
          </w:tcPr>
          <w:p>
            <w:pPr>
              <w:spacing w:after="0"/>
              <w:rPr>
                <w:sz w:val="5"/>
                <w:szCs w:val="5"/>
                <w:color w:val="auto"/>
              </w:rPr>
            </w:pPr>
          </w:p>
        </w:tc>
        <w:tc>
          <w:tcPr>
            <w:tcW w:w="460" w:type="dxa"/>
            <w:vAlign w:val="bottom"/>
            <w:shd w:val="clear" w:color="auto" w:fill="E5E7EF"/>
          </w:tcPr>
          <w:p>
            <w:pPr>
              <w:spacing w:after="0"/>
              <w:rPr>
                <w:sz w:val="5"/>
                <w:szCs w:val="5"/>
                <w:color w:val="auto"/>
              </w:rPr>
            </w:pPr>
          </w:p>
        </w:tc>
        <w:tc>
          <w:tcPr>
            <w:tcW w:w="300" w:type="dxa"/>
            <w:vAlign w:val="bottom"/>
            <w:shd w:val="clear" w:color="auto" w:fill="E5E7EF"/>
          </w:tcPr>
          <w:p>
            <w:pPr>
              <w:spacing w:after="0"/>
              <w:rPr>
                <w:sz w:val="5"/>
                <w:szCs w:val="5"/>
                <w:color w:val="auto"/>
              </w:rPr>
            </w:pPr>
          </w:p>
        </w:tc>
        <w:tc>
          <w:tcPr>
            <w:tcW w:w="740" w:type="dxa"/>
            <w:vAlign w:val="bottom"/>
            <w:shd w:val="clear" w:color="auto" w:fill="E5E7EF"/>
          </w:tcPr>
          <w:p>
            <w:pPr>
              <w:spacing w:after="0"/>
              <w:rPr>
                <w:sz w:val="5"/>
                <w:szCs w:val="5"/>
                <w:color w:val="auto"/>
              </w:rPr>
            </w:pPr>
          </w:p>
        </w:tc>
        <w:tc>
          <w:tcPr>
            <w:tcW w:w="460" w:type="dxa"/>
            <w:vAlign w:val="bottom"/>
            <w:tcBorders>
              <w:right w:val="single" w:sz="8" w:color="012E6C"/>
            </w:tcBorders>
            <w:shd w:val="clear" w:color="auto" w:fill="E5E7EF"/>
          </w:tcPr>
          <w:p>
            <w:pPr>
              <w:spacing w:after="0"/>
              <w:rPr>
                <w:sz w:val="5"/>
                <w:szCs w:val="5"/>
                <w:color w:val="auto"/>
              </w:rPr>
            </w:pPr>
          </w:p>
        </w:tc>
        <w:tc>
          <w:tcPr>
            <w:tcW w:w="100" w:type="dxa"/>
            <w:vAlign w:val="bottom"/>
            <w:shd w:val="clear" w:color="auto" w:fill="E5E7EF"/>
          </w:tcPr>
          <w:p>
            <w:pPr>
              <w:spacing w:after="0"/>
              <w:rPr>
                <w:sz w:val="5"/>
                <w:szCs w:val="5"/>
                <w:color w:val="auto"/>
              </w:rPr>
            </w:pPr>
          </w:p>
        </w:tc>
        <w:tc>
          <w:tcPr>
            <w:tcW w:w="1180" w:type="dxa"/>
            <w:vAlign w:val="bottom"/>
            <w:gridSpan w:val="3"/>
            <w:shd w:val="clear" w:color="auto" w:fill="E5E7EF"/>
          </w:tcPr>
          <w:p>
            <w:pPr>
              <w:spacing w:after="0"/>
              <w:rPr>
                <w:sz w:val="5"/>
                <w:szCs w:val="5"/>
                <w:color w:val="auto"/>
              </w:rPr>
            </w:pPr>
          </w:p>
        </w:tc>
        <w:tc>
          <w:tcPr>
            <w:tcW w:w="440" w:type="dxa"/>
            <w:vAlign w:val="bottom"/>
            <w:gridSpan w:val="2"/>
            <w:shd w:val="clear" w:color="auto" w:fill="E5E7EF"/>
          </w:tcPr>
          <w:p>
            <w:pPr>
              <w:spacing w:after="0"/>
              <w:rPr>
                <w:sz w:val="5"/>
                <w:szCs w:val="5"/>
                <w:color w:val="auto"/>
              </w:rPr>
            </w:pPr>
          </w:p>
        </w:tc>
        <w:tc>
          <w:tcPr>
            <w:tcW w:w="220" w:type="dxa"/>
            <w:vAlign w:val="bottom"/>
            <w:tcBorders>
              <w:right w:val="single" w:sz="8" w:color="E5E7EF"/>
            </w:tcBorders>
            <w:shd w:val="clear" w:color="auto" w:fill="E5E7EF"/>
          </w:tcPr>
          <w:p>
            <w:pPr>
              <w:spacing w:after="0"/>
              <w:rPr>
                <w:sz w:val="5"/>
                <w:szCs w:val="5"/>
                <w:color w:val="auto"/>
              </w:rPr>
            </w:pPr>
          </w:p>
        </w:tc>
        <w:tc>
          <w:tcPr>
            <w:tcW w:w="120" w:type="dxa"/>
            <w:vAlign w:val="bottom"/>
            <w:tcBorders>
              <w:right w:val="single" w:sz="8" w:color="012E6C"/>
            </w:tcBorders>
            <w:shd w:val="clear" w:color="auto" w:fill="E5E7EF"/>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1040" w:type="dxa"/>
            <w:vAlign w:val="bottom"/>
            <w:tcBorders>
              <w:left w:val="single" w:sz="8" w:color="012E6C"/>
              <w:bottom w:val="single" w:sz="8" w:color="E5E7EF"/>
              <w:right w:val="single" w:sz="8" w:color="012E6C"/>
            </w:tcBorders>
            <w:shd w:val="clear" w:color="auto" w:fill="E5E7EF"/>
          </w:tcPr>
          <w:p>
            <w:pPr>
              <w:spacing w:after="0"/>
              <w:rPr>
                <w:sz w:val="14"/>
                <w:szCs w:val="14"/>
                <w:color w:val="auto"/>
              </w:rPr>
            </w:pPr>
          </w:p>
        </w:tc>
        <w:tc>
          <w:tcPr>
            <w:tcW w:w="1940" w:type="dxa"/>
            <w:vAlign w:val="bottom"/>
            <w:tcBorders>
              <w:bottom w:val="single" w:sz="8" w:color="E5E7EF"/>
              <w:right w:val="single" w:sz="8" w:color="012E6C"/>
            </w:tcBorders>
            <w:shd w:val="clear" w:color="auto" w:fill="E5E7EF"/>
          </w:tcPr>
          <w:p>
            <w:pPr>
              <w:spacing w:after="0"/>
              <w:rPr>
                <w:sz w:val="14"/>
                <w:szCs w:val="14"/>
                <w:color w:val="auto"/>
              </w:rPr>
            </w:pPr>
          </w:p>
        </w:tc>
        <w:tc>
          <w:tcPr>
            <w:tcW w:w="1940" w:type="dxa"/>
            <w:vAlign w:val="bottom"/>
            <w:tcBorders>
              <w:bottom w:val="single" w:sz="8" w:color="E5E7EF"/>
              <w:right w:val="single" w:sz="8" w:color="012E6C"/>
            </w:tcBorders>
            <w:vMerge w:val="continue"/>
            <w:shd w:val="clear" w:color="auto" w:fill="E5E7EF"/>
          </w:tcPr>
          <w:p>
            <w:pPr>
              <w:spacing w:after="0"/>
              <w:rPr>
                <w:sz w:val="14"/>
                <w:szCs w:val="14"/>
                <w:color w:val="auto"/>
              </w:rPr>
            </w:pPr>
          </w:p>
        </w:tc>
        <w:tc>
          <w:tcPr>
            <w:tcW w:w="2220" w:type="dxa"/>
            <w:vAlign w:val="bottom"/>
            <w:tcBorders>
              <w:bottom w:val="single" w:sz="8" w:color="E5E7EF"/>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Prorated payment of PSUs and</w:t>
            </w:r>
          </w:p>
        </w:tc>
        <w:tc>
          <w:tcPr>
            <w:tcW w:w="100" w:type="dxa"/>
            <w:vAlign w:val="bottom"/>
            <w:tcBorders>
              <w:bottom w:val="single" w:sz="8" w:color="E5E7EF"/>
            </w:tcBorders>
            <w:shd w:val="clear" w:color="auto" w:fill="E5E7EF"/>
          </w:tcPr>
          <w:p>
            <w:pPr>
              <w:spacing w:after="0"/>
              <w:rPr>
                <w:sz w:val="14"/>
                <w:szCs w:val="14"/>
                <w:color w:val="auto"/>
              </w:rPr>
            </w:pPr>
          </w:p>
        </w:tc>
        <w:tc>
          <w:tcPr>
            <w:tcW w:w="460" w:type="dxa"/>
            <w:vAlign w:val="bottom"/>
            <w:tcBorders>
              <w:bottom w:val="single" w:sz="8" w:color="E5E7EF"/>
            </w:tcBorders>
            <w:shd w:val="clear" w:color="auto" w:fill="E5E7EF"/>
          </w:tcPr>
          <w:p>
            <w:pPr>
              <w:spacing w:after="0"/>
              <w:rPr>
                <w:sz w:val="14"/>
                <w:szCs w:val="14"/>
                <w:color w:val="auto"/>
              </w:rPr>
            </w:pPr>
          </w:p>
        </w:tc>
        <w:tc>
          <w:tcPr>
            <w:tcW w:w="300" w:type="dxa"/>
            <w:vAlign w:val="bottom"/>
            <w:tcBorders>
              <w:bottom w:val="single" w:sz="8" w:color="E5E7EF"/>
            </w:tcBorders>
            <w:shd w:val="clear" w:color="auto" w:fill="E5E7EF"/>
          </w:tcPr>
          <w:p>
            <w:pPr>
              <w:spacing w:after="0"/>
              <w:rPr>
                <w:sz w:val="14"/>
                <w:szCs w:val="14"/>
                <w:color w:val="auto"/>
              </w:rPr>
            </w:pPr>
          </w:p>
        </w:tc>
        <w:tc>
          <w:tcPr>
            <w:tcW w:w="740" w:type="dxa"/>
            <w:vAlign w:val="bottom"/>
            <w:tcBorders>
              <w:bottom w:val="single" w:sz="8" w:color="E5E7EF"/>
            </w:tcBorders>
            <w:shd w:val="clear" w:color="auto" w:fill="E5E7EF"/>
          </w:tcPr>
          <w:p>
            <w:pPr>
              <w:spacing w:after="0"/>
              <w:rPr>
                <w:sz w:val="14"/>
                <w:szCs w:val="14"/>
                <w:color w:val="auto"/>
              </w:rPr>
            </w:pPr>
          </w:p>
        </w:tc>
        <w:tc>
          <w:tcPr>
            <w:tcW w:w="460" w:type="dxa"/>
            <w:vAlign w:val="bottom"/>
            <w:tcBorders>
              <w:bottom w:val="single" w:sz="8" w:color="E5E7EF"/>
              <w:right w:val="single" w:sz="8" w:color="012E6C"/>
            </w:tcBorders>
            <w:shd w:val="clear" w:color="auto" w:fill="E5E7EF"/>
          </w:tcPr>
          <w:p>
            <w:pPr>
              <w:spacing w:after="0"/>
              <w:rPr>
                <w:sz w:val="14"/>
                <w:szCs w:val="14"/>
                <w:color w:val="auto"/>
              </w:rPr>
            </w:pPr>
          </w:p>
        </w:tc>
        <w:tc>
          <w:tcPr>
            <w:tcW w:w="100" w:type="dxa"/>
            <w:vAlign w:val="bottom"/>
            <w:tcBorders>
              <w:bottom w:val="single" w:sz="8" w:color="E5E7EF"/>
            </w:tcBorders>
            <w:shd w:val="clear" w:color="auto" w:fill="E5E7EF"/>
          </w:tcPr>
          <w:p>
            <w:pPr>
              <w:spacing w:after="0"/>
              <w:rPr>
                <w:sz w:val="14"/>
                <w:szCs w:val="14"/>
                <w:color w:val="auto"/>
              </w:rPr>
            </w:pPr>
          </w:p>
        </w:tc>
        <w:tc>
          <w:tcPr>
            <w:tcW w:w="1840" w:type="dxa"/>
            <w:vAlign w:val="bottom"/>
            <w:tcBorders>
              <w:bottom w:val="single" w:sz="8" w:color="E5E7EF"/>
              <w:right w:val="single" w:sz="8" w:color="E5E7EF"/>
            </w:tcBorders>
            <w:gridSpan w:val="6"/>
            <w:shd w:val="clear" w:color="auto" w:fill="E4E6EF"/>
          </w:tcPr>
          <w:p>
            <w:pPr>
              <w:spacing w:after="0" w:line="153" w:lineRule="exact"/>
              <w:rPr>
                <w:sz w:val="20"/>
                <w:szCs w:val="20"/>
                <w:color w:val="auto"/>
              </w:rPr>
            </w:pPr>
            <w:r>
              <w:rPr>
                <w:rFonts w:ascii="Arial" w:cs="Arial" w:eastAsia="Arial" w:hAnsi="Arial"/>
                <w:sz w:val="14"/>
                <w:szCs w:val="14"/>
                <w:color w:val="auto"/>
                <w:shd w:val="clear" w:color="auto" w:fill="E4E6EF"/>
              </w:rPr>
              <w:t>Termination on or after the</w:t>
            </w:r>
          </w:p>
        </w:tc>
        <w:tc>
          <w:tcPr>
            <w:tcW w:w="120" w:type="dxa"/>
            <w:vAlign w:val="bottom"/>
            <w:tcBorders>
              <w:bottom w:val="single" w:sz="8" w:color="E5E7EF"/>
              <w:right w:val="single" w:sz="8" w:color="012E6C"/>
            </w:tcBorders>
            <w:shd w:val="clear" w:color="auto" w:fill="E5E7EF"/>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040" w:type="dxa"/>
            <w:vAlign w:val="bottom"/>
            <w:tcBorders>
              <w:left w:val="single" w:sz="8" w:color="012E6C"/>
              <w:right w:val="single" w:sz="8" w:color="012E6C"/>
            </w:tcBorders>
            <w:shd w:val="clear" w:color="auto" w:fill="E5E7EF"/>
          </w:tcPr>
          <w:p>
            <w:pPr>
              <w:spacing w:after="0"/>
              <w:rPr>
                <w:sz w:val="4"/>
                <w:szCs w:val="4"/>
                <w:color w:val="auto"/>
              </w:rPr>
            </w:pPr>
          </w:p>
        </w:tc>
        <w:tc>
          <w:tcPr>
            <w:tcW w:w="1940" w:type="dxa"/>
            <w:vAlign w:val="bottom"/>
            <w:tcBorders>
              <w:right w:val="single" w:sz="8" w:color="012E6C"/>
            </w:tcBorders>
            <w:vMerge w:val="restart"/>
            <w:shd w:val="clear" w:color="auto" w:fill="E5E7EF"/>
          </w:tcPr>
          <w:p>
            <w:pPr>
              <w:ind w:left="100"/>
              <w:spacing w:after="0" w:line="152" w:lineRule="exact"/>
              <w:rPr>
                <w:sz w:val="20"/>
                <w:szCs w:val="20"/>
                <w:color w:val="auto"/>
              </w:rPr>
            </w:pPr>
            <w:r>
              <w:rPr>
                <w:rFonts w:ascii="Arial" w:cs="Arial" w:eastAsia="Arial" w:hAnsi="Arial"/>
                <w:sz w:val="14"/>
                <w:szCs w:val="14"/>
                <w:color w:val="auto"/>
              </w:rPr>
              <w:t>Prorated payment of PSUs</w:t>
            </w:r>
          </w:p>
        </w:tc>
        <w:tc>
          <w:tcPr>
            <w:tcW w:w="1940" w:type="dxa"/>
            <w:vAlign w:val="bottom"/>
            <w:tcBorders>
              <w:right w:val="single" w:sz="8" w:color="012E6C"/>
            </w:tcBorders>
            <w:vMerge w:val="restart"/>
            <w:shd w:val="clear" w:color="auto" w:fill="E5E7EF"/>
          </w:tcPr>
          <w:p>
            <w:pPr>
              <w:ind w:left="100"/>
              <w:spacing w:after="0" w:line="152" w:lineRule="exact"/>
              <w:rPr>
                <w:sz w:val="20"/>
                <w:szCs w:val="20"/>
                <w:color w:val="auto"/>
              </w:rPr>
            </w:pPr>
            <w:r>
              <w:rPr>
                <w:rFonts w:ascii="Arial" w:cs="Arial" w:eastAsia="Arial" w:hAnsi="Arial"/>
                <w:sz w:val="14"/>
                <w:szCs w:val="14"/>
                <w:color w:val="auto"/>
              </w:rPr>
              <w:t>or voluntary termination</w:t>
            </w:r>
          </w:p>
        </w:tc>
        <w:tc>
          <w:tcPr>
            <w:tcW w:w="2220" w:type="dxa"/>
            <w:vAlign w:val="bottom"/>
            <w:tcBorders>
              <w:right w:val="single" w:sz="8" w:color="012E6C"/>
            </w:tcBorders>
            <w:vMerge w:val="continue"/>
            <w:shd w:val="clear" w:color="auto" w:fill="E5E7EF"/>
          </w:tcPr>
          <w:p>
            <w:pPr>
              <w:spacing w:after="0"/>
              <w:rPr>
                <w:sz w:val="4"/>
                <w:szCs w:val="4"/>
                <w:color w:val="auto"/>
              </w:rPr>
            </w:pPr>
          </w:p>
        </w:tc>
        <w:tc>
          <w:tcPr>
            <w:tcW w:w="100" w:type="dxa"/>
            <w:vAlign w:val="bottom"/>
            <w:shd w:val="clear" w:color="auto" w:fill="E5E7EF"/>
          </w:tcPr>
          <w:p>
            <w:pPr>
              <w:spacing w:after="0"/>
              <w:rPr>
                <w:sz w:val="4"/>
                <w:szCs w:val="4"/>
                <w:color w:val="auto"/>
              </w:rPr>
            </w:pPr>
          </w:p>
        </w:tc>
        <w:tc>
          <w:tcPr>
            <w:tcW w:w="460" w:type="dxa"/>
            <w:vAlign w:val="bottom"/>
            <w:shd w:val="clear" w:color="auto" w:fill="E5E7EF"/>
          </w:tcPr>
          <w:p>
            <w:pPr>
              <w:spacing w:after="0"/>
              <w:rPr>
                <w:sz w:val="4"/>
                <w:szCs w:val="4"/>
                <w:color w:val="auto"/>
              </w:rPr>
            </w:pPr>
          </w:p>
        </w:tc>
        <w:tc>
          <w:tcPr>
            <w:tcW w:w="300" w:type="dxa"/>
            <w:vAlign w:val="bottom"/>
            <w:shd w:val="clear" w:color="auto" w:fill="E5E7EF"/>
          </w:tcPr>
          <w:p>
            <w:pPr>
              <w:spacing w:after="0"/>
              <w:rPr>
                <w:sz w:val="4"/>
                <w:szCs w:val="4"/>
                <w:color w:val="auto"/>
              </w:rPr>
            </w:pPr>
          </w:p>
        </w:tc>
        <w:tc>
          <w:tcPr>
            <w:tcW w:w="740" w:type="dxa"/>
            <w:vAlign w:val="bottom"/>
            <w:shd w:val="clear" w:color="auto" w:fill="E5E7EF"/>
          </w:tcPr>
          <w:p>
            <w:pPr>
              <w:spacing w:after="0"/>
              <w:rPr>
                <w:sz w:val="4"/>
                <w:szCs w:val="4"/>
                <w:color w:val="auto"/>
              </w:rPr>
            </w:pPr>
          </w:p>
        </w:tc>
        <w:tc>
          <w:tcPr>
            <w:tcW w:w="460" w:type="dxa"/>
            <w:vAlign w:val="bottom"/>
            <w:tcBorders>
              <w:right w:val="single" w:sz="8" w:color="012E6C"/>
            </w:tcBorders>
            <w:shd w:val="clear" w:color="auto" w:fill="E5E7EF"/>
          </w:tcPr>
          <w:p>
            <w:pPr>
              <w:spacing w:after="0"/>
              <w:rPr>
                <w:sz w:val="4"/>
                <w:szCs w:val="4"/>
                <w:color w:val="auto"/>
              </w:rPr>
            </w:pPr>
          </w:p>
        </w:tc>
        <w:tc>
          <w:tcPr>
            <w:tcW w:w="100" w:type="dxa"/>
            <w:vAlign w:val="bottom"/>
            <w:shd w:val="clear" w:color="auto" w:fill="E5E7EF"/>
          </w:tcPr>
          <w:p>
            <w:pPr>
              <w:spacing w:after="0"/>
              <w:rPr>
                <w:sz w:val="4"/>
                <w:szCs w:val="4"/>
                <w:color w:val="auto"/>
              </w:rPr>
            </w:pPr>
          </w:p>
        </w:tc>
        <w:tc>
          <w:tcPr>
            <w:tcW w:w="1840" w:type="dxa"/>
            <w:vAlign w:val="bottom"/>
            <w:tcBorders>
              <w:right w:val="single" w:sz="8" w:color="E4E6EF"/>
            </w:tcBorders>
            <w:gridSpan w:val="6"/>
            <w:vMerge w:val="restart"/>
            <w:shd w:val="clear" w:color="auto" w:fill="E4E6EF"/>
          </w:tcPr>
          <w:p>
            <w:pPr>
              <w:spacing w:after="0" w:line="153" w:lineRule="exact"/>
              <w:rPr>
                <w:sz w:val="20"/>
                <w:szCs w:val="20"/>
                <w:color w:val="auto"/>
              </w:rPr>
            </w:pPr>
            <w:r>
              <w:rPr>
                <w:rFonts w:ascii="Arial" w:cs="Arial" w:eastAsia="Arial" w:hAnsi="Arial"/>
                <w:sz w:val="14"/>
                <w:szCs w:val="14"/>
                <w:color w:val="auto"/>
                <w:shd w:val="clear" w:color="auto" w:fill="E4E6EF"/>
              </w:rPr>
              <w:t>six-month anniversary of the</w:t>
            </w:r>
          </w:p>
        </w:tc>
        <w:tc>
          <w:tcPr>
            <w:tcW w:w="120" w:type="dxa"/>
            <w:vAlign w:val="bottom"/>
            <w:tcBorders>
              <w:right w:val="single" w:sz="8" w:color="012E6C"/>
            </w:tcBorders>
            <w:shd w:val="clear" w:color="auto" w:fill="E5E7EF"/>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040" w:type="dxa"/>
            <w:vAlign w:val="bottom"/>
            <w:tcBorders>
              <w:left w:val="single" w:sz="8" w:color="012E6C"/>
              <w:bottom w:val="single" w:sz="8" w:color="E5E7EF"/>
              <w:right w:val="single" w:sz="8" w:color="012E6C"/>
            </w:tcBorders>
            <w:shd w:val="clear" w:color="auto" w:fill="E5E7EF"/>
          </w:tcPr>
          <w:p>
            <w:pPr>
              <w:spacing w:after="0"/>
              <w:rPr>
                <w:sz w:val="13"/>
                <w:szCs w:val="13"/>
                <w:color w:val="auto"/>
              </w:rPr>
            </w:pPr>
          </w:p>
        </w:tc>
        <w:tc>
          <w:tcPr>
            <w:tcW w:w="1940" w:type="dxa"/>
            <w:vAlign w:val="bottom"/>
            <w:tcBorders>
              <w:bottom w:val="single" w:sz="8" w:color="E5E7EF"/>
              <w:right w:val="single" w:sz="8" w:color="012E6C"/>
            </w:tcBorders>
            <w:vMerge w:val="continue"/>
            <w:shd w:val="clear" w:color="auto" w:fill="E5E7EF"/>
          </w:tcPr>
          <w:p>
            <w:pPr>
              <w:spacing w:after="0"/>
              <w:rPr>
                <w:sz w:val="13"/>
                <w:szCs w:val="13"/>
                <w:color w:val="auto"/>
              </w:rPr>
            </w:pPr>
          </w:p>
        </w:tc>
        <w:tc>
          <w:tcPr>
            <w:tcW w:w="1940" w:type="dxa"/>
            <w:vAlign w:val="bottom"/>
            <w:tcBorders>
              <w:bottom w:val="single" w:sz="8" w:color="E5E7EF"/>
              <w:right w:val="single" w:sz="8" w:color="012E6C"/>
            </w:tcBorders>
            <w:vMerge w:val="continue"/>
            <w:shd w:val="clear" w:color="auto" w:fill="E5E7EF"/>
          </w:tcPr>
          <w:p>
            <w:pPr>
              <w:spacing w:after="0"/>
              <w:rPr>
                <w:sz w:val="13"/>
                <w:szCs w:val="13"/>
                <w:color w:val="auto"/>
              </w:rPr>
            </w:pPr>
          </w:p>
        </w:tc>
        <w:tc>
          <w:tcPr>
            <w:tcW w:w="2220" w:type="dxa"/>
            <w:vAlign w:val="bottom"/>
            <w:tcBorders>
              <w:bottom w:val="single" w:sz="8" w:color="E5E7EF"/>
              <w:right w:val="single" w:sz="8" w:color="012E6C"/>
            </w:tcBorders>
            <w:shd w:val="clear" w:color="auto" w:fill="E5E7EF"/>
          </w:tcPr>
          <w:p>
            <w:pPr>
              <w:ind w:left="100"/>
              <w:spacing w:after="0" w:line="155" w:lineRule="exact"/>
              <w:rPr>
                <w:sz w:val="20"/>
                <w:szCs w:val="20"/>
                <w:color w:val="auto"/>
              </w:rPr>
            </w:pPr>
            <w:r>
              <w:rPr>
                <w:rFonts w:ascii="Arial" w:cs="Arial" w:eastAsia="Arial" w:hAnsi="Arial"/>
                <w:sz w:val="14"/>
                <w:szCs w:val="14"/>
                <w:color w:val="auto"/>
              </w:rPr>
              <w:t>LTIP (and dividend equivalents</w:t>
            </w:r>
          </w:p>
        </w:tc>
        <w:tc>
          <w:tcPr>
            <w:tcW w:w="100" w:type="dxa"/>
            <w:vAlign w:val="bottom"/>
            <w:tcBorders>
              <w:bottom w:val="single" w:sz="8" w:color="E5E7EF"/>
            </w:tcBorders>
            <w:shd w:val="clear" w:color="auto" w:fill="E5E7EF"/>
          </w:tcPr>
          <w:p>
            <w:pPr>
              <w:spacing w:after="0"/>
              <w:rPr>
                <w:sz w:val="13"/>
                <w:szCs w:val="13"/>
                <w:color w:val="auto"/>
              </w:rPr>
            </w:pPr>
          </w:p>
        </w:tc>
        <w:tc>
          <w:tcPr>
            <w:tcW w:w="460" w:type="dxa"/>
            <w:vAlign w:val="bottom"/>
            <w:tcBorders>
              <w:bottom w:val="single" w:sz="8" w:color="E5E7EF"/>
            </w:tcBorders>
            <w:shd w:val="clear" w:color="auto" w:fill="E5E7EF"/>
          </w:tcPr>
          <w:p>
            <w:pPr>
              <w:spacing w:after="0"/>
              <w:rPr>
                <w:sz w:val="13"/>
                <w:szCs w:val="13"/>
                <w:color w:val="auto"/>
              </w:rPr>
            </w:pPr>
          </w:p>
        </w:tc>
        <w:tc>
          <w:tcPr>
            <w:tcW w:w="300" w:type="dxa"/>
            <w:vAlign w:val="bottom"/>
            <w:tcBorders>
              <w:bottom w:val="single" w:sz="8" w:color="E5E7EF"/>
            </w:tcBorders>
            <w:shd w:val="clear" w:color="auto" w:fill="E5E7EF"/>
          </w:tcPr>
          <w:p>
            <w:pPr>
              <w:spacing w:after="0"/>
              <w:rPr>
                <w:sz w:val="13"/>
                <w:szCs w:val="13"/>
                <w:color w:val="auto"/>
              </w:rPr>
            </w:pPr>
          </w:p>
        </w:tc>
        <w:tc>
          <w:tcPr>
            <w:tcW w:w="740" w:type="dxa"/>
            <w:vAlign w:val="bottom"/>
            <w:tcBorders>
              <w:bottom w:val="single" w:sz="8" w:color="E5E7EF"/>
            </w:tcBorders>
            <w:shd w:val="clear" w:color="auto" w:fill="E5E7EF"/>
          </w:tcPr>
          <w:p>
            <w:pPr>
              <w:spacing w:after="0"/>
              <w:rPr>
                <w:sz w:val="13"/>
                <w:szCs w:val="13"/>
                <w:color w:val="auto"/>
              </w:rPr>
            </w:pPr>
          </w:p>
        </w:tc>
        <w:tc>
          <w:tcPr>
            <w:tcW w:w="460" w:type="dxa"/>
            <w:vAlign w:val="bottom"/>
            <w:tcBorders>
              <w:bottom w:val="single" w:sz="8" w:color="E5E7EF"/>
              <w:right w:val="single" w:sz="8" w:color="012E6C"/>
            </w:tcBorders>
            <w:shd w:val="clear" w:color="auto" w:fill="E5E7EF"/>
          </w:tcPr>
          <w:p>
            <w:pPr>
              <w:spacing w:after="0"/>
              <w:rPr>
                <w:sz w:val="13"/>
                <w:szCs w:val="13"/>
                <w:color w:val="auto"/>
              </w:rPr>
            </w:pPr>
          </w:p>
        </w:tc>
        <w:tc>
          <w:tcPr>
            <w:tcW w:w="100" w:type="dxa"/>
            <w:vAlign w:val="bottom"/>
            <w:tcBorders>
              <w:bottom w:val="single" w:sz="8" w:color="E5E7EF"/>
            </w:tcBorders>
            <w:shd w:val="clear" w:color="auto" w:fill="E5E7EF"/>
          </w:tcPr>
          <w:p>
            <w:pPr>
              <w:spacing w:after="0"/>
              <w:rPr>
                <w:sz w:val="13"/>
                <w:szCs w:val="13"/>
                <w:color w:val="auto"/>
              </w:rPr>
            </w:pPr>
          </w:p>
        </w:tc>
        <w:tc>
          <w:tcPr>
            <w:tcW w:w="1840" w:type="dxa"/>
            <w:vAlign w:val="bottom"/>
            <w:tcBorders>
              <w:bottom w:val="single" w:sz="8" w:color="E5E7EF"/>
              <w:right w:val="single" w:sz="8" w:color="E4E6EF"/>
            </w:tcBorders>
            <w:gridSpan w:val="6"/>
            <w:vMerge w:val="continue"/>
            <w:shd w:val="clear" w:color="auto" w:fill="E4E6EF"/>
          </w:tcPr>
          <w:p>
            <w:pPr>
              <w:spacing w:after="0"/>
              <w:rPr>
                <w:sz w:val="13"/>
                <w:szCs w:val="13"/>
                <w:color w:val="auto"/>
              </w:rPr>
            </w:pPr>
          </w:p>
        </w:tc>
        <w:tc>
          <w:tcPr>
            <w:tcW w:w="120" w:type="dxa"/>
            <w:vAlign w:val="bottom"/>
            <w:tcBorders>
              <w:bottom w:val="single" w:sz="8" w:color="E5E7EF"/>
              <w:right w:val="single" w:sz="8" w:color="012E6C"/>
            </w:tcBorders>
            <w:shd w:val="clear" w:color="auto" w:fill="E5E7E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40" w:type="dxa"/>
            <w:vAlign w:val="bottom"/>
            <w:tcBorders>
              <w:top w:val="single" w:sz="8" w:color="E5E7EF"/>
              <w:left w:val="single" w:sz="8" w:color="012E6C"/>
              <w:bottom w:val="single" w:sz="8" w:color="E5E7EF"/>
              <w:right w:val="single" w:sz="8" w:color="012E6C"/>
            </w:tcBorders>
            <w:shd w:val="clear" w:color="auto" w:fill="E5E7EF"/>
          </w:tcPr>
          <w:p>
            <w:pPr>
              <w:spacing w:after="0"/>
              <w:rPr>
                <w:sz w:val="13"/>
                <w:szCs w:val="13"/>
                <w:color w:val="auto"/>
              </w:rPr>
            </w:pPr>
          </w:p>
        </w:tc>
        <w:tc>
          <w:tcPr>
            <w:tcW w:w="1940" w:type="dxa"/>
            <w:vAlign w:val="bottom"/>
            <w:tcBorders>
              <w:top w:val="single" w:sz="8" w:color="E5E7EF"/>
              <w:bottom w:val="single" w:sz="8" w:color="E5E7EF"/>
              <w:right w:val="single" w:sz="8" w:color="012E6C"/>
            </w:tcBorders>
            <w:shd w:val="clear" w:color="auto" w:fill="E5E7EF"/>
          </w:tcPr>
          <w:p>
            <w:pPr>
              <w:ind w:left="100"/>
              <w:spacing w:after="0" w:line="103" w:lineRule="exact"/>
              <w:rPr>
                <w:sz w:val="20"/>
                <w:szCs w:val="20"/>
                <w:color w:val="auto"/>
              </w:rPr>
            </w:pPr>
            <w:r>
              <w:rPr>
                <w:rFonts w:ascii="Arial" w:cs="Arial" w:eastAsia="Arial" w:hAnsi="Arial"/>
                <w:sz w:val="11"/>
                <w:szCs w:val="11"/>
                <w:color w:val="auto"/>
              </w:rPr>
              <w:t>and LTIP (and dividend</w:t>
            </w:r>
          </w:p>
        </w:tc>
        <w:tc>
          <w:tcPr>
            <w:tcW w:w="1940" w:type="dxa"/>
            <w:vAlign w:val="bottom"/>
            <w:tcBorders>
              <w:top w:val="single" w:sz="8" w:color="E5E7EF"/>
              <w:bottom w:val="single" w:sz="8" w:color="E5E7EF"/>
              <w:right w:val="single" w:sz="8" w:color="012E6C"/>
            </w:tcBorders>
            <w:shd w:val="clear" w:color="auto" w:fill="E5E7EF"/>
          </w:tcPr>
          <w:p>
            <w:pPr>
              <w:ind w:left="100"/>
              <w:spacing w:after="0" w:line="103" w:lineRule="exact"/>
              <w:rPr>
                <w:sz w:val="20"/>
                <w:szCs w:val="20"/>
                <w:color w:val="auto"/>
              </w:rPr>
            </w:pPr>
            <w:r>
              <w:rPr>
                <w:rFonts w:ascii="Arial" w:cs="Arial" w:eastAsia="Arial" w:hAnsi="Arial"/>
                <w:sz w:val="11"/>
                <w:szCs w:val="11"/>
                <w:color w:val="auto"/>
              </w:rPr>
              <w:t>with good reason within 24</w:t>
            </w:r>
          </w:p>
        </w:tc>
        <w:tc>
          <w:tcPr>
            <w:tcW w:w="2220" w:type="dxa"/>
            <w:vAlign w:val="bottom"/>
            <w:tcBorders>
              <w:top w:val="single" w:sz="8" w:color="E5E7EF"/>
              <w:bottom w:val="single" w:sz="8" w:color="E5E7EF"/>
              <w:right w:val="single" w:sz="8" w:color="012E6C"/>
            </w:tcBorders>
            <w:shd w:val="clear" w:color="auto" w:fill="E5E7EF"/>
          </w:tcPr>
          <w:p>
            <w:pPr>
              <w:ind w:left="100"/>
              <w:spacing w:after="0" w:line="155" w:lineRule="exact"/>
              <w:rPr>
                <w:sz w:val="20"/>
                <w:szCs w:val="20"/>
                <w:color w:val="auto"/>
              </w:rPr>
            </w:pPr>
            <w:r>
              <w:rPr>
                <w:rFonts w:ascii="Arial" w:cs="Arial" w:eastAsia="Arial" w:hAnsi="Arial"/>
                <w:sz w:val="14"/>
                <w:szCs w:val="14"/>
                <w:color w:val="auto"/>
              </w:rPr>
              <w:t>on PSUs) based on the</w:t>
            </w:r>
          </w:p>
        </w:tc>
        <w:tc>
          <w:tcPr>
            <w:tcW w:w="100" w:type="dxa"/>
            <w:vAlign w:val="bottom"/>
            <w:tcBorders>
              <w:top w:val="single" w:sz="8" w:color="E5E7EF"/>
              <w:bottom w:val="single" w:sz="8" w:color="E5E7EF"/>
            </w:tcBorders>
            <w:shd w:val="clear" w:color="auto" w:fill="E5E7EF"/>
          </w:tcPr>
          <w:p>
            <w:pPr>
              <w:spacing w:after="0"/>
              <w:rPr>
                <w:sz w:val="13"/>
                <w:szCs w:val="13"/>
                <w:color w:val="auto"/>
              </w:rPr>
            </w:pPr>
          </w:p>
        </w:tc>
        <w:tc>
          <w:tcPr>
            <w:tcW w:w="1960" w:type="dxa"/>
            <w:vAlign w:val="bottom"/>
            <w:tcBorders>
              <w:top w:val="single" w:sz="8" w:color="E5E7EF"/>
              <w:bottom w:val="single" w:sz="8" w:color="E5E7EF"/>
              <w:right w:val="single" w:sz="8" w:color="012E6C"/>
            </w:tcBorders>
            <w:gridSpan w:val="4"/>
            <w:shd w:val="clear" w:color="auto" w:fill="E5E7EF"/>
          </w:tcPr>
          <w:p>
            <w:pPr>
              <w:spacing w:after="0" w:line="155" w:lineRule="exact"/>
              <w:rPr>
                <w:sz w:val="20"/>
                <w:szCs w:val="20"/>
                <w:color w:val="auto"/>
              </w:rPr>
            </w:pPr>
            <w:r>
              <w:rPr>
                <w:rFonts w:ascii="Arial" w:cs="Arial" w:eastAsia="Arial" w:hAnsi="Arial"/>
                <w:sz w:val="14"/>
                <w:szCs w:val="14"/>
                <w:color w:val="auto"/>
              </w:rPr>
              <w:t>Prorated payment of PSUs</w:t>
            </w:r>
          </w:p>
        </w:tc>
        <w:tc>
          <w:tcPr>
            <w:tcW w:w="100" w:type="dxa"/>
            <w:vAlign w:val="bottom"/>
            <w:tcBorders>
              <w:top w:val="single" w:sz="8" w:color="E5E7EF"/>
              <w:bottom w:val="single" w:sz="8" w:color="E5E7EF"/>
            </w:tcBorders>
            <w:shd w:val="clear" w:color="auto" w:fill="E5E7EF"/>
          </w:tcPr>
          <w:p>
            <w:pPr>
              <w:spacing w:after="0"/>
              <w:rPr>
                <w:sz w:val="13"/>
                <w:szCs w:val="13"/>
                <w:color w:val="auto"/>
              </w:rPr>
            </w:pPr>
          </w:p>
        </w:tc>
        <w:tc>
          <w:tcPr>
            <w:tcW w:w="1840" w:type="dxa"/>
            <w:vAlign w:val="bottom"/>
            <w:tcBorders>
              <w:top w:val="single" w:sz="8" w:color="E4E6EF"/>
              <w:bottom w:val="single" w:sz="8" w:color="E5E7EF"/>
              <w:right w:val="single" w:sz="8" w:color="E4E6EF"/>
            </w:tcBorders>
            <w:gridSpan w:val="6"/>
            <w:shd w:val="clear" w:color="auto" w:fill="E4E6EF"/>
          </w:tcPr>
          <w:p>
            <w:pPr>
              <w:spacing w:after="0" w:line="104" w:lineRule="exact"/>
              <w:rPr>
                <w:sz w:val="20"/>
                <w:szCs w:val="20"/>
                <w:color w:val="auto"/>
              </w:rPr>
            </w:pPr>
            <w:r>
              <w:rPr>
                <w:rFonts w:ascii="Arial" w:cs="Arial" w:eastAsia="Arial" w:hAnsi="Arial"/>
                <w:sz w:val="12"/>
                <w:szCs w:val="12"/>
                <w:color w:val="auto"/>
                <w:shd w:val="clear" w:color="auto" w:fill="E4E6EF"/>
              </w:rPr>
              <w:t>grant date and either (i) age</w:t>
            </w:r>
          </w:p>
        </w:tc>
        <w:tc>
          <w:tcPr>
            <w:tcW w:w="120" w:type="dxa"/>
            <w:vAlign w:val="bottom"/>
            <w:tcBorders>
              <w:top w:val="single" w:sz="8" w:color="E5E7EF"/>
              <w:bottom w:val="single" w:sz="8" w:color="E5E7EF"/>
              <w:right w:val="single" w:sz="8" w:color="012E6C"/>
            </w:tcBorders>
            <w:shd w:val="clear" w:color="auto" w:fill="E5E7E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40" w:type="dxa"/>
            <w:vAlign w:val="bottom"/>
            <w:tcBorders>
              <w:top w:val="single" w:sz="8" w:color="E5E7EF"/>
              <w:left w:val="single" w:sz="8" w:color="012E6C"/>
              <w:bottom w:val="single" w:sz="8" w:color="E5E7EF"/>
              <w:right w:val="single" w:sz="8" w:color="012E6C"/>
            </w:tcBorders>
            <w:shd w:val="clear" w:color="auto" w:fill="E5E7EF"/>
          </w:tcPr>
          <w:p>
            <w:pPr>
              <w:spacing w:after="0"/>
              <w:rPr>
                <w:sz w:val="13"/>
                <w:szCs w:val="13"/>
                <w:color w:val="auto"/>
              </w:rPr>
            </w:pPr>
          </w:p>
        </w:tc>
        <w:tc>
          <w:tcPr>
            <w:tcW w:w="1940" w:type="dxa"/>
            <w:vAlign w:val="bottom"/>
            <w:tcBorders>
              <w:top w:val="single" w:sz="8" w:color="E5E7EF"/>
              <w:bottom w:val="single" w:sz="8" w:color="E5E7EF"/>
              <w:right w:val="single" w:sz="8" w:color="012E6C"/>
            </w:tcBorders>
            <w:shd w:val="clear" w:color="auto" w:fill="E5E7EF"/>
          </w:tcPr>
          <w:p>
            <w:pPr>
              <w:ind w:left="100"/>
              <w:spacing w:after="0" w:line="103" w:lineRule="exact"/>
              <w:rPr>
                <w:sz w:val="20"/>
                <w:szCs w:val="20"/>
                <w:color w:val="auto"/>
              </w:rPr>
            </w:pPr>
            <w:r>
              <w:rPr>
                <w:rFonts w:ascii="Arial" w:cs="Arial" w:eastAsia="Arial" w:hAnsi="Arial"/>
                <w:sz w:val="11"/>
                <w:szCs w:val="11"/>
                <w:color w:val="auto"/>
              </w:rPr>
              <w:t>equivalents on PSUs)</w:t>
            </w:r>
          </w:p>
        </w:tc>
        <w:tc>
          <w:tcPr>
            <w:tcW w:w="1940" w:type="dxa"/>
            <w:vAlign w:val="bottom"/>
            <w:tcBorders>
              <w:top w:val="single" w:sz="8" w:color="E5E7EF"/>
              <w:bottom w:val="single" w:sz="8" w:color="E5E7EF"/>
              <w:right w:val="single" w:sz="8" w:color="012E6C"/>
            </w:tcBorders>
            <w:shd w:val="clear" w:color="auto" w:fill="E5E7EF"/>
          </w:tcPr>
          <w:p>
            <w:pPr>
              <w:ind w:left="100"/>
              <w:spacing w:after="0" w:line="103" w:lineRule="exact"/>
              <w:rPr>
                <w:sz w:val="20"/>
                <w:szCs w:val="20"/>
                <w:color w:val="auto"/>
              </w:rPr>
            </w:pPr>
            <w:r>
              <w:rPr>
                <w:rFonts w:ascii="Arial" w:cs="Arial" w:eastAsia="Arial" w:hAnsi="Arial"/>
                <w:sz w:val="11"/>
                <w:szCs w:val="11"/>
                <w:color w:val="auto"/>
              </w:rPr>
              <w:t>months of change in</w:t>
            </w:r>
          </w:p>
        </w:tc>
        <w:tc>
          <w:tcPr>
            <w:tcW w:w="2220" w:type="dxa"/>
            <w:vAlign w:val="bottom"/>
            <w:tcBorders>
              <w:top w:val="single" w:sz="8" w:color="E5E7EF"/>
              <w:bottom w:val="single" w:sz="8" w:color="E5E7EF"/>
              <w:right w:val="single" w:sz="8" w:color="012E6C"/>
            </w:tcBorders>
            <w:shd w:val="clear" w:color="auto" w:fill="E5E7EF"/>
          </w:tcPr>
          <w:p>
            <w:pPr>
              <w:ind w:left="100"/>
              <w:spacing w:after="0" w:line="155" w:lineRule="exact"/>
              <w:rPr>
                <w:sz w:val="20"/>
                <w:szCs w:val="20"/>
                <w:color w:val="auto"/>
              </w:rPr>
            </w:pPr>
            <w:r>
              <w:rPr>
                <w:rFonts w:ascii="Arial" w:cs="Arial" w:eastAsia="Arial" w:hAnsi="Arial"/>
                <w:sz w:val="14"/>
                <w:szCs w:val="14"/>
                <w:color w:val="auto"/>
              </w:rPr>
              <w:t>performance at end of the</w:t>
            </w:r>
          </w:p>
        </w:tc>
        <w:tc>
          <w:tcPr>
            <w:tcW w:w="100" w:type="dxa"/>
            <w:vAlign w:val="bottom"/>
            <w:tcBorders>
              <w:top w:val="single" w:sz="8" w:color="E5E7EF"/>
              <w:bottom w:val="single" w:sz="8" w:color="E5E7EF"/>
            </w:tcBorders>
            <w:shd w:val="clear" w:color="auto" w:fill="E5E7EF"/>
          </w:tcPr>
          <w:p>
            <w:pPr>
              <w:spacing w:after="0"/>
              <w:rPr>
                <w:sz w:val="13"/>
                <w:szCs w:val="13"/>
                <w:color w:val="auto"/>
              </w:rPr>
            </w:pPr>
          </w:p>
        </w:tc>
        <w:tc>
          <w:tcPr>
            <w:tcW w:w="1960" w:type="dxa"/>
            <w:vAlign w:val="bottom"/>
            <w:tcBorders>
              <w:top w:val="single" w:sz="8" w:color="E5E7EF"/>
              <w:bottom w:val="single" w:sz="8" w:color="E5E7EF"/>
              <w:right w:val="single" w:sz="8" w:color="012E6C"/>
            </w:tcBorders>
            <w:gridSpan w:val="4"/>
            <w:shd w:val="clear" w:color="auto" w:fill="E5E7EF"/>
          </w:tcPr>
          <w:p>
            <w:pPr>
              <w:spacing w:after="0" w:line="155" w:lineRule="exact"/>
              <w:rPr>
                <w:sz w:val="20"/>
                <w:szCs w:val="20"/>
                <w:color w:val="auto"/>
              </w:rPr>
            </w:pPr>
            <w:r>
              <w:rPr>
                <w:rFonts w:ascii="Arial" w:cs="Arial" w:eastAsia="Arial" w:hAnsi="Arial"/>
                <w:sz w:val="14"/>
                <w:szCs w:val="14"/>
                <w:color w:val="auto"/>
              </w:rPr>
              <w:t>and LTIP (and dividend</w:t>
            </w:r>
          </w:p>
        </w:tc>
        <w:tc>
          <w:tcPr>
            <w:tcW w:w="100" w:type="dxa"/>
            <w:vAlign w:val="bottom"/>
            <w:tcBorders>
              <w:top w:val="single" w:sz="8" w:color="E5E7EF"/>
              <w:bottom w:val="single" w:sz="8" w:color="E5E7EF"/>
            </w:tcBorders>
            <w:shd w:val="clear" w:color="auto" w:fill="E5E7EF"/>
          </w:tcPr>
          <w:p>
            <w:pPr>
              <w:spacing w:after="0"/>
              <w:rPr>
                <w:sz w:val="13"/>
                <w:szCs w:val="13"/>
                <w:color w:val="auto"/>
              </w:rPr>
            </w:pPr>
          </w:p>
        </w:tc>
        <w:tc>
          <w:tcPr>
            <w:tcW w:w="1840" w:type="dxa"/>
            <w:vAlign w:val="bottom"/>
            <w:tcBorders>
              <w:top w:val="single" w:sz="8" w:color="E4E6EF"/>
              <w:bottom w:val="single" w:sz="8" w:color="E5E7EF"/>
              <w:right w:val="single" w:sz="8" w:color="E4E6EF"/>
            </w:tcBorders>
            <w:gridSpan w:val="6"/>
            <w:shd w:val="clear" w:color="auto" w:fill="E4E6EF"/>
          </w:tcPr>
          <w:p>
            <w:pPr>
              <w:spacing w:after="0" w:line="104" w:lineRule="exact"/>
              <w:rPr>
                <w:sz w:val="20"/>
                <w:szCs w:val="20"/>
                <w:color w:val="auto"/>
              </w:rPr>
            </w:pPr>
            <w:r>
              <w:rPr>
                <w:rFonts w:ascii="Arial" w:cs="Arial" w:eastAsia="Arial" w:hAnsi="Arial"/>
                <w:sz w:val="12"/>
                <w:szCs w:val="12"/>
                <w:color w:val="auto"/>
                <w:shd w:val="clear" w:color="auto" w:fill="E4E6EF"/>
              </w:rPr>
              <w:t>55 and ten years of service</w:t>
            </w:r>
          </w:p>
        </w:tc>
        <w:tc>
          <w:tcPr>
            <w:tcW w:w="120" w:type="dxa"/>
            <w:vAlign w:val="bottom"/>
            <w:tcBorders>
              <w:top w:val="single" w:sz="8" w:color="E5E7EF"/>
              <w:bottom w:val="single" w:sz="8" w:color="E5E7EF"/>
              <w:right w:val="single" w:sz="8" w:color="012E6C"/>
            </w:tcBorders>
            <w:shd w:val="clear" w:color="auto" w:fill="E5E7E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040" w:type="dxa"/>
            <w:vAlign w:val="bottom"/>
            <w:tcBorders>
              <w:top w:val="single" w:sz="8" w:color="E5E7EF"/>
              <w:left w:val="single" w:sz="8" w:color="012E6C"/>
              <w:bottom w:val="single" w:sz="8" w:color="E5E7EF"/>
              <w:right w:val="single" w:sz="8" w:color="012E6C"/>
            </w:tcBorders>
            <w:vMerge w:val="restart"/>
            <w:shd w:val="clear" w:color="auto" w:fill="E5E7EF"/>
          </w:tcPr>
          <w:p>
            <w:pPr>
              <w:jc w:val="center"/>
              <w:spacing w:after="0"/>
              <w:rPr>
                <w:sz w:val="20"/>
                <w:szCs w:val="20"/>
                <w:color w:val="auto"/>
              </w:rPr>
            </w:pPr>
            <w:r>
              <w:rPr>
                <w:rFonts w:ascii="Arial" w:cs="Arial" w:eastAsia="Arial" w:hAnsi="Arial"/>
                <w:sz w:val="15"/>
                <w:szCs w:val="15"/>
                <w:b w:val="1"/>
                <w:bCs w:val="1"/>
                <w:color w:val="003478"/>
              </w:rPr>
              <w:t>PSUs &amp; LTIP</w:t>
            </w:r>
          </w:p>
        </w:tc>
        <w:tc>
          <w:tcPr>
            <w:tcW w:w="1940" w:type="dxa"/>
            <w:vAlign w:val="bottom"/>
            <w:tcBorders>
              <w:top w:val="single" w:sz="8" w:color="E5E7EF"/>
              <w:bottom w:val="single" w:sz="8" w:color="E5E7EF"/>
              <w:right w:val="single" w:sz="8" w:color="012E6C"/>
            </w:tcBorders>
            <w:shd w:val="clear" w:color="auto" w:fill="E5E7EF"/>
          </w:tcPr>
          <w:p>
            <w:pPr>
              <w:ind w:left="100"/>
              <w:spacing w:after="0" w:line="103" w:lineRule="exact"/>
              <w:rPr>
                <w:sz w:val="20"/>
                <w:szCs w:val="20"/>
                <w:color w:val="auto"/>
              </w:rPr>
            </w:pPr>
            <w:r>
              <w:rPr>
                <w:rFonts w:ascii="Arial" w:cs="Arial" w:eastAsia="Arial" w:hAnsi="Arial"/>
                <w:sz w:val="11"/>
                <w:szCs w:val="11"/>
                <w:color w:val="auto"/>
              </w:rPr>
              <w:t>based on the performance</w:t>
            </w:r>
          </w:p>
        </w:tc>
        <w:tc>
          <w:tcPr>
            <w:tcW w:w="1940" w:type="dxa"/>
            <w:vAlign w:val="bottom"/>
            <w:tcBorders>
              <w:top w:val="single" w:sz="8" w:color="E5E7EF"/>
              <w:bottom w:val="single" w:sz="8" w:color="E5E7EF"/>
              <w:right w:val="single" w:sz="8" w:color="012E6C"/>
            </w:tcBorders>
            <w:shd w:val="clear" w:color="auto" w:fill="E5E7EF"/>
          </w:tcPr>
          <w:p>
            <w:pPr>
              <w:ind w:left="100"/>
              <w:spacing w:after="0" w:line="103" w:lineRule="exact"/>
              <w:rPr>
                <w:sz w:val="20"/>
                <w:szCs w:val="20"/>
                <w:color w:val="auto"/>
              </w:rPr>
            </w:pPr>
            <w:r>
              <w:rPr>
                <w:rFonts w:ascii="Arial" w:cs="Arial" w:eastAsia="Arial" w:hAnsi="Arial"/>
                <w:sz w:val="11"/>
                <w:szCs w:val="11"/>
                <w:color w:val="auto"/>
              </w:rPr>
              <w:t>control if assumed by</w:t>
            </w:r>
          </w:p>
        </w:tc>
        <w:tc>
          <w:tcPr>
            <w:tcW w:w="2220" w:type="dxa"/>
            <w:vAlign w:val="bottom"/>
            <w:tcBorders>
              <w:top w:val="single" w:sz="8" w:color="E5E7EF"/>
              <w:bottom w:val="single" w:sz="8" w:color="E5E7EF"/>
              <w:right w:val="single" w:sz="8" w:color="012E6C"/>
            </w:tcBorders>
            <w:shd w:val="clear" w:color="auto" w:fill="E5E7EF"/>
          </w:tcPr>
          <w:p>
            <w:pPr>
              <w:ind w:left="100"/>
              <w:spacing w:after="0" w:line="155" w:lineRule="exact"/>
              <w:rPr>
                <w:sz w:val="20"/>
                <w:szCs w:val="20"/>
                <w:color w:val="auto"/>
              </w:rPr>
            </w:pPr>
            <w:r>
              <w:rPr>
                <w:rFonts w:ascii="Arial" w:cs="Arial" w:eastAsia="Arial" w:hAnsi="Arial"/>
                <w:sz w:val="14"/>
                <w:szCs w:val="14"/>
                <w:color w:val="auto"/>
              </w:rPr>
              <w:t>three-year performance period,</w:t>
            </w:r>
          </w:p>
        </w:tc>
        <w:tc>
          <w:tcPr>
            <w:tcW w:w="100" w:type="dxa"/>
            <w:vAlign w:val="bottom"/>
            <w:tcBorders>
              <w:top w:val="single" w:sz="8" w:color="E5E7EF"/>
              <w:bottom w:val="single" w:sz="8" w:color="E5E7EF"/>
            </w:tcBorders>
            <w:shd w:val="clear" w:color="auto" w:fill="E5E7EF"/>
          </w:tcPr>
          <w:p>
            <w:pPr>
              <w:spacing w:after="0"/>
              <w:rPr>
                <w:sz w:val="13"/>
                <w:szCs w:val="13"/>
                <w:color w:val="auto"/>
              </w:rPr>
            </w:pPr>
          </w:p>
        </w:tc>
        <w:tc>
          <w:tcPr>
            <w:tcW w:w="1960" w:type="dxa"/>
            <w:vAlign w:val="bottom"/>
            <w:tcBorders>
              <w:top w:val="single" w:sz="8" w:color="E5E7EF"/>
              <w:bottom w:val="single" w:sz="8" w:color="E5E7EF"/>
              <w:right w:val="single" w:sz="8" w:color="012E6C"/>
            </w:tcBorders>
            <w:gridSpan w:val="4"/>
            <w:shd w:val="clear" w:color="auto" w:fill="E5E7EF"/>
          </w:tcPr>
          <w:p>
            <w:pPr>
              <w:spacing w:after="0" w:line="155" w:lineRule="exact"/>
              <w:rPr>
                <w:sz w:val="20"/>
                <w:szCs w:val="20"/>
                <w:color w:val="auto"/>
              </w:rPr>
            </w:pPr>
            <w:r>
              <w:rPr>
                <w:rFonts w:ascii="Arial" w:cs="Arial" w:eastAsia="Arial" w:hAnsi="Arial"/>
                <w:sz w:val="14"/>
                <w:szCs w:val="14"/>
                <w:color w:val="auto"/>
              </w:rPr>
              <w:t>equivalents on PSUs) based</w:t>
            </w:r>
          </w:p>
        </w:tc>
        <w:tc>
          <w:tcPr>
            <w:tcW w:w="100" w:type="dxa"/>
            <w:vAlign w:val="bottom"/>
            <w:tcBorders>
              <w:top w:val="single" w:sz="8" w:color="E5E7EF"/>
              <w:bottom w:val="single" w:sz="8" w:color="E5E7EF"/>
            </w:tcBorders>
            <w:shd w:val="clear" w:color="auto" w:fill="E5E7EF"/>
          </w:tcPr>
          <w:p>
            <w:pPr>
              <w:spacing w:after="0"/>
              <w:rPr>
                <w:sz w:val="13"/>
                <w:szCs w:val="13"/>
                <w:color w:val="auto"/>
              </w:rPr>
            </w:pPr>
          </w:p>
        </w:tc>
        <w:tc>
          <w:tcPr>
            <w:tcW w:w="1620" w:type="dxa"/>
            <w:vAlign w:val="bottom"/>
            <w:tcBorders>
              <w:top w:val="single" w:sz="8" w:color="E4E6EF"/>
              <w:bottom w:val="single" w:sz="8" w:color="E5E7EF"/>
            </w:tcBorders>
            <w:gridSpan w:val="5"/>
            <w:shd w:val="clear" w:color="auto" w:fill="E4E6EF"/>
          </w:tcPr>
          <w:p>
            <w:pPr>
              <w:spacing w:after="0" w:line="104" w:lineRule="exact"/>
              <w:rPr>
                <w:sz w:val="20"/>
                <w:szCs w:val="20"/>
                <w:color w:val="auto"/>
              </w:rPr>
            </w:pPr>
            <w:r>
              <w:rPr>
                <w:rFonts w:ascii="Arial" w:cs="Arial" w:eastAsia="Arial" w:hAnsi="Arial"/>
                <w:sz w:val="12"/>
                <w:szCs w:val="12"/>
                <w:color w:val="auto"/>
                <w:shd w:val="clear" w:color="auto" w:fill="E4E6EF"/>
              </w:rPr>
              <w:t>or (ii) age 65 is treated as</w:t>
            </w:r>
          </w:p>
        </w:tc>
        <w:tc>
          <w:tcPr>
            <w:tcW w:w="340" w:type="dxa"/>
            <w:vAlign w:val="bottom"/>
            <w:tcBorders>
              <w:top w:val="single" w:sz="8" w:color="E5E7EF"/>
              <w:bottom w:val="single" w:sz="8" w:color="E5E7EF"/>
              <w:right w:val="single" w:sz="8" w:color="012E6C"/>
            </w:tcBorders>
            <w:gridSpan w:val="2"/>
            <w:shd w:val="clear" w:color="auto" w:fill="E5E7EF"/>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1040" w:type="dxa"/>
            <w:vAlign w:val="bottom"/>
            <w:tcBorders>
              <w:top w:val="single" w:sz="8" w:color="E5E7EF"/>
              <w:left w:val="single" w:sz="8" w:color="012E6C"/>
              <w:right w:val="single" w:sz="8" w:color="012E6C"/>
            </w:tcBorders>
            <w:vMerge w:val="continue"/>
            <w:shd w:val="clear" w:color="auto" w:fill="E5E7EF"/>
          </w:tcPr>
          <w:p>
            <w:pPr>
              <w:spacing w:after="0"/>
              <w:rPr>
                <w:sz w:val="9"/>
                <w:szCs w:val="9"/>
                <w:color w:val="auto"/>
              </w:rPr>
            </w:pPr>
          </w:p>
        </w:tc>
        <w:tc>
          <w:tcPr>
            <w:tcW w:w="1940" w:type="dxa"/>
            <w:vAlign w:val="bottom"/>
            <w:tcBorders>
              <w:top w:val="single" w:sz="8" w:color="E5E7EF"/>
              <w:right w:val="single" w:sz="8" w:color="012E6C"/>
            </w:tcBorders>
            <w:shd w:val="clear" w:color="auto" w:fill="E5E7EF"/>
          </w:tcPr>
          <w:p>
            <w:pPr>
              <w:ind w:left="100"/>
              <w:spacing w:after="0" w:line="103" w:lineRule="exact"/>
              <w:rPr>
                <w:sz w:val="20"/>
                <w:szCs w:val="20"/>
                <w:color w:val="auto"/>
              </w:rPr>
            </w:pPr>
            <w:r>
              <w:rPr>
                <w:rFonts w:ascii="Arial" w:cs="Arial" w:eastAsia="Arial" w:hAnsi="Arial"/>
                <w:sz w:val="11"/>
                <w:szCs w:val="11"/>
                <w:color w:val="auto"/>
              </w:rPr>
              <w:t>at the end of the three-</w:t>
            </w:r>
          </w:p>
        </w:tc>
        <w:tc>
          <w:tcPr>
            <w:tcW w:w="1940" w:type="dxa"/>
            <w:vAlign w:val="bottom"/>
            <w:tcBorders>
              <w:top w:val="single" w:sz="8" w:color="E5E7EF"/>
              <w:right w:val="single" w:sz="8" w:color="012E6C"/>
            </w:tcBorders>
            <w:shd w:val="clear" w:color="auto" w:fill="E5E7EF"/>
          </w:tcPr>
          <w:p>
            <w:pPr>
              <w:ind w:left="100"/>
              <w:spacing w:after="0" w:line="103" w:lineRule="exact"/>
              <w:rPr>
                <w:sz w:val="20"/>
                <w:szCs w:val="20"/>
                <w:color w:val="auto"/>
              </w:rPr>
            </w:pPr>
            <w:r>
              <w:rPr>
                <w:rFonts w:ascii="Arial" w:cs="Arial" w:eastAsia="Arial" w:hAnsi="Arial"/>
                <w:sz w:val="11"/>
                <w:szCs w:val="11"/>
                <w:color w:val="auto"/>
              </w:rPr>
              <w:t>successor.</w:t>
            </w:r>
          </w:p>
        </w:tc>
        <w:tc>
          <w:tcPr>
            <w:tcW w:w="2220" w:type="dxa"/>
            <w:vAlign w:val="bottom"/>
            <w:tcBorders>
              <w:top w:val="single" w:sz="8" w:color="E5E7EF"/>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subject to six-month minimum</w:t>
            </w:r>
          </w:p>
        </w:tc>
        <w:tc>
          <w:tcPr>
            <w:tcW w:w="100" w:type="dxa"/>
            <w:vAlign w:val="bottom"/>
            <w:tcBorders>
              <w:top w:val="single" w:sz="8" w:color="E5E7EF"/>
            </w:tcBorders>
            <w:shd w:val="clear" w:color="auto" w:fill="E5E7EF"/>
          </w:tcPr>
          <w:p>
            <w:pPr>
              <w:spacing w:after="0"/>
              <w:rPr>
                <w:sz w:val="9"/>
                <w:szCs w:val="9"/>
                <w:color w:val="auto"/>
              </w:rPr>
            </w:pPr>
          </w:p>
        </w:tc>
        <w:tc>
          <w:tcPr>
            <w:tcW w:w="1960" w:type="dxa"/>
            <w:vAlign w:val="bottom"/>
            <w:tcBorders>
              <w:top w:val="single" w:sz="8" w:color="E5E7EF"/>
              <w:right w:val="single" w:sz="8" w:color="012E6C"/>
            </w:tcBorders>
            <w:gridSpan w:val="4"/>
            <w:vMerge w:val="restart"/>
            <w:shd w:val="clear" w:color="auto" w:fill="E5E7EF"/>
          </w:tcPr>
          <w:p>
            <w:pPr>
              <w:spacing w:after="0"/>
              <w:rPr>
                <w:sz w:val="20"/>
                <w:szCs w:val="20"/>
                <w:color w:val="auto"/>
              </w:rPr>
            </w:pPr>
            <w:r>
              <w:rPr>
                <w:rFonts w:ascii="Arial" w:cs="Arial" w:eastAsia="Arial" w:hAnsi="Arial"/>
                <w:sz w:val="14"/>
                <w:szCs w:val="14"/>
                <w:color w:val="auto"/>
              </w:rPr>
              <w:t>on the performance at the</w:t>
            </w:r>
          </w:p>
        </w:tc>
        <w:tc>
          <w:tcPr>
            <w:tcW w:w="100" w:type="dxa"/>
            <w:vAlign w:val="bottom"/>
            <w:tcBorders>
              <w:top w:val="single" w:sz="8" w:color="E5E7EF"/>
            </w:tcBorders>
            <w:shd w:val="clear" w:color="auto" w:fill="E5E7EF"/>
          </w:tcPr>
          <w:p>
            <w:pPr>
              <w:spacing w:after="0"/>
              <w:rPr>
                <w:sz w:val="9"/>
                <w:szCs w:val="9"/>
                <w:color w:val="auto"/>
              </w:rPr>
            </w:pPr>
          </w:p>
        </w:tc>
        <w:tc>
          <w:tcPr>
            <w:tcW w:w="1180" w:type="dxa"/>
            <w:vAlign w:val="bottom"/>
            <w:tcBorders>
              <w:top w:val="single" w:sz="8" w:color="E4E6EF"/>
            </w:tcBorders>
            <w:gridSpan w:val="3"/>
            <w:shd w:val="clear" w:color="auto" w:fill="E4E6EF"/>
          </w:tcPr>
          <w:p>
            <w:pPr>
              <w:spacing w:after="0" w:line="104" w:lineRule="exact"/>
              <w:rPr>
                <w:sz w:val="20"/>
                <w:szCs w:val="20"/>
                <w:color w:val="auto"/>
              </w:rPr>
            </w:pPr>
            <w:r>
              <w:rPr>
                <w:rFonts w:ascii="Arial" w:cs="Arial" w:eastAsia="Arial" w:hAnsi="Arial"/>
                <w:sz w:val="12"/>
                <w:szCs w:val="12"/>
                <w:color w:val="auto"/>
                <w:shd w:val="clear" w:color="auto" w:fill="E4E6EF"/>
              </w:rPr>
              <w:t>retirement-eligible.</w:t>
            </w:r>
          </w:p>
        </w:tc>
        <w:tc>
          <w:tcPr>
            <w:tcW w:w="780" w:type="dxa"/>
            <w:vAlign w:val="bottom"/>
            <w:tcBorders>
              <w:top w:val="single" w:sz="8" w:color="E5E7EF"/>
              <w:right w:val="single" w:sz="8" w:color="012E6C"/>
            </w:tcBorders>
            <w:gridSpan w:val="4"/>
            <w:shd w:val="clear" w:color="auto" w:fill="E5E7EF"/>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1040" w:type="dxa"/>
            <w:vAlign w:val="bottom"/>
            <w:tcBorders>
              <w:left w:val="single" w:sz="8" w:color="012E6C"/>
              <w:right w:val="single" w:sz="8" w:color="012E6C"/>
            </w:tcBorders>
            <w:shd w:val="clear" w:color="auto" w:fill="E5E7EF"/>
          </w:tcPr>
          <w:p>
            <w:pPr>
              <w:spacing w:after="0"/>
              <w:rPr>
                <w:sz w:val="5"/>
                <w:szCs w:val="5"/>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year performance period,</w:t>
            </w:r>
          </w:p>
        </w:tc>
        <w:tc>
          <w:tcPr>
            <w:tcW w:w="1940" w:type="dxa"/>
            <w:vAlign w:val="bottom"/>
            <w:tcBorders>
              <w:right w:val="single" w:sz="8" w:color="012E6C"/>
            </w:tcBorders>
            <w:shd w:val="clear" w:color="auto" w:fill="E5E7EF"/>
          </w:tcPr>
          <w:p>
            <w:pPr>
              <w:spacing w:after="0"/>
              <w:rPr>
                <w:sz w:val="5"/>
                <w:szCs w:val="5"/>
                <w:color w:val="auto"/>
              </w:rPr>
            </w:pPr>
          </w:p>
        </w:tc>
        <w:tc>
          <w:tcPr>
            <w:tcW w:w="2220" w:type="dxa"/>
            <w:vAlign w:val="bottom"/>
            <w:tcBorders>
              <w:right w:val="single" w:sz="8" w:color="012E6C"/>
            </w:tcBorders>
            <w:vMerge w:val="continue"/>
            <w:shd w:val="clear" w:color="auto" w:fill="E5E7EF"/>
          </w:tcPr>
          <w:p>
            <w:pPr>
              <w:spacing w:after="0"/>
              <w:rPr>
                <w:sz w:val="5"/>
                <w:szCs w:val="5"/>
                <w:color w:val="auto"/>
              </w:rPr>
            </w:pPr>
          </w:p>
        </w:tc>
        <w:tc>
          <w:tcPr>
            <w:tcW w:w="100" w:type="dxa"/>
            <w:vAlign w:val="bottom"/>
            <w:shd w:val="clear" w:color="auto" w:fill="E5E7EF"/>
          </w:tcPr>
          <w:p>
            <w:pPr>
              <w:spacing w:after="0"/>
              <w:rPr>
                <w:sz w:val="5"/>
                <w:szCs w:val="5"/>
                <w:color w:val="auto"/>
              </w:rPr>
            </w:pPr>
          </w:p>
        </w:tc>
        <w:tc>
          <w:tcPr>
            <w:tcW w:w="1960" w:type="dxa"/>
            <w:vAlign w:val="bottom"/>
            <w:tcBorders>
              <w:right w:val="single" w:sz="8" w:color="012E6C"/>
            </w:tcBorders>
            <w:gridSpan w:val="4"/>
            <w:vMerge w:val="continue"/>
            <w:shd w:val="clear" w:color="auto" w:fill="E5E7EF"/>
          </w:tcPr>
          <w:p>
            <w:pPr>
              <w:spacing w:after="0"/>
              <w:rPr>
                <w:sz w:val="5"/>
                <w:szCs w:val="5"/>
                <w:color w:val="auto"/>
              </w:rPr>
            </w:pPr>
          </w:p>
        </w:tc>
        <w:tc>
          <w:tcPr>
            <w:tcW w:w="100" w:type="dxa"/>
            <w:vAlign w:val="bottom"/>
            <w:shd w:val="clear" w:color="auto" w:fill="E5E7EF"/>
          </w:tcPr>
          <w:p>
            <w:pPr>
              <w:spacing w:after="0"/>
              <w:rPr>
                <w:sz w:val="5"/>
                <w:szCs w:val="5"/>
                <w:color w:val="auto"/>
              </w:rPr>
            </w:pPr>
          </w:p>
        </w:tc>
        <w:tc>
          <w:tcPr>
            <w:tcW w:w="760" w:type="dxa"/>
            <w:vAlign w:val="bottom"/>
            <w:shd w:val="clear" w:color="auto" w:fill="E5E7EF"/>
          </w:tcPr>
          <w:p>
            <w:pPr>
              <w:spacing w:after="0"/>
              <w:rPr>
                <w:sz w:val="5"/>
                <w:szCs w:val="5"/>
                <w:color w:val="auto"/>
              </w:rPr>
            </w:pPr>
          </w:p>
        </w:tc>
        <w:tc>
          <w:tcPr>
            <w:tcW w:w="340" w:type="dxa"/>
            <w:vAlign w:val="bottom"/>
            <w:shd w:val="clear" w:color="auto" w:fill="E5E7EF"/>
          </w:tcPr>
          <w:p>
            <w:pPr>
              <w:spacing w:after="0"/>
              <w:rPr>
                <w:sz w:val="5"/>
                <w:szCs w:val="5"/>
                <w:color w:val="auto"/>
              </w:rPr>
            </w:pPr>
          </w:p>
        </w:tc>
        <w:tc>
          <w:tcPr>
            <w:tcW w:w="80" w:type="dxa"/>
            <w:vAlign w:val="bottom"/>
            <w:shd w:val="clear" w:color="auto" w:fill="E5E7EF"/>
          </w:tcPr>
          <w:p>
            <w:pPr>
              <w:spacing w:after="0"/>
              <w:rPr>
                <w:sz w:val="5"/>
                <w:szCs w:val="5"/>
                <w:color w:val="auto"/>
              </w:rPr>
            </w:pPr>
          </w:p>
        </w:tc>
        <w:tc>
          <w:tcPr>
            <w:tcW w:w="100" w:type="dxa"/>
            <w:vAlign w:val="bottom"/>
            <w:tcBorders>
              <w:right w:val="single" w:sz="8" w:color="E5E7EF"/>
            </w:tcBorders>
            <w:shd w:val="clear" w:color="auto" w:fill="E5E7EF"/>
          </w:tcPr>
          <w:p>
            <w:pPr>
              <w:spacing w:after="0"/>
              <w:rPr>
                <w:sz w:val="5"/>
                <w:szCs w:val="5"/>
                <w:color w:val="auto"/>
              </w:rPr>
            </w:pPr>
          </w:p>
        </w:tc>
        <w:tc>
          <w:tcPr>
            <w:tcW w:w="340" w:type="dxa"/>
            <w:vAlign w:val="bottom"/>
            <w:shd w:val="clear" w:color="auto" w:fill="E5E7EF"/>
          </w:tcPr>
          <w:p>
            <w:pPr>
              <w:spacing w:after="0"/>
              <w:rPr>
                <w:sz w:val="5"/>
                <w:szCs w:val="5"/>
                <w:color w:val="auto"/>
              </w:rPr>
            </w:pPr>
          </w:p>
        </w:tc>
        <w:tc>
          <w:tcPr>
            <w:tcW w:w="220" w:type="dxa"/>
            <w:vAlign w:val="bottom"/>
            <w:tcBorders>
              <w:right w:val="single" w:sz="8" w:color="E5E7EF"/>
            </w:tcBorders>
            <w:shd w:val="clear" w:color="auto" w:fill="E5E7EF"/>
          </w:tcPr>
          <w:p>
            <w:pPr>
              <w:spacing w:after="0"/>
              <w:rPr>
                <w:sz w:val="5"/>
                <w:szCs w:val="5"/>
                <w:color w:val="auto"/>
              </w:rPr>
            </w:pPr>
          </w:p>
        </w:tc>
        <w:tc>
          <w:tcPr>
            <w:tcW w:w="120" w:type="dxa"/>
            <w:vAlign w:val="bottom"/>
            <w:tcBorders>
              <w:right w:val="single" w:sz="8" w:color="012E6C"/>
            </w:tcBorders>
            <w:shd w:val="clear" w:color="auto" w:fill="E5E7EF"/>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1040" w:type="dxa"/>
            <w:vAlign w:val="bottom"/>
            <w:tcBorders>
              <w:left w:val="single" w:sz="8" w:color="012E6C"/>
              <w:right w:val="single" w:sz="8" w:color="012E6C"/>
            </w:tcBorders>
            <w:shd w:val="clear" w:color="auto" w:fill="E5E7EF"/>
          </w:tcPr>
          <w:p>
            <w:pPr>
              <w:spacing w:after="0"/>
              <w:rPr>
                <w:sz w:val="8"/>
                <w:szCs w:val="8"/>
                <w:color w:val="auto"/>
              </w:rPr>
            </w:pPr>
          </w:p>
        </w:tc>
        <w:tc>
          <w:tcPr>
            <w:tcW w:w="1940" w:type="dxa"/>
            <w:vAlign w:val="bottom"/>
            <w:tcBorders>
              <w:right w:val="single" w:sz="8" w:color="012E6C"/>
            </w:tcBorders>
            <w:vMerge w:val="continue"/>
            <w:shd w:val="clear" w:color="auto" w:fill="E5E7EF"/>
          </w:tcPr>
          <w:p>
            <w:pPr>
              <w:spacing w:after="0"/>
              <w:rPr>
                <w:sz w:val="8"/>
                <w:szCs w:val="8"/>
                <w:color w:val="auto"/>
              </w:rPr>
            </w:pPr>
          </w:p>
        </w:tc>
        <w:tc>
          <w:tcPr>
            <w:tcW w:w="1940" w:type="dxa"/>
            <w:vAlign w:val="bottom"/>
            <w:tcBorders>
              <w:right w:val="single" w:sz="8" w:color="012E6C"/>
            </w:tcBorders>
            <w:shd w:val="clear" w:color="auto" w:fill="E5E7EF"/>
          </w:tcPr>
          <w:p>
            <w:pPr>
              <w:spacing w:after="0"/>
              <w:rPr>
                <w:sz w:val="8"/>
                <w:szCs w:val="8"/>
                <w:color w:val="auto"/>
              </w:rPr>
            </w:pPr>
          </w:p>
        </w:tc>
        <w:tc>
          <w:tcPr>
            <w:tcW w:w="222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services from date of grant and,</w:t>
            </w:r>
          </w:p>
        </w:tc>
        <w:tc>
          <w:tcPr>
            <w:tcW w:w="100" w:type="dxa"/>
            <w:vAlign w:val="bottom"/>
            <w:shd w:val="clear" w:color="auto" w:fill="E5E7EF"/>
          </w:tcPr>
          <w:p>
            <w:pPr>
              <w:spacing w:after="0"/>
              <w:rPr>
                <w:sz w:val="8"/>
                <w:szCs w:val="8"/>
                <w:color w:val="auto"/>
              </w:rPr>
            </w:pPr>
          </w:p>
        </w:tc>
        <w:tc>
          <w:tcPr>
            <w:tcW w:w="1960" w:type="dxa"/>
            <w:vAlign w:val="bottom"/>
            <w:tcBorders>
              <w:right w:val="single" w:sz="8" w:color="012E6C"/>
            </w:tcBorders>
            <w:gridSpan w:val="4"/>
            <w:vMerge w:val="restart"/>
            <w:shd w:val="clear" w:color="auto" w:fill="E5E7EF"/>
          </w:tcPr>
          <w:p>
            <w:pPr>
              <w:spacing w:after="0"/>
              <w:rPr>
                <w:sz w:val="20"/>
                <w:szCs w:val="20"/>
                <w:color w:val="auto"/>
              </w:rPr>
            </w:pPr>
            <w:r>
              <w:rPr>
                <w:rFonts w:ascii="Arial" w:cs="Arial" w:eastAsia="Arial" w:hAnsi="Arial"/>
                <w:sz w:val="14"/>
                <w:szCs w:val="14"/>
                <w:color w:val="auto"/>
              </w:rPr>
              <w:t>end of the three-year</w:t>
            </w:r>
          </w:p>
        </w:tc>
        <w:tc>
          <w:tcPr>
            <w:tcW w:w="100" w:type="dxa"/>
            <w:vAlign w:val="bottom"/>
            <w:shd w:val="clear" w:color="auto" w:fill="E5E7EF"/>
          </w:tcPr>
          <w:p>
            <w:pPr>
              <w:spacing w:after="0"/>
              <w:rPr>
                <w:sz w:val="8"/>
                <w:szCs w:val="8"/>
                <w:color w:val="auto"/>
              </w:rPr>
            </w:pPr>
          </w:p>
        </w:tc>
        <w:tc>
          <w:tcPr>
            <w:tcW w:w="760" w:type="dxa"/>
            <w:vAlign w:val="bottom"/>
            <w:shd w:val="clear" w:color="auto" w:fill="E5E7EF"/>
          </w:tcPr>
          <w:p>
            <w:pPr>
              <w:spacing w:after="0"/>
              <w:rPr>
                <w:sz w:val="8"/>
                <w:szCs w:val="8"/>
                <w:color w:val="auto"/>
              </w:rPr>
            </w:pPr>
          </w:p>
        </w:tc>
        <w:tc>
          <w:tcPr>
            <w:tcW w:w="340" w:type="dxa"/>
            <w:vAlign w:val="bottom"/>
            <w:shd w:val="clear" w:color="auto" w:fill="E5E7EF"/>
          </w:tcPr>
          <w:p>
            <w:pPr>
              <w:spacing w:after="0"/>
              <w:rPr>
                <w:sz w:val="8"/>
                <w:szCs w:val="8"/>
                <w:color w:val="auto"/>
              </w:rPr>
            </w:pPr>
          </w:p>
        </w:tc>
        <w:tc>
          <w:tcPr>
            <w:tcW w:w="80" w:type="dxa"/>
            <w:vAlign w:val="bottom"/>
            <w:shd w:val="clear" w:color="auto" w:fill="E5E7EF"/>
          </w:tcPr>
          <w:p>
            <w:pPr>
              <w:spacing w:after="0"/>
              <w:rPr>
                <w:sz w:val="8"/>
                <w:szCs w:val="8"/>
                <w:color w:val="auto"/>
              </w:rPr>
            </w:pPr>
          </w:p>
        </w:tc>
        <w:tc>
          <w:tcPr>
            <w:tcW w:w="100" w:type="dxa"/>
            <w:vAlign w:val="bottom"/>
            <w:tcBorders>
              <w:right w:val="single" w:sz="8" w:color="E5E7EF"/>
            </w:tcBorders>
            <w:shd w:val="clear" w:color="auto" w:fill="E5E7EF"/>
          </w:tcPr>
          <w:p>
            <w:pPr>
              <w:spacing w:after="0"/>
              <w:rPr>
                <w:sz w:val="8"/>
                <w:szCs w:val="8"/>
                <w:color w:val="auto"/>
              </w:rPr>
            </w:pPr>
          </w:p>
        </w:tc>
        <w:tc>
          <w:tcPr>
            <w:tcW w:w="340" w:type="dxa"/>
            <w:vAlign w:val="bottom"/>
            <w:shd w:val="clear" w:color="auto" w:fill="E5E7EF"/>
          </w:tcPr>
          <w:p>
            <w:pPr>
              <w:spacing w:after="0"/>
              <w:rPr>
                <w:sz w:val="8"/>
                <w:szCs w:val="8"/>
                <w:color w:val="auto"/>
              </w:rPr>
            </w:pPr>
          </w:p>
        </w:tc>
        <w:tc>
          <w:tcPr>
            <w:tcW w:w="220" w:type="dxa"/>
            <w:vAlign w:val="bottom"/>
            <w:tcBorders>
              <w:right w:val="single" w:sz="8" w:color="E5E7EF"/>
            </w:tcBorders>
            <w:shd w:val="clear" w:color="auto" w:fill="E5E7EF"/>
          </w:tcPr>
          <w:p>
            <w:pPr>
              <w:spacing w:after="0"/>
              <w:rPr>
                <w:sz w:val="8"/>
                <w:szCs w:val="8"/>
                <w:color w:val="auto"/>
              </w:rPr>
            </w:pPr>
          </w:p>
        </w:tc>
        <w:tc>
          <w:tcPr>
            <w:tcW w:w="120" w:type="dxa"/>
            <w:vAlign w:val="bottom"/>
            <w:tcBorders>
              <w:right w:val="single" w:sz="8" w:color="012E6C"/>
            </w:tcBorders>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40" w:type="dxa"/>
            <w:vAlign w:val="bottom"/>
            <w:tcBorders>
              <w:left w:val="single" w:sz="8" w:color="012E6C"/>
              <w:right w:val="single" w:sz="8" w:color="012E6C"/>
            </w:tcBorders>
            <w:shd w:val="clear" w:color="auto" w:fill="E5E7EF"/>
          </w:tcPr>
          <w:p>
            <w:pPr>
              <w:spacing w:after="0"/>
              <w:rPr>
                <w:sz w:val="7"/>
                <w:szCs w:val="7"/>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subject to six-month</w:t>
            </w:r>
          </w:p>
        </w:tc>
        <w:tc>
          <w:tcPr>
            <w:tcW w:w="1940" w:type="dxa"/>
            <w:vAlign w:val="bottom"/>
            <w:tcBorders>
              <w:right w:val="single" w:sz="8" w:color="012E6C"/>
            </w:tcBorders>
            <w:shd w:val="clear" w:color="auto" w:fill="E5E7EF"/>
          </w:tcPr>
          <w:p>
            <w:pPr>
              <w:spacing w:after="0"/>
              <w:rPr>
                <w:sz w:val="7"/>
                <w:szCs w:val="7"/>
                <w:color w:val="auto"/>
              </w:rPr>
            </w:pPr>
          </w:p>
        </w:tc>
        <w:tc>
          <w:tcPr>
            <w:tcW w:w="2220" w:type="dxa"/>
            <w:vAlign w:val="bottom"/>
            <w:tcBorders>
              <w:right w:val="single" w:sz="8" w:color="012E6C"/>
            </w:tcBorders>
            <w:vMerge w:val="continue"/>
            <w:shd w:val="clear" w:color="auto" w:fill="E5E7EF"/>
          </w:tcPr>
          <w:p>
            <w:pPr>
              <w:spacing w:after="0"/>
              <w:rPr>
                <w:sz w:val="7"/>
                <w:szCs w:val="7"/>
                <w:color w:val="auto"/>
              </w:rPr>
            </w:pPr>
          </w:p>
        </w:tc>
        <w:tc>
          <w:tcPr>
            <w:tcW w:w="100" w:type="dxa"/>
            <w:vAlign w:val="bottom"/>
            <w:shd w:val="clear" w:color="auto" w:fill="E5E7EF"/>
          </w:tcPr>
          <w:p>
            <w:pPr>
              <w:spacing w:after="0"/>
              <w:rPr>
                <w:sz w:val="7"/>
                <w:szCs w:val="7"/>
                <w:color w:val="auto"/>
              </w:rPr>
            </w:pPr>
          </w:p>
        </w:tc>
        <w:tc>
          <w:tcPr>
            <w:tcW w:w="1960" w:type="dxa"/>
            <w:vAlign w:val="bottom"/>
            <w:tcBorders>
              <w:right w:val="single" w:sz="8" w:color="012E6C"/>
            </w:tcBorders>
            <w:gridSpan w:val="4"/>
            <w:vMerge w:val="continue"/>
            <w:shd w:val="clear" w:color="auto" w:fill="E5E7EF"/>
          </w:tcPr>
          <w:p>
            <w:pPr>
              <w:spacing w:after="0"/>
              <w:rPr>
                <w:sz w:val="7"/>
                <w:szCs w:val="7"/>
                <w:color w:val="auto"/>
              </w:rPr>
            </w:pPr>
          </w:p>
        </w:tc>
        <w:tc>
          <w:tcPr>
            <w:tcW w:w="100" w:type="dxa"/>
            <w:vAlign w:val="bottom"/>
            <w:shd w:val="clear" w:color="auto" w:fill="E5E7EF"/>
          </w:tcPr>
          <w:p>
            <w:pPr>
              <w:spacing w:after="0"/>
              <w:rPr>
                <w:sz w:val="7"/>
                <w:szCs w:val="7"/>
                <w:color w:val="auto"/>
              </w:rPr>
            </w:pPr>
          </w:p>
        </w:tc>
        <w:tc>
          <w:tcPr>
            <w:tcW w:w="760" w:type="dxa"/>
            <w:vAlign w:val="bottom"/>
            <w:shd w:val="clear" w:color="auto" w:fill="E5E7EF"/>
          </w:tcPr>
          <w:p>
            <w:pPr>
              <w:spacing w:after="0"/>
              <w:rPr>
                <w:sz w:val="7"/>
                <w:szCs w:val="7"/>
                <w:color w:val="auto"/>
              </w:rPr>
            </w:pPr>
          </w:p>
        </w:tc>
        <w:tc>
          <w:tcPr>
            <w:tcW w:w="340" w:type="dxa"/>
            <w:vAlign w:val="bottom"/>
            <w:shd w:val="clear" w:color="auto" w:fill="E5E7EF"/>
          </w:tcPr>
          <w:p>
            <w:pPr>
              <w:spacing w:after="0"/>
              <w:rPr>
                <w:sz w:val="7"/>
                <w:szCs w:val="7"/>
                <w:color w:val="auto"/>
              </w:rPr>
            </w:pPr>
          </w:p>
        </w:tc>
        <w:tc>
          <w:tcPr>
            <w:tcW w:w="80" w:type="dxa"/>
            <w:vAlign w:val="bottom"/>
            <w:shd w:val="clear" w:color="auto" w:fill="E5E7EF"/>
          </w:tcPr>
          <w:p>
            <w:pPr>
              <w:spacing w:after="0"/>
              <w:rPr>
                <w:sz w:val="7"/>
                <w:szCs w:val="7"/>
                <w:color w:val="auto"/>
              </w:rPr>
            </w:pPr>
          </w:p>
        </w:tc>
        <w:tc>
          <w:tcPr>
            <w:tcW w:w="100" w:type="dxa"/>
            <w:vAlign w:val="bottom"/>
            <w:tcBorders>
              <w:right w:val="single" w:sz="8" w:color="E5E7EF"/>
            </w:tcBorders>
            <w:shd w:val="clear" w:color="auto" w:fill="E5E7EF"/>
          </w:tcPr>
          <w:p>
            <w:pPr>
              <w:spacing w:after="0"/>
              <w:rPr>
                <w:sz w:val="7"/>
                <w:szCs w:val="7"/>
                <w:color w:val="auto"/>
              </w:rPr>
            </w:pPr>
          </w:p>
        </w:tc>
        <w:tc>
          <w:tcPr>
            <w:tcW w:w="340" w:type="dxa"/>
            <w:vAlign w:val="bottom"/>
            <w:shd w:val="clear" w:color="auto" w:fill="E5E7EF"/>
          </w:tcPr>
          <w:p>
            <w:pPr>
              <w:spacing w:after="0"/>
              <w:rPr>
                <w:sz w:val="7"/>
                <w:szCs w:val="7"/>
                <w:color w:val="auto"/>
              </w:rPr>
            </w:pPr>
          </w:p>
        </w:tc>
        <w:tc>
          <w:tcPr>
            <w:tcW w:w="220" w:type="dxa"/>
            <w:vAlign w:val="bottom"/>
            <w:tcBorders>
              <w:right w:val="single" w:sz="8" w:color="E5E7EF"/>
            </w:tcBorders>
            <w:shd w:val="clear" w:color="auto" w:fill="E5E7EF"/>
          </w:tcPr>
          <w:p>
            <w:pPr>
              <w:spacing w:after="0"/>
              <w:rPr>
                <w:sz w:val="7"/>
                <w:szCs w:val="7"/>
                <w:color w:val="auto"/>
              </w:rPr>
            </w:pPr>
          </w:p>
        </w:tc>
        <w:tc>
          <w:tcPr>
            <w:tcW w:w="120" w:type="dxa"/>
            <w:vAlign w:val="bottom"/>
            <w:tcBorders>
              <w:right w:val="single" w:sz="8" w:color="012E6C"/>
            </w:tcBorders>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040" w:type="dxa"/>
            <w:vAlign w:val="bottom"/>
            <w:tcBorders>
              <w:left w:val="single" w:sz="8" w:color="012E6C"/>
              <w:right w:val="single" w:sz="8" w:color="012E6C"/>
            </w:tcBorders>
            <w:shd w:val="clear" w:color="auto" w:fill="E5E7EF"/>
          </w:tcPr>
          <w:p>
            <w:pPr>
              <w:spacing w:after="0"/>
              <w:rPr>
                <w:sz w:val="8"/>
                <w:szCs w:val="8"/>
                <w:color w:val="auto"/>
              </w:rPr>
            </w:pPr>
          </w:p>
        </w:tc>
        <w:tc>
          <w:tcPr>
            <w:tcW w:w="1940" w:type="dxa"/>
            <w:vAlign w:val="bottom"/>
            <w:tcBorders>
              <w:right w:val="single" w:sz="8" w:color="012E6C"/>
            </w:tcBorders>
            <w:vMerge w:val="continue"/>
            <w:shd w:val="clear" w:color="auto" w:fill="E5E7EF"/>
          </w:tcPr>
          <w:p>
            <w:pPr>
              <w:spacing w:after="0"/>
              <w:rPr>
                <w:sz w:val="8"/>
                <w:szCs w:val="8"/>
                <w:color w:val="auto"/>
              </w:rPr>
            </w:pPr>
          </w:p>
        </w:tc>
        <w:tc>
          <w:tcPr>
            <w:tcW w:w="1940" w:type="dxa"/>
            <w:vAlign w:val="bottom"/>
            <w:tcBorders>
              <w:right w:val="single" w:sz="8" w:color="012E6C"/>
            </w:tcBorders>
            <w:shd w:val="clear" w:color="auto" w:fill="E5E7EF"/>
          </w:tcPr>
          <w:p>
            <w:pPr>
              <w:spacing w:after="0"/>
              <w:rPr>
                <w:sz w:val="8"/>
                <w:szCs w:val="8"/>
                <w:color w:val="auto"/>
              </w:rPr>
            </w:pPr>
          </w:p>
        </w:tc>
        <w:tc>
          <w:tcPr>
            <w:tcW w:w="222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for 2020-22 and 2021-23</w:t>
            </w:r>
          </w:p>
        </w:tc>
        <w:tc>
          <w:tcPr>
            <w:tcW w:w="100" w:type="dxa"/>
            <w:vAlign w:val="bottom"/>
            <w:shd w:val="clear" w:color="auto" w:fill="E5E7EF"/>
          </w:tcPr>
          <w:p>
            <w:pPr>
              <w:spacing w:after="0"/>
              <w:rPr>
                <w:sz w:val="8"/>
                <w:szCs w:val="8"/>
                <w:color w:val="auto"/>
              </w:rPr>
            </w:pPr>
          </w:p>
        </w:tc>
        <w:tc>
          <w:tcPr>
            <w:tcW w:w="1960" w:type="dxa"/>
            <w:vAlign w:val="bottom"/>
            <w:tcBorders>
              <w:right w:val="single" w:sz="8" w:color="012E6C"/>
            </w:tcBorders>
            <w:gridSpan w:val="4"/>
            <w:vMerge w:val="restart"/>
            <w:shd w:val="clear" w:color="auto" w:fill="E5E7EF"/>
          </w:tcPr>
          <w:p>
            <w:pPr>
              <w:spacing w:after="0"/>
              <w:rPr>
                <w:sz w:val="20"/>
                <w:szCs w:val="20"/>
                <w:color w:val="auto"/>
              </w:rPr>
            </w:pPr>
            <w:r>
              <w:rPr>
                <w:rFonts w:ascii="Arial" w:cs="Arial" w:eastAsia="Arial" w:hAnsi="Arial"/>
                <w:sz w:val="14"/>
                <w:szCs w:val="14"/>
                <w:color w:val="auto"/>
              </w:rPr>
              <w:t>performance period.</w:t>
            </w:r>
          </w:p>
        </w:tc>
        <w:tc>
          <w:tcPr>
            <w:tcW w:w="100" w:type="dxa"/>
            <w:vAlign w:val="bottom"/>
            <w:shd w:val="clear" w:color="auto" w:fill="E5E7EF"/>
          </w:tcPr>
          <w:p>
            <w:pPr>
              <w:spacing w:after="0"/>
              <w:rPr>
                <w:sz w:val="8"/>
                <w:szCs w:val="8"/>
                <w:color w:val="auto"/>
              </w:rPr>
            </w:pPr>
          </w:p>
        </w:tc>
        <w:tc>
          <w:tcPr>
            <w:tcW w:w="760" w:type="dxa"/>
            <w:vAlign w:val="bottom"/>
            <w:shd w:val="clear" w:color="auto" w:fill="E5E7EF"/>
          </w:tcPr>
          <w:p>
            <w:pPr>
              <w:spacing w:after="0"/>
              <w:rPr>
                <w:sz w:val="8"/>
                <w:szCs w:val="8"/>
                <w:color w:val="auto"/>
              </w:rPr>
            </w:pPr>
          </w:p>
        </w:tc>
        <w:tc>
          <w:tcPr>
            <w:tcW w:w="340" w:type="dxa"/>
            <w:vAlign w:val="bottom"/>
            <w:shd w:val="clear" w:color="auto" w:fill="E5E7EF"/>
          </w:tcPr>
          <w:p>
            <w:pPr>
              <w:spacing w:after="0"/>
              <w:rPr>
                <w:sz w:val="8"/>
                <w:szCs w:val="8"/>
                <w:color w:val="auto"/>
              </w:rPr>
            </w:pPr>
          </w:p>
        </w:tc>
        <w:tc>
          <w:tcPr>
            <w:tcW w:w="80" w:type="dxa"/>
            <w:vAlign w:val="bottom"/>
            <w:shd w:val="clear" w:color="auto" w:fill="E5E7EF"/>
          </w:tcPr>
          <w:p>
            <w:pPr>
              <w:spacing w:after="0"/>
              <w:rPr>
                <w:sz w:val="8"/>
                <w:szCs w:val="8"/>
                <w:color w:val="auto"/>
              </w:rPr>
            </w:pPr>
          </w:p>
        </w:tc>
        <w:tc>
          <w:tcPr>
            <w:tcW w:w="100" w:type="dxa"/>
            <w:vAlign w:val="bottom"/>
            <w:tcBorders>
              <w:right w:val="single" w:sz="8" w:color="E5E7EF"/>
            </w:tcBorders>
            <w:shd w:val="clear" w:color="auto" w:fill="E5E7EF"/>
          </w:tcPr>
          <w:p>
            <w:pPr>
              <w:spacing w:after="0"/>
              <w:rPr>
                <w:sz w:val="8"/>
                <w:szCs w:val="8"/>
                <w:color w:val="auto"/>
              </w:rPr>
            </w:pPr>
          </w:p>
        </w:tc>
        <w:tc>
          <w:tcPr>
            <w:tcW w:w="340" w:type="dxa"/>
            <w:vAlign w:val="bottom"/>
            <w:shd w:val="clear" w:color="auto" w:fill="E5E7EF"/>
          </w:tcPr>
          <w:p>
            <w:pPr>
              <w:spacing w:after="0"/>
              <w:rPr>
                <w:sz w:val="8"/>
                <w:szCs w:val="8"/>
                <w:color w:val="auto"/>
              </w:rPr>
            </w:pPr>
          </w:p>
        </w:tc>
        <w:tc>
          <w:tcPr>
            <w:tcW w:w="220" w:type="dxa"/>
            <w:vAlign w:val="bottom"/>
            <w:tcBorders>
              <w:right w:val="single" w:sz="8" w:color="E5E7EF"/>
            </w:tcBorders>
            <w:shd w:val="clear" w:color="auto" w:fill="E5E7EF"/>
          </w:tcPr>
          <w:p>
            <w:pPr>
              <w:spacing w:after="0"/>
              <w:rPr>
                <w:sz w:val="8"/>
                <w:szCs w:val="8"/>
                <w:color w:val="auto"/>
              </w:rPr>
            </w:pPr>
          </w:p>
        </w:tc>
        <w:tc>
          <w:tcPr>
            <w:tcW w:w="120" w:type="dxa"/>
            <w:vAlign w:val="bottom"/>
            <w:tcBorders>
              <w:right w:val="single" w:sz="8" w:color="012E6C"/>
            </w:tcBorders>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40" w:type="dxa"/>
            <w:vAlign w:val="bottom"/>
            <w:tcBorders>
              <w:left w:val="single" w:sz="8" w:color="012E6C"/>
              <w:right w:val="single" w:sz="8" w:color="012E6C"/>
            </w:tcBorders>
            <w:shd w:val="clear" w:color="auto" w:fill="E5E7EF"/>
          </w:tcPr>
          <w:p>
            <w:pPr>
              <w:spacing w:after="0"/>
              <w:rPr>
                <w:sz w:val="7"/>
                <w:szCs w:val="7"/>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minimum service from date</w:t>
            </w:r>
          </w:p>
        </w:tc>
        <w:tc>
          <w:tcPr>
            <w:tcW w:w="1940" w:type="dxa"/>
            <w:vAlign w:val="bottom"/>
            <w:tcBorders>
              <w:right w:val="single" w:sz="8" w:color="012E6C"/>
            </w:tcBorders>
            <w:shd w:val="clear" w:color="auto" w:fill="E5E7EF"/>
          </w:tcPr>
          <w:p>
            <w:pPr>
              <w:spacing w:after="0"/>
              <w:rPr>
                <w:sz w:val="7"/>
                <w:szCs w:val="7"/>
                <w:color w:val="auto"/>
              </w:rPr>
            </w:pPr>
          </w:p>
        </w:tc>
        <w:tc>
          <w:tcPr>
            <w:tcW w:w="2220" w:type="dxa"/>
            <w:vAlign w:val="bottom"/>
            <w:tcBorders>
              <w:right w:val="single" w:sz="8" w:color="012E6C"/>
            </w:tcBorders>
            <w:vMerge w:val="continue"/>
            <w:shd w:val="clear" w:color="auto" w:fill="E5E7EF"/>
          </w:tcPr>
          <w:p>
            <w:pPr>
              <w:spacing w:after="0"/>
              <w:rPr>
                <w:sz w:val="7"/>
                <w:szCs w:val="7"/>
                <w:color w:val="auto"/>
              </w:rPr>
            </w:pPr>
          </w:p>
        </w:tc>
        <w:tc>
          <w:tcPr>
            <w:tcW w:w="100" w:type="dxa"/>
            <w:vAlign w:val="bottom"/>
            <w:shd w:val="clear" w:color="auto" w:fill="E5E7EF"/>
          </w:tcPr>
          <w:p>
            <w:pPr>
              <w:spacing w:after="0"/>
              <w:rPr>
                <w:sz w:val="7"/>
                <w:szCs w:val="7"/>
                <w:color w:val="auto"/>
              </w:rPr>
            </w:pPr>
          </w:p>
        </w:tc>
        <w:tc>
          <w:tcPr>
            <w:tcW w:w="1960" w:type="dxa"/>
            <w:vAlign w:val="bottom"/>
            <w:tcBorders>
              <w:right w:val="single" w:sz="8" w:color="012E6C"/>
            </w:tcBorders>
            <w:gridSpan w:val="4"/>
            <w:vMerge w:val="continue"/>
            <w:shd w:val="clear" w:color="auto" w:fill="E5E7EF"/>
          </w:tcPr>
          <w:p>
            <w:pPr>
              <w:spacing w:after="0"/>
              <w:rPr>
                <w:sz w:val="7"/>
                <w:szCs w:val="7"/>
                <w:color w:val="auto"/>
              </w:rPr>
            </w:pPr>
          </w:p>
        </w:tc>
        <w:tc>
          <w:tcPr>
            <w:tcW w:w="100" w:type="dxa"/>
            <w:vAlign w:val="bottom"/>
            <w:shd w:val="clear" w:color="auto" w:fill="E5E7EF"/>
          </w:tcPr>
          <w:p>
            <w:pPr>
              <w:spacing w:after="0"/>
              <w:rPr>
                <w:sz w:val="7"/>
                <w:szCs w:val="7"/>
                <w:color w:val="auto"/>
              </w:rPr>
            </w:pPr>
          </w:p>
        </w:tc>
        <w:tc>
          <w:tcPr>
            <w:tcW w:w="760" w:type="dxa"/>
            <w:vAlign w:val="bottom"/>
            <w:shd w:val="clear" w:color="auto" w:fill="E5E7EF"/>
          </w:tcPr>
          <w:p>
            <w:pPr>
              <w:spacing w:after="0"/>
              <w:rPr>
                <w:sz w:val="7"/>
                <w:szCs w:val="7"/>
                <w:color w:val="auto"/>
              </w:rPr>
            </w:pPr>
          </w:p>
        </w:tc>
        <w:tc>
          <w:tcPr>
            <w:tcW w:w="340" w:type="dxa"/>
            <w:vAlign w:val="bottom"/>
            <w:shd w:val="clear" w:color="auto" w:fill="E5E7EF"/>
          </w:tcPr>
          <w:p>
            <w:pPr>
              <w:spacing w:after="0"/>
              <w:rPr>
                <w:sz w:val="7"/>
                <w:szCs w:val="7"/>
                <w:color w:val="auto"/>
              </w:rPr>
            </w:pPr>
          </w:p>
        </w:tc>
        <w:tc>
          <w:tcPr>
            <w:tcW w:w="80" w:type="dxa"/>
            <w:vAlign w:val="bottom"/>
            <w:shd w:val="clear" w:color="auto" w:fill="E5E7EF"/>
          </w:tcPr>
          <w:p>
            <w:pPr>
              <w:spacing w:after="0"/>
              <w:rPr>
                <w:sz w:val="7"/>
                <w:szCs w:val="7"/>
                <w:color w:val="auto"/>
              </w:rPr>
            </w:pPr>
          </w:p>
        </w:tc>
        <w:tc>
          <w:tcPr>
            <w:tcW w:w="100" w:type="dxa"/>
            <w:vAlign w:val="bottom"/>
            <w:tcBorders>
              <w:right w:val="single" w:sz="8" w:color="E5E7EF"/>
            </w:tcBorders>
            <w:shd w:val="clear" w:color="auto" w:fill="E5E7EF"/>
          </w:tcPr>
          <w:p>
            <w:pPr>
              <w:spacing w:after="0"/>
              <w:rPr>
                <w:sz w:val="7"/>
                <w:szCs w:val="7"/>
                <w:color w:val="auto"/>
              </w:rPr>
            </w:pPr>
          </w:p>
        </w:tc>
        <w:tc>
          <w:tcPr>
            <w:tcW w:w="340" w:type="dxa"/>
            <w:vAlign w:val="bottom"/>
            <w:shd w:val="clear" w:color="auto" w:fill="E5E7EF"/>
          </w:tcPr>
          <w:p>
            <w:pPr>
              <w:spacing w:after="0"/>
              <w:rPr>
                <w:sz w:val="7"/>
                <w:szCs w:val="7"/>
                <w:color w:val="auto"/>
              </w:rPr>
            </w:pPr>
          </w:p>
        </w:tc>
        <w:tc>
          <w:tcPr>
            <w:tcW w:w="220" w:type="dxa"/>
            <w:vAlign w:val="bottom"/>
            <w:tcBorders>
              <w:right w:val="single" w:sz="8" w:color="E5E7EF"/>
            </w:tcBorders>
            <w:shd w:val="clear" w:color="auto" w:fill="E5E7EF"/>
          </w:tcPr>
          <w:p>
            <w:pPr>
              <w:spacing w:after="0"/>
              <w:rPr>
                <w:sz w:val="7"/>
                <w:szCs w:val="7"/>
                <w:color w:val="auto"/>
              </w:rPr>
            </w:pPr>
          </w:p>
        </w:tc>
        <w:tc>
          <w:tcPr>
            <w:tcW w:w="120" w:type="dxa"/>
            <w:vAlign w:val="bottom"/>
            <w:tcBorders>
              <w:right w:val="single" w:sz="8" w:color="012E6C"/>
            </w:tcBorders>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040" w:type="dxa"/>
            <w:vAlign w:val="bottom"/>
            <w:tcBorders>
              <w:left w:val="single" w:sz="8" w:color="012E6C"/>
              <w:right w:val="single" w:sz="8" w:color="012E6C"/>
            </w:tcBorders>
            <w:shd w:val="clear" w:color="auto" w:fill="E5E7EF"/>
          </w:tcPr>
          <w:p>
            <w:pPr>
              <w:spacing w:after="0"/>
              <w:rPr>
                <w:sz w:val="8"/>
                <w:szCs w:val="8"/>
                <w:color w:val="auto"/>
              </w:rPr>
            </w:pPr>
          </w:p>
        </w:tc>
        <w:tc>
          <w:tcPr>
            <w:tcW w:w="1940" w:type="dxa"/>
            <w:vAlign w:val="bottom"/>
            <w:tcBorders>
              <w:right w:val="single" w:sz="8" w:color="012E6C"/>
            </w:tcBorders>
            <w:vMerge w:val="continue"/>
            <w:shd w:val="clear" w:color="auto" w:fill="E5E7EF"/>
          </w:tcPr>
          <w:p>
            <w:pPr>
              <w:spacing w:after="0"/>
              <w:rPr>
                <w:sz w:val="8"/>
                <w:szCs w:val="8"/>
                <w:color w:val="auto"/>
              </w:rPr>
            </w:pPr>
          </w:p>
        </w:tc>
        <w:tc>
          <w:tcPr>
            <w:tcW w:w="1940" w:type="dxa"/>
            <w:vAlign w:val="bottom"/>
            <w:tcBorders>
              <w:right w:val="single" w:sz="8" w:color="012E6C"/>
            </w:tcBorders>
            <w:shd w:val="clear" w:color="auto" w:fill="E5E7EF"/>
          </w:tcPr>
          <w:p>
            <w:pPr>
              <w:spacing w:after="0"/>
              <w:rPr>
                <w:sz w:val="8"/>
                <w:szCs w:val="8"/>
                <w:color w:val="auto"/>
              </w:rPr>
            </w:pPr>
          </w:p>
        </w:tc>
        <w:tc>
          <w:tcPr>
            <w:tcW w:w="222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awards, execution of a release</w:t>
            </w:r>
          </w:p>
        </w:tc>
        <w:tc>
          <w:tcPr>
            <w:tcW w:w="100" w:type="dxa"/>
            <w:vAlign w:val="bottom"/>
            <w:shd w:val="clear" w:color="auto" w:fill="E5E7EF"/>
          </w:tcPr>
          <w:p>
            <w:pPr>
              <w:spacing w:after="0"/>
              <w:rPr>
                <w:sz w:val="8"/>
                <w:szCs w:val="8"/>
                <w:color w:val="auto"/>
              </w:rPr>
            </w:pPr>
          </w:p>
        </w:tc>
        <w:tc>
          <w:tcPr>
            <w:tcW w:w="460" w:type="dxa"/>
            <w:vAlign w:val="bottom"/>
            <w:shd w:val="clear" w:color="auto" w:fill="E5E7EF"/>
          </w:tcPr>
          <w:p>
            <w:pPr>
              <w:spacing w:after="0"/>
              <w:rPr>
                <w:sz w:val="8"/>
                <w:szCs w:val="8"/>
                <w:color w:val="auto"/>
              </w:rPr>
            </w:pPr>
          </w:p>
        </w:tc>
        <w:tc>
          <w:tcPr>
            <w:tcW w:w="300" w:type="dxa"/>
            <w:vAlign w:val="bottom"/>
            <w:shd w:val="clear" w:color="auto" w:fill="E5E7EF"/>
          </w:tcPr>
          <w:p>
            <w:pPr>
              <w:spacing w:after="0"/>
              <w:rPr>
                <w:sz w:val="8"/>
                <w:szCs w:val="8"/>
                <w:color w:val="auto"/>
              </w:rPr>
            </w:pPr>
          </w:p>
        </w:tc>
        <w:tc>
          <w:tcPr>
            <w:tcW w:w="740" w:type="dxa"/>
            <w:vAlign w:val="bottom"/>
            <w:shd w:val="clear" w:color="auto" w:fill="E5E7EF"/>
          </w:tcPr>
          <w:p>
            <w:pPr>
              <w:spacing w:after="0"/>
              <w:rPr>
                <w:sz w:val="8"/>
                <w:szCs w:val="8"/>
                <w:color w:val="auto"/>
              </w:rPr>
            </w:pPr>
          </w:p>
        </w:tc>
        <w:tc>
          <w:tcPr>
            <w:tcW w:w="460" w:type="dxa"/>
            <w:vAlign w:val="bottom"/>
            <w:tcBorders>
              <w:right w:val="single" w:sz="8" w:color="012E6C"/>
            </w:tcBorders>
            <w:shd w:val="clear" w:color="auto" w:fill="E5E7EF"/>
          </w:tcPr>
          <w:p>
            <w:pPr>
              <w:spacing w:after="0"/>
              <w:rPr>
                <w:sz w:val="8"/>
                <w:szCs w:val="8"/>
                <w:color w:val="auto"/>
              </w:rPr>
            </w:pPr>
          </w:p>
        </w:tc>
        <w:tc>
          <w:tcPr>
            <w:tcW w:w="100" w:type="dxa"/>
            <w:vAlign w:val="bottom"/>
            <w:shd w:val="clear" w:color="auto" w:fill="E5E7EF"/>
          </w:tcPr>
          <w:p>
            <w:pPr>
              <w:spacing w:after="0"/>
              <w:rPr>
                <w:sz w:val="8"/>
                <w:szCs w:val="8"/>
                <w:color w:val="auto"/>
              </w:rPr>
            </w:pPr>
          </w:p>
        </w:tc>
        <w:tc>
          <w:tcPr>
            <w:tcW w:w="760" w:type="dxa"/>
            <w:vAlign w:val="bottom"/>
            <w:shd w:val="clear" w:color="auto" w:fill="E5E7EF"/>
          </w:tcPr>
          <w:p>
            <w:pPr>
              <w:spacing w:after="0"/>
              <w:rPr>
                <w:sz w:val="8"/>
                <w:szCs w:val="8"/>
                <w:color w:val="auto"/>
              </w:rPr>
            </w:pPr>
          </w:p>
        </w:tc>
        <w:tc>
          <w:tcPr>
            <w:tcW w:w="340" w:type="dxa"/>
            <w:vAlign w:val="bottom"/>
            <w:shd w:val="clear" w:color="auto" w:fill="E5E7EF"/>
          </w:tcPr>
          <w:p>
            <w:pPr>
              <w:spacing w:after="0"/>
              <w:rPr>
                <w:sz w:val="8"/>
                <w:szCs w:val="8"/>
                <w:color w:val="auto"/>
              </w:rPr>
            </w:pPr>
          </w:p>
        </w:tc>
        <w:tc>
          <w:tcPr>
            <w:tcW w:w="80" w:type="dxa"/>
            <w:vAlign w:val="bottom"/>
            <w:shd w:val="clear" w:color="auto" w:fill="E5E7EF"/>
          </w:tcPr>
          <w:p>
            <w:pPr>
              <w:spacing w:after="0"/>
              <w:rPr>
                <w:sz w:val="8"/>
                <w:szCs w:val="8"/>
                <w:color w:val="auto"/>
              </w:rPr>
            </w:pPr>
          </w:p>
        </w:tc>
        <w:tc>
          <w:tcPr>
            <w:tcW w:w="100" w:type="dxa"/>
            <w:vAlign w:val="bottom"/>
            <w:tcBorders>
              <w:right w:val="single" w:sz="8" w:color="E5E7EF"/>
            </w:tcBorders>
            <w:shd w:val="clear" w:color="auto" w:fill="E5E7EF"/>
          </w:tcPr>
          <w:p>
            <w:pPr>
              <w:spacing w:after="0"/>
              <w:rPr>
                <w:sz w:val="8"/>
                <w:szCs w:val="8"/>
                <w:color w:val="auto"/>
              </w:rPr>
            </w:pPr>
          </w:p>
        </w:tc>
        <w:tc>
          <w:tcPr>
            <w:tcW w:w="340" w:type="dxa"/>
            <w:vAlign w:val="bottom"/>
            <w:shd w:val="clear" w:color="auto" w:fill="E5E7EF"/>
          </w:tcPr>
          <w:p>
            <w:pPr>
              <w:spacing w:after="0"/>
              <w:rPr>
                <w:sz w:val="8"/>
                <w:szCs w:val="8"/>
                <w:color w:val="auto"/>
              </w:rPr>
            </w:pPr>
          </w:p>
        </w:tc>
        <w:tc>
          <w:tcPr>
            <w:tcW w:w="220" w:type="dxa"/>
            <w:vAlign w:val="bottom"/>
            <w:tcBorders>
              <w:right w:val="single" w:sz="8" w:color="E5E7EF"/>
            </w:tcBorders>
            <w:shd w:val="clear" w:color="auto" w:fill="E5E7EF"/>
          </w:tcPr>
          <w:p>
            <w:pPr>
              <w:spacing w:after="0"/>
              <w:rPr>
                <w:sz w:val="8"/>
                <w:szCs w:val="8"/>
                <w:color w:val="auto"/>
              </w:rPr>
            </w:pPr>
          </w:p>
        </w:tc>
        <w:tc>
          <w:tcPr>
            <w:tcW w:w="120" w:type="dxa"/>
            <w:vAlign w:val="bottom"/>
            <w:tcBorders>
              <w:right w:val="single" w:sz="8" w:color="012E6C"/>
            </w:tcBorders>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40" w:type="dxa"/>
            <w:vAlign w:val="bottom"/>
            <w:tcBorders>
              <w:left w:val="single" w:sz="8" w:color="012E6C"/>
              <w:right w:val="single" w:sz="8" w:color="012E6C"/>
            </w:tcBorders>
            <w:shd w:val="clear" w:color="auto" w:fill="E5E7EF"/>
          </w:tcPr>
          <w:p>
            <w:pPr>
              <w:spacing w:after="0"/>
              <w:rPr>
                <w:sz w:val="7"/>
                <w:szCs w:val="7"/>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of grant.</w:t>
            </w:r>
          </w:p>
        </w:tc>
        <w:tc>
          <w:tcPr>
            <w:tcW w:w="1940" w:type="dxa"/>
            <w:vAlign w:val="bottom"/>
            <w:tcBorders>
              <w:right w:val="single" w:sz="8" w:color="012E6C"/>
            </w:tcBorders>
            <w:shd w:val="clear" w:color="auto" w:fill="E5E7EF"/>
          </w:tcPr>
          <w:p>
            <w:pPr>
              <w:spacing w:after="0"/>
              <w:rPr>
                <w:sz w:val="7"/>
                <w:szCs w:val="7"/>
                <w:color w:val="auto"/>
              </w:rPr>
            </w:pPr>
          </w:p>
        </w:tc>
        <w:tc>
          <w:tcPr>
            <w:tcW w:w="2220" w:type="dxa"/>
            <w:vAlign w:val="bottom"/>
            <w:tcBorders>
              <w:right w:val="single" w:sz="8" w:color="012E6C"/>
            </w:tcBorders>
            <w:vMerge w:val="continue"/>
            <w:shd w:val="clear" w:color="auto" w:fill="E5E7EF"/>
          </w:tcPr>
          <w:p>
            <w:pPr>
              <w:spacing w:after="0"/>
              <w:rPr>
                <w:sz w:val="7"/>
                <w:szCs w:val="7"/>
                <w:color w:val="auto"/>
              </w:rPr>
            </w:pPr>
          </w:p>
        </w:tc>
        <w:tc>
          <w:tcPr>
            <w:tcW w:w="100" w:type="dxa"/>
            <w:vAlign w:val="bottom"/>
            <w:shd w:val="clear" w:color="auto" w:fill="E5E7EF"/>
          </w:tcPr>
          <w:p>
            <w:pPr>
              <w:spacing w:after="0"/>
              <w:rPr>
                <w:sz w:val="7"/>
                <w:szCs w:val="7"/>
                <w:color w:val="auto"/>
              </w:rPr>
            </w:pPr>
          </w:p>
        </w:tc>
        <w:tc>
          <w:tcPr>
            <w:tcW w:w="460" w:type="dxa"/>
            <w:vAlign w:val="bottom"/>
            <w:shd w:val="clear" w:color="auto" w:fill="E5E7EF"/>
          </w:tcPr>
          <w:p>
            <w:pPr>
              <w:spacing w:after="0"/>
              <w:rPr>
                <w:sz w:val="7"/>
                <w:szCs w:val="7"/>
                <w:color w:val="auto"/>
              </w:rPr>
            </w:pPr>
          </w:p>
        </w:tc>
        <w:tc>
          <w:tcPr>
            <w:tcW w:w="300" w:type="dxa"/>
            <w:vAlign w:val="bottom"/>
            <w:shd w:val="clear" w:color="auto" w:fill="E5E7EF"/>
          </w:tcPr>
          <w:p>
            <w:pPr>
              <w:spacing w:after="0"/>
              <w:rPr>
                <w:sz w:val="7"/>
                <w:szCs w:val="7"/>
                <w:color w:val="auto"/>
              </w:rPr>
            </w:pPr>
          </w:p>
        </w:tc>
        <w:tc>
          <w:tcPr>
            <w:tcW w:w="740" w:type="dxa"/>
            <w:vAlign w:val="bottom"/>
            <w:shd w:val="clear" w:color="auto" w:fill="E5E7EF"/>
          </w:tcPr>
          <w:p>
            <w:pPr>
              <w:spacing w:after="0"/>
              <w:rPr>
                <w:sz w:val="7"/>
                <w:szCs w:val="7"/>
                <w:color w:val="auto"/>
              </w:rPr>
            </w:pPr>
          </w:p>
        </w:tc>
        <w:tc>
          <w:tcPr>
            <w:tcW w:w="460" w:type="dxa"/>
            <w:vAlign w:val="bottom"/>
            <w:tcBorders>
              <w:right w:val="single" w:sz="8" w:color="012E6C"/>
            </w:tcBorders>
            <w:shd w:val="clear" w:color="auto" w:fill="E5E7EF"/>
          </w:tcPr>
          <w:p>
            <w:pPr>
              <w:spacing w:after="0"/>
              <w:rPr>
                <w:sz w:val="7"/>
                <w:szCs w:val="7"/>
                <w:color w:val="auto"/>
              </w:rPr>
            </w:pPr>
          </w:p>
        </w:tc>
        <w:tc>
          <w:tcPr>
            <w:tcW w:w="100" w:type="dxa"/>
            <w:vAlign w:val="bottom"/>
            <w:shd w:val="clear" w:color="auto" w:fill="E5E7EF"/>
          </w:tcPr>
          <w:p>
            <w:pPr>
              <w:spacing w:after="0"/>
              <w:rPr>
                <w:sz w:val="7"/>
                <w:szCs w:val="7"/>
                <w:color w:val="auto"/>
              </w:rPr>
            </w:pPr>
          </w:p>
        </w:tc>
        <w:tc>
          <w:tcPr>
            <w:tcW w:w="760" w:type="dxa"/>
            <w:vAlign w:val="bottom"/>
            <w:shd w:val="clear" w:color="auto" w:fill="E5E7EF"/>
          </w:tcPr>
          <w:p>
            <w:pPr>
              <w:spacing w:after="0"/>
              <w:rPr>
                <w:sz w:val="7"/>
                <w:szCs w:val="7"/>
                <w:color w:val="auto"/>
              </w:rPr>
            </w:pPr>
          </w:p>
        </w:tc>
        <w:tc>
          <w:tcPr>
            <w:tcW w:w="340" w:type="dxa"/>
            <w:vAlign w:val="bottom"/>
            <w:shd w:val="clear" w:color="auto" w:fill="E5E7EF"/>
          </w:tcPr>
          <w:p>
            <w:pPr>
              <w:spacing w:after="0"/>
              <w:rPr>
                <w:sz w:val="7"/>
                <w:szCs w:val="7"/>
                <w:color w:val="auto"/>
              </w:rPr>
            </w:pPr>
          </w:p>
        </w:tc>
        <w:tc>
          <w:tcPr>
            <w:tcW w:w="80" w:type="dxa"/>
            <w:vAlign w:val="bottom"/>
            <w:shd w:val="clear" w:color="auto" w:fill="E5E7EF"/>
          </w:tcPr>
          <w:p>
            <w:pPr>
              <w:spacing w:after="0"/>
              <w:rPr>
                <w:sz w:val="7"/>
                <w:szCs w:val="7"/>
                <w:color w:val="auto"/>
              </w:rPr>
            </w:pPr>
          </w:p>
        </w:tc>
        <w:tc>
          <w:tcPr>
            <w:tcW w:w="100" w:type="dxa"/>
            <w:vAlign w:val="bottom"/>
            <w:tcBorders>
              <w:right w:val="single" w:sz="8" w:color="E5E7EF"/>
            </w:tcBorders>
            <w:shd w:val="clear" w:color="auto" w:fill="E5E7EF"/>
          </w:tcPr>
          <w:p>
            <w:pPr>
              <w:spacing w:after="0"/>
              <w:rPr>
                <w:sz w:val="7"/>
                <w:szCs w:val="7"/>
                <w:color w:val="auto"/>
              </w:rPr>
            </w:pPr>
          </w:p>
        </w:tc>
        <w:tc>
          <w:tcPr>
            <w:tcW w:w="340" w:type="dxa"/>
            <w:vAlign w:val="bottom"/>
            <w:shd w:val="clear" w:color="auto" w:fill="E5E7EF"/>
          </w:tcPr>
          <w:p>
            <w:pPr>
              <w:spacing w:after="0"/>
              <w:rPr>
                <w:sz w:val="7"/>
                <w:szCs w:val="7"/>
                <w:color w:val="auto"/>
              </w:rPr>
            </w:pPr>
          </w:p>
        </w:tc>
        <w:tc>
          <w:tcPr>
            <w:tcW w:w="220" w:type="dxa"/>
            <w:vAlign w:val="bottom"/>
            <w:tcBorders>
              <w:right w:val="single" w:sz="8" w:color="E5E7EF"/>
            </w:tcBorders>
            <w:shd w:val="clear" w:color="auto" w:fill="E5E7EF"/>
          </w:tcPr>
          <w:p>
            <w:pPr>
              <w:spacing w:after="0"/>
              <w:rPr>
                <w:sz w:val="7"/>
                <w:szCs w:val="7"/>
                <w:color w:val="auto"/>
              </w:rPr>
            </w:pPr>
          </w:p>
        </w:tc>
        <w:tc>
          <w:tcPr>
            <w:tcW w:w="120" w:type="dxa"/>
            <w:vAlign w:val="bottom"/>
            <w:tcBorders>
              <w:right w:val="single" w:sz="8" w:color="012E6C"/>
            </w:tcBorders>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040" w:type="dxa"/>
            <w:vAlign w:val="bottom"/>
            <w:tcBorders>
              <w:left w:val="single" w:sz="8" w:color="012E6C"/>
              <w:right w:val="single" w:sz="8" w:color="012E6C"/>
            </w:tcBorders>
            <w:shd w:val="clear" w:color="auto" w:fill="E5E7EF"/>
          </w:tcPr>
          <w:p>
            <w:pPr>
              <w:spacing w:after="0"/>
              <w:rPr>
                <w:sz w:val="8"/>
                <w:szCs w:val="8"/>
                <w:color w:val="auto"/>
              </w:rPr>
            </w:pPr>
          </w:p>
        </w:tc>
        <w:tc>
          <w:tcPr>
            <w:tcW w:w="1940" w:type="dxa"/>
            <w:vAlign w:val="bottom"/>
            <w:tcBorders>
              <w:right w:val="single" w:sz="8" w:color="012E6C"/>
            </w:tcBorders>
            <w:vMerge w:val="continue"/>
            <w:shd w:val="clear" w:color="auto" w:fill="E5E7EF"/>
          </w:tcPr>
          <w:p>
            <w:pPr>
              <w:spacing w:after="0"/>
              <w:rPr>
                <w:sz w:val="8"/>
                <w:szCs w:val="8"/>
                <w:color w:val="auto"/>
              </w:rPr>
            </w:pPr>
          </w:p>
        </w:tc>
        <w:tc>
          <w:tcPr>
            <w:tcW w:w="1940" w:type="dxa"/>
            <w:vAlign w:val="bottom"/>
            <w:tcBorders>
              <w:right w:val="single" w:sz="8" w:color="012E6C"/>
            </w:tcBorders>
            <w:shd w:val="clear" w:color="auto" w:fill="E5E7EF"/>
          </w:tcPr>
          <w:p>
            <w:pPr>
              <w:spacing w:after="0"/>
              <w:rPr>
                <w:sz w:val="8"/>
                <w:szCs w:val="8"/>
                <w:color w:val="auto"/>
              </w:rPr>
            </w:pPr>
          </w:p>
        </w:tc>
        <w:tc>
          <w:tcPr>
            <w:tcW w:w="222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of claims for layoff.</w:t>
            </w:r>
          </w:p>
        </w:tc>
        <w:tc>
          <w:tcPr>
            <w:tcW w:w="100" w:type="dxa"/>
            <w:vAlign w:val="bottom"/>
            <w:shd w:val="clear" w:color="auto" w:fill="E5E7EF"/>
          </w:tcPr>
          <w:p>
            <w:pPr>
              <w:spacing w:after="0"/>
              <w:rPr>
                <w:sz w:val="8"/>
                <w:szCs w:val="8"/>
                <w:color w:val="auto"/>
              </w:rPr>
            </w:pPr>
          </w:p>
        </w:tc>
        <w:tc>
          <w:tcPr>
            <w:tcW w:w="460" w:type="dxa"/>
            <w:vAlign w:val="bottom"/>
            <w:shd w:val="clear" w:color="auto" w:fill="E5E7EF"/>
          </w:tcPr>
          <w:p>
            <w:pPr>
              <w:spacing w:after="0"/>
              <w:rPr>
                <w:sz w:val="8"/>
                <w:szCs w:val="8"/>
                <w:color w:val="auto"/>
              </w:rPr>
            </w:pPr>
          </w:p>
        </w:tc>
        <w:tc>
          <w:tcPr>
            <w:tcW w:w="300" w:type="dxa"/>
            <w:vAlign w:val="bottom"/>
            <w:shd w:val="clear" w:color="auto" w:fill="E5E7EF"/>
          </w:tcPr>
          <w:p>
            <w:pPr>
              <w:spacing w:after="0"/>
              <w:rPr>
                <w:sz w:val="8"/>
                <w:szCs w:val="8"/>
                <w:color w:val="auto"/>
              </w:rPr>
            </w:pPr>
          </w:p>
        </w:tc>
        <w:tc>
          <w:tcPr>
            <w:tcW w:w="740" w:type="dxa"/>
            <w:vAlign w:val="bottom"/>
            <w:shd w:val="clear" w:color="auto" w:fill="E5E7EF"/>
          </w:tcPr>
          <w:p>
            <w:pPr>
              <w:spacing w:after="0"/>
              <w:rPr>
                <w:sz w:val="8"/>
                <w:szCs w:val="8"/>
                <w:color w:val="auto"/>
              </w:rPr>
            </w:pPr>
          </w:p>
        </w:tc>
        <w:tc>
          <w:tcPr>
            <w:tcW w:w="460" w:type="dxa"/>
            <w:vAlign w:val="bottom"/>
            <w:tcBorders>
              <w:right w:val="single" w:sz="8" w:color="012E6C"/>
            </w:tcBorders>
            <w:shd w:val="clear" w:color="auto" w:fill="E5E7EF"/>
          </w:tcPr>
          <w:p>
            <w:pPr>
              <w:spacing w:after="0"/>
              <w:rPr>
                <w:sz w:val="8"/>
                <w:szCs w:val="8"/>
                <w:color w:val="auto"/>
              </w:rPr>
            </w:pPr>
          </w:p>
        </w:tc>
        <w:tc>
          <w:tcPr>
            <w:tcW w:w="100" w:type="dxa"/>
            <w:vAlign w:val="bottom"/>
            <w:shd w:val="clear" w:color="auto" w:fill="E5E7EF"/>
          </w:tcPr>
          <w:p>
            <w:pPr>
              <w:spacing w:after="0"/>
              <w:rPr>
                <w:sz w:val="8"/>
                <w:szCs w:val="8"/>
                <w:color w:val="auto"/>
              </w:rPr>
            </w:pPr>
          </w:p>
        </w:tc>
        <w:tc>
          <w:tcPr>
            <w:tcW w:w="760" w:type="dxa"/>
            <w:vAlign w:val="bottom"/>
            <w:shd w:val="clear" w:color="auto" w:fill="E5E7EF"/>
          </w:tcPr>
          <w:p>
            <w:pPr>
              <w:spacing w:after="0"/>
              <w:rPr>
                <w:sz w:val="8"/>
                <w:szCs w:val="8"/>
                <w:color w:val="auto"/>
              </w:rPr>
            </w:pPr>
          </w:p>
        </w:tc>
        <w:tc>
          <w:tcPr>
            <w:tcW w:w="340" w:type="dxa"/>
            <w:vAlign w:val="bottom"/>
            <w:shd w:val="clear" w:color="auto" w:fill="E5E7EF"/>
          </w:tcPr>
          <w:p>
            <w:pPr>
              <w:spacing w:after="0"/>
              <w:rPr>
                <w:sz w:val="8"/>
                <w:szCs w:val="8"/>
                <w:color w:val="auto"/>
              </w:rPr>
            </w:pPr>
          </w:p>
        </w:tc>
        <w:tc>
          <w:tcPr>
            <w:tcW w:w="80" w:type="dxa"/>
            <w:vAlign w:val="bottom"/>
            <w:shd w:val="clear" w:color="auto" w:fill="E5E7EF"/>
          </w:tcPr>
          <w:p>
            <w:pPr>
              <w:spacing w:after="0"/>
              <w:rPr>
                <w:sz w:val="8"/>
                <w:szCs w:val="8"/>
                <w:color w:val="auto"/>
              </w:rPr>
            </w:pPr>
          </w:p>
        </w:tc>
        <w:tc>
          <w:tcPr>
            <w:tcW w:w="100" w:type="dxa"/>
            <w:vAlign w:val="bottom"/>
            <w:tcBorders>
              <w:right w:val="single" w:sz="8" w:color="E5E7EF"/>
            </w:tcBorders>
            <w:shd w:val="clear" w:color="auto" w:fill="E5E7EF"/>
          </w:tcPr>
          <w:p>
            <w:pPr>
              <w:spacing w:after="0"/>
              <w:rPr>
                <w:sz w:val="8"/>
                <w:szCs w:val="8"/>
                <w:color w:val="auto"/>
              </w:rPr>
            </w:pPr>
          </w:p>
        </w:tc>
        <w:tc>
          <w:tcPr>
            <w:tcW w:w="340" w:type="dxa"/>
            <w:vAlign w:val="bottom"/>
            <w:shd w:val="clear" w:color="auto" w:fill="E5E7EF"/>
          </w:tcPr>
          <w:p>
            <w:pPr>
              <w:spacing w:after="0"/>
              <w:rPr>
                <w:sz w:val="8"/>
                <w:szCs w:val="8"/>
                <w:color w:val="auto"/>
              </w:rPr>
            </w:pPr>
          </w:p>
        </w:tc>
        <w:tc>
          <w:tcPr>
            <w:tcW w:w="220" w:type="dxa"/>
            <w:vAlign w:val="bottom"/>
            <w:tcBorders>
              <w:right w:val="single" w:sz="8" w:color="E5E7EF"/>
            </w:tcBorders>
            <w:shd w:val="clear" w:color="auto" w:fill="E5E7EF"/>
          </w:tcPr>
          <w:p>
            <w:pPr>
              <w:spacing w:after="0"/>
              <w:rPr>
                <w:sz w:val="8"/>
                <w:szCs w:val="8"/>
                <w:color w:val="auto"/>
              </w:rPr>
            </w:pPr>
          </w:p>
        </w:tc>
        <w:tc>
          <w:tcPr>
            <w:tcW w:w="120" w:type="dxa"/>
            <w:vAlign w:val="bottom"/>
            <w:tcBorders>
              <w:right w:val="single" w:sz="8" w:color="012E6C"/>
            </w:tcBorders>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40" w:type="dxa"/>
            <w:vAlign w:val="bottom"/>
            <w:tcBorders>
              <w:left w:val="single" w:sz="8" w:color="012E6C"/>
              <w:right w:val="single" w:sz="8" w:color="012E6C"/>
            </w:tcBorders>
            <w:shd w:val="clear" w:color="auto" w:fill="E5E7EF"/>
          </w:tcPr>
          <w:p>
            <w:pPr>
              <w:spacing w:after="0"/>
              <w:rPr>
                <w:sz w:val="7"/>
                <w:szCs w:val="7"/>
                <w:color w:val="auto"/>
              </w:rPr>
            </w:pPr>
          </w:p>
        </w:tc>
        <w:tc>
          <w:tcPr>
            <w:tcW w:w="1940" w:type="dxa"/>
            <w:vAlign w:val="bottom"/>
            <w:tcBorders>
              <w:right w:val="single" w:sz="8" w:color="012E6C"/>
            </w:tcBorders>
            <w:shd w:val="clear" w:color="auto" w:fill="E5E7EF"/>
          </w:tcPr>
          <w:p>
            <w:pPr>
              <w:spacing w:after="0"/>
              <w:rPr>
                <w:sz w:val="7"/>
                <w:szCs w:val="7"/>
                <w:color w:val="auto"/>
              </w:rPr>
            </w:pPr>
          </w:p>
        </w:tc>
        <w:tc>
          <w:tcPr>
            <w:tcW w:w="1940" w:type="dxa"/>
            <w:vAlign w:val="bottom"/>
            <w:tcBorders>
              <w:right w:val="single" w:sz="8" w:color="012E6C"/>
            </w:tcBorders>
            <w:shd w:val="clear" w:color="auto" w:fill="E5E7EF"/>
          </w:tcPr>
          <w:p>
            <w:pPr>
              <w:spacing w:after="0"/>
              <w:rPr>
                <w:sz w:val="7"/>
                <w:szCs w:val="7"/>
                <w:color w:val="auto"/>
              </w:rPr>
            </w:pPr>
          </w:p>
        </w:tc>
        <w:tc>
          <w:tcPr>
            <w:tcW w:w="2220" w:type="dxa"/>
            <w:vAlign w:val="bottom"/>
            <w:tcBorders>
              <w:right w:val="single" w:sz="8" w:color="012E6C"/>
            </w:tcBorders>
            <w:vMerge w:val="continue"/>
            <w:shd w:val="clear" w:color="auto" w:fill="E5E7EF"/>
          </w:tcPr>
          <w:p>
            <w:pPr>
              <w:spacing w:after="0"/>
              <w:rPr>
                <w:sz w:val="7"/>
                <w:szCs w:val="7"/>
                <w:color w:val="auto"/>
              </w:rPr>
            </w:pPr>
          </w:p>
        </w:tc>
        <w:tc>
          <w:tcPr>
            <w:tcW w:w="100" w:type="dxa"/>
            <w:vAlign w:val="bottom"/>
            <w:shd w:val="clear" w:color="auto" w:fill="E5E7EF"/>
          </w:tcPr>
          <w:p>
            <w:pPr>
              <w:spacing w:after="0"/>
              <w:rPr>
                <w:sz w:val="7"/>
                <w:szCs w:val="7"/>
                <w:color w:val="auto"/>
              </w:rPr>
            </w:pPr>
          </w:p>
        </w:tc>
        <w:tc>
          <w:tcPr>
            <w:tcW w:w="460" w:type="dxa"/>
            <w:vAlign w:val="bottom"/>
            <w:shd w:val="clear" w:color="auto" w:fill="E5E7EF"/>
          </w:tcPr>
          <w:p>
            <w:pPr>
              <w:spacing w:after="0"/>
              <w:rPr>
                <w:sz w:val="7"/>
                <w:szCs w:val="7"/>
                <w:color w:val="auto"/>
              </w:rPr>
            </w:pPr>
          </w:p>
        </w:tc>
        <w:tc>
          <w:tcPr>
            <w:tcW w:w="300" w:type="dxa"/>
            <w:vAlign w:val="bottom"/>
            <w:shd w:val="clear" w:color="auto" w:fill="E5E7EF"/>
          </w:tcPr>
          <w:p>
            <w:pPr>
              <w:spacing w:after="0"/>
              <w:rPr>
                <w:sz w:val="7"/>
                <w:szCs w:val="7"/>
                <w:color w:val="auto"/>
              </w:rPr>
            </w:pPr>
          </w:p>
        </w:tc>
        <w:tc>
          <w:tcPr>
            <w:tcW w:w="740" w:type="dxa"/>
            <w:vAlign w:val="bottom"/>
            <w:shd w:val="clear" w:color="auto" w:fill="E5E7EF"/>
          </w:tcPr>
          <w:p>
            <w:pPr>
              <w:spacing w:after="0"/>
              <w:rPr>
                <w:sz w:val="7"/>
                <w:szCs w:val="7"/>
                <w:color w:val="auto"/>
              </w:rPr>
            </w:pPr>
          </w:p>
        </w:tc>
        <w:tc>
          <w:tcPr>
            <w:tcW w:w="460" w:type="dxa"/>
            <w:vAlign w:val="bottom"/>
            <w:tcBorders>
              <w:right w:val="single" w:sz="8" w:color="012E6C"/>
            </w:tcBorders>
            <w:shd w:val="clear" w:color="auto" w:fill="E5E7EF"/>
          </w:tcPr>
          <w:p>
            <w:pPr>
              <w:spacing w:after="0"/>
              <w:rPr>
                <w:sz w:val="7"/>
                <w:szCs w:val="7"/>
                <w:color w:val="auto"/>
              </w:rPr>
            </w:pPr>
          </w:p>
        </w:tc>
        <w:tc>
          <w:tcPr>
            <w:tcW w:w="100" w:type="dxa"/>
            <w:vAlign w:val="bottom"/>
            <w:shd w:val="clear" w:color="auto" w:fill="E5E7EF"/>
          </w:tcPr>
          <w:p>
            <w:pPr>
              <w:spacing w:after="0"/>
              <w:rPr>
                <w:sz w:val="7"/>
                <w:szCs w:val="7"/>
                <w:color w:val="auto"/>
              </w:rPr>
            </w:pPr>
          </w:p>
        </w:tc>
        <w:tc>
          <w:tcPr>
            <w:tcW w:w="760" w:type="dxa"/>
            <w:vAlign w:val="bottom"/>
            <w:shd w:val="clear" w:color="auto" w:fill="E5E7EF"/>
          </w:tcPr>
          <w:p>
            <w:pPr>
              <w:spacing w:after="0"/>
              <w:rPr>
                <w:sz w:val="7"/>
                <w:szCs w:val="7"/>
                <w:color w:val="auto"/>
              </w:rPr>
            </w:pPr>
          </w:p>
        </w:tc>
        <w:tc>
          <w:tcPr>
            <w:tcW w:w="340" w:type="dxa"/>
            <w:vAlign w:val="bottom"/>
            <w:shd w:val="clear" w:color="auto" w:fill="E5E7EF"/>
          </w:tcPr>
          <w:p>
            <w:pPr>
              <w:spacing w:after="0"/>
              <w:rPr>
                <w:sz w:val="7"/>
                <w:szCs w:val="7"/>
                <w:color w:val="auto"/>
              </w:rPr>
            </w:pPr>
          </w:p>
        </w:tc>
        <w:tc>
          <w:tcPr>
            <w:tcW w:w="80" w:type="dxa"/>
            <w:vAlign w:val="bottom"/>
            <w:shd w:val="clear" w:color="auto" w:fill="E5E7EF"/>
          </w:tcPr>
          <w:p>
            <w:pPr>
              <w:spacing w:after="0"/>
              <w:rPr>
                <w:sz w:val="7"/>
                <w:szCs w:val="7"/>
                <w:color w:val="auto"/>
              </w:rPr>
            </w:pPr>
          </w:p>
        </w:tc>
        <w:tc>
          <w:tcPr>
            <w:tcW w:w="100" w:type="dxa"/>
            <w:vAlign w:val="bottom"/>
            <w:tcBorders>
              <w:right w:val="single" w:sz="8" w:color="E5E7EF"/>
            </w:tcBorders>
            <w:shd w:val="clear" w:color="auto" w:fill="E5E7EF"/>
          </w:tcPr>
          <w:p>
            <w:pPr>
              <w:spacing w:after="0"/>
              <w:rPr>
                <w:sz w:val="7"/>
                <w:szCs w:val="7"/>
                <w:color w:val="auto"/>
              </w:rPr>
            </w:pPr>
          </w:p>
        </w:tc>
        <w:tc>
          <w:tcPr>
            <w:tcW w:w="340" w:type="dxa"/>
            <w:vAlign w:val="bottom"/>
            <w:shd w:val="clear" w:color="auto" w:fill="E5E7EF"/>
          </w:tcPr>
          <w:p>
            <w:pPr>
              <w:spacing w:after="0"/>
              <w:rPr>
                <w:sz w:val="7"/>
                <w:szCs w:val="7"/>
                <w:color w:val="auto"/>
              </w:rPr>
            </w:pPr>
          </w:p>
        </w:tc>
        <w:tc>
          <w:tcPr>
            <w:tcW w:w="220" w:type="dxa"/>
            <w:vAlign w:val="bottom"/>
            <w:tcBorders>
              <w:right w:val="single" w:sz="8" w:color="E5E7EF"/>
            </w:tcBorders>
            <w:shd w:val="clear" w:color="auto" w:fill="E5E7EF"/>
          </w:tcPr>
          <w:p>
            <w:pPr>
              <w:spacing w:after="0"/>
              <w:rPr>
                <w:sz w:val="7"/>
                <w:szCs w:val="7"/>
                <w:color w:val="auto"/>
              </w:rPr>
            </w:pPr>
          </w:p>
        </w:tc>
        <w:tc>
          <w:tcPr>
            <w:tcW w:w="120" w:type="dxa"/>
            <w:vAlign w:val="bottom"/>
            <w:tcBorders>
              <w:right w:val="single" w:sz="8" w:color="012E6C"/>
            </w:tcBorders>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1040" w:type="dxa"/>
            <w:vAlign w:val="bottom"/>
            <w:tcBorders>
              <w:left w:val="single" w:sz="8" w:color="012E6C"/>
              <w:bottom w:val="single" w:sz="8" w:color="012E6C"/>
              <w:right w:val="single" w:sz="8" w:color="012E6C"/>
            </w:tcBorders>
            <w:shd w:val="clear" w:color="auto" w:fill="E5E7EF"/>
          </w:tcPr>
          <w:p>
            <w:pPr>
              <w:spacing w:after="0"/>
              <w:rPr>
                <w:sz w:val="22"/>
                <w:szCs w:val="22"/>
                <w:color w:val="auto"/>
              </w:rPr>
            </w:pPr>
          </w:p>
        </w:tc>
        <w:tc>
          <w:tcPr>
            <w:tcW w:w="1940" w:type="dxa"/>
            <w:vAlign w:val="bottom"/>
            <w:tcBorders>
              <w:bottom w:val="single" w:sz="8" w:color="012E6C"/>
              <w:right w:val="single" w:sz="8" w:color="012E6C"/>
            </w:tcBorders>
            <w:shd w:val="clear" w:color="auto" w:fill="E5E7EF"/>
          </w:tcPr>
          <w:p>
            <w:pPr>
              <w:spacing w:after="0"/>
              <w:rPr>
                <w:sz w:val="22"/>
                <w:szCs w:val="22"/>
                <w:color w:val="auto"/>
              </w:rPr>
            </w:pPr>
          </w:p>
        </w:tc>
        <w:tc>
          <w:tcPr>
            <w:tcW w:w="1940" w:type="dxa"/>
            <w:vAlign w:val="bottom"/>
            <w:tcBorders>
              <w:bottom w:val="single" w:sz="8" w:color="012E6C"/>
              <w:right w:val="single" w:sz="8" w:color="012E6C"/>
            </w:tcBorders>
            <w:shd w:val="clear" w:color="auto" w:fill="E5E7EF"/>
          </w:tcPr>
          <w:p>
            <w:pPr>
              <w:spacing w:after="0"/>
              <w:rPr>
                <w:sz w:val="22"/>
                <w:szCs w:val="22"/>
                <w:color w:val="auto"/>
              </w:rPr>
            </w:pPr>
          </w:p>
        </w:tc>
        <w:tc>
          <w:tcPr>
            <w:tcW w:w="2220" w:type="dxa"/>
            <w:vAlign w:val="bottom"/>
            <w:tcBorders>
              <w:bottom w:val="single" w:sz="8" w:color="012E6C"/>
              <w:right w:val="single" w:sz="8" w:color="012E6C"/>
            </w:tcBorders>
            <w:shd w:val="clear" w:color="auto" w:fill="E5E7EF"/>
          </w:tcPr>
          <w:p>
            <w:pPr>
              <w:spacing w:after="0"/>
              <w:rPr>
                <w:sz w:val="22"/>
                <w:szCs w:val="22"/>
                <w:color w:val="auto"/>
              </w:rPr>
            </w:pPr>
          </w:p>
        </w:tc>
        <w:tc>
          <w:tcPr>
            <w:tcW w:w="100" w:type="dxa"/>
            <w:vAlign w:val="bottom"/>
            <w:tcBorders>
              <w:bottom w:val="single" w:sz="8" w:color="012E6C"/>
            </w:tcBorders>
            <w:shd w:val="clear" w:color="auto" w:fill="E5E7EF"/>
          </w:tcPr>
          <w:p>
            <w:pPr>
              <w:spacing w:after="0"/>
              <w:rPr>
                <w:sz w:val="22"/>
                <w:szCs w:val="22"/>
                <w:color w:val="auto"/>
              </w:rPr>
            </w:pPr>
          </w:p>
        </w:tc>
        <w:tc>
          <w:tcPr>
            <w:tcW w:w="460" w:type="dxa"/>
            <w:vAlign w:val="bottom"/>
            <w:tcBorders>
              <w:bottom w:val="single" w:sz="8" w:color="012E6C"/>
            </w:tcBorders>
            <w:shd w:val="clear" w:color="auto" w:fill="E5E7EF"/>
          </w:tcPr>
          <w:p>
            <w:pPr>
              <w:spacing w:after="0"/>
              <w:rPr>
                <w:sz w:val="22"/>
                <w:szCs w:val="22"/>
                <w:color w:val="auto"/>
              </w:rPr>
            </w:pPr>
          </w:p>
        </w:tc>
        <w:tc>
          <w:tcPr>
            <w:tcW w:w="300" w:type="dxa"/>
            <w:vAlign w:val="bottom"/>
            <w:tcBorders>
              <w:bottom w:val="single" w:sz="8" w:color="012E6C"/>
            </w:tcBorders>
            <w:shd w:val="clear" w:color="auto" w:fill="E5E7EF"/>
          </w:tcPr>
          <w:p>
            <w:pPr>
              <w:spacing w:after="0"/>
              <w:rPr>
                <w:sz w:val="22"/>
                <w:szCs w:val="22"/>
                <w:color w:val="auto"/>
              </w:rPr>
            </w:pPr>
          </w:p>
        </w:tc>
        <w:tc>
          <w:tcPr>
            <w:tcW w:w="740" w:type="dxa"/>
            <w:vAlign w:val="bottom"/>
            <w:tcBorders>
              <w:bottom w:val="single" w:sz="8" w:color="012E6C"/>
            </w:tcBorders>
            <w:shd w:val="clear" w:color="auto" w:fill="E5E7EF"/>
          </w:tcPr>
          <w:p>
            <w:pPr>
              <w:spacing w:after="0"/>
              <w:rPr>
                <w:sz w:val="22"/>
                <w:szCs w:val="22"/>
                <w:color w:val="auto"/>
              </w:rPr>
            </w:pPr>
          </w:p>
        </w:tc>
        <w:tc>
          <w:tcPr>
            <w:tcW w:w="460" w:type="dxa"/>
            <w:vAlign w:val="bottom"/>
            <w:tcBorders>
              <w:bottom w:val="single" w:sz="8" w:color="012E6C"/>
              <w:right w:val="single" w:sz="8" w:color="012E6C"/>
            </w:tcBorders>
            <w:shd w:val="clear" w:color="auto" w:fill="E5E7EF"/>
          </w:tcPr>
          <w:p>
            <w:pPr>
              <w:spacing w:after="0"/>
              <w:rPr>
                <w:sz w:val="22"/>
                <w:szCs w:val="22"/>
                <w:color w:val="auto"/>
              </w:rPr>
            </w:pPr>
          </w:p>
        </w:tc>
        <w:tc>
          <w:tcPr>
            <w:tcW w:w="100" w:type="dxa"/>
            <w:vAlign w:val="bottom"/>
            <w:tcBorders>
              <w:bottom w:val="single" w:sz="8" w:color="012E6C"/>
            </w:tcBorders>
            <w:shd w:val="clear" w:color="auto" w:fill="E5E7EF"/>
          </w:tcPr>
          <w:p>
            <w:pPr>
              <w:spacing w:after="0"/>
              <w:rPr>
                <w:sz w:val="22"/>
                <w:szCs w:val="22"/>
                <w:color w:val="auto"/>
              </w:rPr>
            </w:pPr>
          </w:p>
        </w:tc>
        <w:tc>
          <w:tcPr>
            <w:tcW w:w="760" w:type="dxa"/>
            <w:vAlign w:val="bottom"/>
            <w:tcBorders>
              <w:bottom w:val="single" w:sz="8" w:color="012E6C"/>
            </w:tcBorders>
            <w:shd w:val="clear" w:color="auto" w:fill="E5E7EF"/>
          </w:tcPr>
          <w:p>
            <w:pPr>
              <w:spacing w:after="0"/>
              <w:rPr>
                <w:sz w:val="22"/>
                <w:szCs w:val="22"/>
                <w:color w:val="auto"/>
              </w:rPr>
            </w:pPr>
          </w:p>
        </w:tc>
        <w:tc>
          <w:tcPr>
            <w:tcW w:w="340" w:type="dxa"/>
            <w:vAlign w:val="bottom"/>
            <w:tcBorders>
              <w:bottom w:val="single" w:sz="8" w:color="012E6C"/>
            </w:tcBorders>
            <w:shd w:val="clear" w:color="auto" w:fill="E5E7EF"/>
          </w:tcPr>
          <w:p>
            <w:pPr>
              <w:spacing w:after="0"/>
              <w:rPr>
                <w:sz w:val="22"/>
                <w:szCs w:val="22"/>
                <w:color w:val="auto"/>
              </w:rPr>
            </w:pPr>
          </w:p>
        </w:tc>
        <w:tc>
          <w:tcPr>
            <w:tcW w:w="80" w:type="dxa"/>
            <w:vAlign w:val="bottom"/>
            <w:tcBorders>
              <w:bottom w:val="single" w:sz="8" w:color="012E6C"/>
            </w:tcBorders>
            <w:shd w:val="clear" w:color="auto" w:fill="E5E7EF"/>
          </w:tcPr>
          <w:p>
            <w:pPr>
              <w:spacing w:after="0"/>
              <w:rPr>
                <w:sz w:val="22"/>
                <w:szCs w:val="22"/>
                <w:color w:val="auto"/>
              </w:rPr>
            </w:pPr>
          </w:p>
        </w:tc>
        <w:tc>
          <w:tcPr>
            <w:tcW w:w="100" w:type="dxa"/>
            <w:vAlign w:val="bottom"/>
            <w:tcBorders>
              <w:bottom w:val="single" w:sz="8" w:color="012E6C"/>
              <w:right w:val="single" w:sz="8" w:color="E5E7EF"/>
            </w:tcBorders>
            <w:shd w:val="clear" w:color="auto" w:fill="E5E7EF"/>
          </w:tcPr>
          <w:p>
            <w:pPr>
              <w:spacing w:after="0"/>
              <w:rPr>
                <w:sz w:val="22"/>
                <w:szCs w:val="22"/>
                <w:color w:val="auto"/>
              </w:rPr>
            </w:pPr>
          </w:p>
        </w:tc>
        <w:tc>
          <w:tcPr>
            <w:tcW w:w="340" w:type="dxa"/>
            <w:vAlign w:val="bottom"/>
            <w:tcBorders>
              <w:bottom w:val="single" w:sz="8" w:color="012E6C"/>
            </w:tcBorders>
            <w:shd w:val="clear" w:color="auto" w:fill="E5E7EF"/>
          </w:tcPr>
          <w:p>
            <w:pPr>
              <w:spacing w:after="0"/>
              <w:rPr>
                <w:sz w:val="22"/>
                <w:szCs w:val="22"/>
                <w:color w:val="auto"/>
              </w:rPr>
            </w:pPr>
          </w:p>
        </w:tc>
        <w:tc>
          <w:tcPr>
            <w:tcW w:w="220" w:type="dxa"/>
            <w:vAlign w:val="bottom"/>
            <w:tcBorders>
              <w:bottom w:val="single" w:sz="8" w:color="012E6C"/>
              <w:right w:val="single" w:sz="8" w:color="E5E7EF"/>
            </w:tcBorders>
            <w:shd w:val="clear" w:color="auto" w:fill="E5E7EF"/>
          </w:tcPr>
          <w:p>
            <w:pPr>
              <w:spacing w:after="0"/>
              <w:rPr>
                <w:sz w:val="22"/>
                <w:szCs w:val="22"/>
                <w:color w:val="auto"/>
              </w:rPr>
            </w:pPr>
          </w:p>
        </w:tc>
        <w:tc>
          <w:tcPr>
            <w:tcW w:w="120" w:type="dxa"/>
            <w:vAlign w:val="bottom"/>
            <w:tcBorders>
              <w:bottom w:val="single" w:sz="8" w:color="012E6C"/>
              <w:right w:val="single" w:sz="8" w:color="012E6C"/>
            </w:tcBorders>
            <w:shd w:val="clear" w:color="auto" w:fill="E5E7E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040" w:type="dxa"/>
            <w:vAlign w:val="bottom"/>
            <w:tcBorders>
              <w:left w:val="single" w:sz="8" w:color="012E6C"/>
              <w:right w:val="single" w:sz="8" w:color="012E6C"/>
            </w:tcBorders>
          </w:tcPr>
          <w:p>
            <w:pPr>
              <w:spacing w:after="0"/>
              <w:rPr>
                <w:sz w:val="21"/>
                <w:szCs w:val="21"/>
                <w:color w:val="auto"/>
              </w:rPr>
            </w:pPr>
          </w:p>
        </w:tc>
        <w:tc>
          <w:tcPr>
            <w:tcW w:w="1940" w:type="dxa"/>
            <w:vAlign w:val="bottom"/>
            <w:tcBorders>
              <w:right w:val="single" w:sz="8" w:color="012E6C"/>
            </w:tcBorders>
          </w:tcPr>
          <w:p>
            <w:pPr>
              <w:spacing w:after="0"/>
              <w:rPr>
                <w:sz w:val="21"/>
                <w:szCs w:val="21"/>
                <w:color w:val="auto"/>
              </w:rPr>
            </w:pPr>
          </w:p>
        </w:tc>
        <w:tc>
          <w:tcPr>
            <w:tcW w:w="1940" w:type="dxa"/>
            <w:vAlign w:val="bottom"/>
            <w:tcBorders>
              <w:right w:val="single" w:sz="8" w:color="012E6C"/>
            </w:tcBorders>
          </w:tcPr>
          <w:p>
            <w:pPr>
              <w:spacing w:after="0"/>
              <w:rPr>
                <w:sz w:val="21"/>
                <w:szCs w:val="21"/>
                <w:color w:val="auto"/>
              </w:rPr>
            </w:pPr>
          </w:p>
        </w:tc>
        <w:tc>
          <w:tcPr>
            <w:tcW w:w="222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No payment in the case of</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Borders>
              <w:right w:val="single" w:sz="8" w:color="012E6C"/>
            </w:tcBorders>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Borders>
              <w:right w:val="single" w:sz="8" w:color="012E6C"/>
            </w:tcBorders>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040" w:type="dxa"/>
            <w:vAlign w:val="bottom"/>
            <w:tcBorders>
              <w:left w:val="single" w:sz="8" w:color="012E6C"/>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2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death or disability. Payment of</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Borders>
              <w:right w:val="single" w:sz="8" w:color="012E6C"/>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40" w:type="dxa"/>
            <w:vAlign w:val="bottom"/>
            <w:tcBorders>
              <w:left w:val="single" w:sz="8" w:color="012E6C"/>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2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a lump sum amount equal to a</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Borders>
              <w:right w:val="single" w:sz="8" w:color="012E6C"/>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40" w:type="dxa"/>
            <w:vAlign w:val="bottom"/>
            <w:tcBorders>
              <w:left w:val="single" w:sz="8" w:color="012E6C"/>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2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multiple of salary, annual bonus</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Borders>
              <w:right w:val="single" w:sz="8" w:color="012E6C"/>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40" w:type="dxa"/>
            <w:vAlign w:val="bottom"/>
            <w:tcBorders>
              <w:left w:val="single" w:sz="8" w:color="012E6C"/>
              <w:right w:val="single" w:sz="8" w:color="012E6C"/>
            </w:tcBorders>
            <w:vMerge w:val="restart"/>
          </w:tcPr>
          <w:p>
            <w:pPr>
              <w:jc w:val="center"/>
              <w:spacing w:after="0"/>
              <w:rPr>
                <w:sz w:val="20"/>
                <w:szCs w:val="20"/>
                <w:color w:val="auto"/>
              </w:rPr>
            </w:pPr>
            <w:r>
              <w:rPr>
                <w:rFonts w:ascii="Arial" w:cs="Arial" w:eastAsia="Arial" w:hAnsi="Arial"/>
                <w:sz w:val="15"/>
                <w:szCs w:val="15"/>
                <w:b w:val="1"/>
                <w:bCs w:val="1"/>
                <w:color w:val="003478"/>
              </w:rPr>
              <w:t>Executive</w:t>
            </w:r>
          </w:p>
        </w:tc>
        <w:tc>
          <w:tcPr>
            <w:tcW w:w="194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2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equivalent, and health care</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Borders>
              <w:right w:val="single" w:sz="8" w:color="012E6C"/>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71"/>
        </w:trPr>
        <w:tc>
          <w:tcPr>
            <w:tcW w:w="1040" w:type="dxa"/>
            <w:vAlign w:val="bottom"/>
            <w:tcBorders>
              <w:left w:val="single" w:sz="8" w:color="012E6C"/>
              <w:right w:val="single" w:sz="8" w:color="012E6C"/>
            </w:tcBorders>
            <w:vMerge w:val="continue"/>
          </w:tcPr>
          <w:p>
            <w:pPr>
              <w:spacing w:after="0"/>
              <w:rPr>
                <w:sz w:val="6"/>
                <w:szCs w:val="6"/>
                <w:color w:val="auto"/>
              </w:rPr>
            </w:pPr>
          </w:p>
        </w:tc>
        <w:tc>
          <w:tcPr>
            <w:tcW w:w="1940" w:type="dxa"/>
            <w:vAlign w:val="bottom"/>
            <w:tcBorders>
              <w:right w:val="single" w:sz="8" w:color="012E6C"/>
            </w:tcBorders>
          </w:tcPr>
          <w:p>
            <w:pPr>
              <w:spacing w:after="0"/>
              <w:rPr>
                <w:sz w:val="6"/>
                <w:szCs w:val="6"/>
                <w:color w:val="auto"/>
              </w:rPr>
            </w:pPr>
          </w:p>
        </w:tc>
        <w:tc>
          <w:tcPr>
            <w:tcW w:w="194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No payment unless</w:t>
            </w:r>
          </w:p>
        </w:tc>
        <w:tc>
          <w:tcPr>
            <w:tcW w:w="222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continuation coverage cost plus</w:t>
            </w: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60" w:type="dxa"/>
            <w:vAlign w:val="bottom"/>
            <w:tcBorders>
              <w:right w:val="single" w:sz="8" w:color="012E6C"/>
            </w:tcBorders>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Borders>
              <w:right w:val="single" w:sz="8" w:color="012E6C"/>
            </w:tcBorders>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1040" w:type="dxa"/>
            <w:vAlign w:val="bottom"/>
            <w:tcBorders>
              <w:left w:val="single" w:sz="8" w:color="012E6C"/>
              <w:right w:val="single" w:sz="8" w:color="012E6C"/>
            </w:tcBorders>
            <w:vMerge w:val="restart"/>
          </w:tcPr>
          <w:p>
            <w:pPr>
              <w:jc w:val="center"/>
              <w:spacing w:after="0"/>
              <w:rPr>
                <w:sz w:val="20"/>
                <w:szCs w:val="20"/>
                <w:color w:val="auto"/>
              </w:rPr>
            </w:pPr>
            <w:r>
              <w:rPr>
                <w:rFonts w:ascii="Arial" w:cs="Arial" w:eastAsia="Arial" w:hAnsi="Arial"/>
                <w:sz w:val="15"/>
                <w:szCs w:val="15"/>
                <w:b w:val="1"/>
                <w:bCs w:val="1"/>
                <w:color w:val="003478"/>
              </w:rPr>
              <w:t>Severance</w:t>
            </w:r>
          </w:p>
        </w:tc>
        <w:tc>
          <w:tcPr>
            <w:tcW w:w="194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No payment.</w:t>
            </w:r>
          </w:p>
        </w:tc>
        <w:tc>
          <w:tcPr>
            <w:tcW w:w="1940" w:type="dxa"/>
            <w:vAlign w:val="bottom"/>
            <w:tcBorders>
              <w:right w:val="single" w:sz="8" w:color="012E6C"/>
            </w:tcBorders>
            <w:vMerge w:val="continue"/>
          </w:tcPr>
          <w:p>
            <w:pPr>
              <w:spacing w:after="0"/>
              <w:rPr>
                <w:sz w:val="9"/>
                <w:szCs w:val="9"/>
                <w:color w:val="auto"/>
              </w:rPr>
            </w:pPr>
          </w:p>
        </w:tc>
        <w:tc>
          <w:tcPr>
            <w:tcW w:w="2220" w:type="dxa"/>
            <w:vAlign w:val="bottom"/>
            <w:tcBorders>
              <w:right w:val="single" w:sz="8" w:color="012E6C"/>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960" w:type="dxa"/>
            <w:vAlign w:val="bottom"/>
            <w:tcBorders>
              <w:right w:val="single" w:sz="8" w:color="012E6C"/>
            </w:tcBorders>
            <w:gridSpan w:val="4"/>
            <w:vMerge w:val="restart"/>
          </w:tcPr>
          <w:p>
            <w:pPr>
              <w:spacing w:after="0"/>
              <w:rPr>
                <w:sz w:val="20"/>
                <w:szCs w:val="20"/>
                <w:color w:val="auto"/>
              </w:rPr>
            </w:pPr>
            <w:r>
              <w:rPr>
                <w:rFonts w:ascii="Arial" w:cs="Arial" w:eastAsia="Arial" w:hAnsi="Arial"/>
                <w:sz w:val="14"/>
                <w:szCs w:val="14"/>
                <w:color w:val="auto"/>
              </w:rPr>
              <w:t>No payment.</w:t>
            </w:r>
          </w:p>
        </w:tc>
        <w:tc>
          <w:tcPr>
            <w:tcW w:w="100" w:type="dxa"/>
            <w:vAlign w:val="bottom"/>
          </w:tcPr>
          <w:p>
            <w:pPr>
              <w:spacing w:after="0"/>
              <w:rPr>
                <w:sz w:val="9"/>
                <w:szCs w:val="9"/>
                <w:color w:val="auto"/>
              </w:rPr>
            </w:pPr>
          </w:p>
        </w:tc>
        <w:tc>
          <w:tcPr>
            <w:tcW w:w="1960" w:type="dxa"/>
            <w:vAlign w:val="bottom"/>
            <w:tcBorders>
              <w:right w:val="single" w:sz="8" w:color="012E6C"/>
            </w:tcBorders>
            <w:gridSpan w:val="7"/>
            <w:vMerge w:val="restart"/>
          </w:tcPr>
          <w:p>
            <w:pPr>
              <w:spacing w:after="0"/>
              <w:rPr>
                <w:sz w:val="20"/>
                <w:szCs w:val="20"/>
                <w:color w:val="auto"/>
              </w:rPr>
            </w:pPr>
            <w:r>
              <w:rPr>
                <w:rFonts w:ascii="Arial" w:cs="Arial" w:eastAsia="Arial" w:hAnsi="Arial"/>
                <w:sz w:val="14"/>
                <w:szCs w:val="14"/>
                <w:color w:val="auto"/>
              </w:rPr>
              <w:t>No payment.</w:t>
            </w:r>
          </w:p>
        </w:tc>
        <w:tc>
          <w:tcPr>
            <w:tcW w:w="0" w:type="dxa"/>
            <w:vAlign w:val="bottom"/>
          </w:tcPr>
          <w:p>
            <w:pPr>
              <w:spacing w:after="0"/>
              <w:rPr>
                <w:sz w:val="1"/>
                <w:szCs w:val="1"/>
                <w:color w:val="auto"/>
              </w:rPr>
            </w:pPr>
          </w:p>
        </w:tc>
      </w:tr>
      <w:tr>
        <w:trPr>
          <w:trHeight w:val="84"/>
        </w:trPr>
        <w:tc>
          <w:tcPr>
            <w:tcW w:w="1040" w:type="dxa"/>
            <w:vAlign w:val="bottom"/>
            <w:tcBorders>
              <w:left w:val="single" w:sz="8" w:color="012E6C"/>
              <w:right w:val="single" w:sz="8" w:color="012E6C"/>
            </w:tcBorders>
            <w:vMerge w:val="continue"/>
          </w:tcPr>
          <w:p>
            <w:pPr>
              <w:spacing w:after="0"/>
              <w:rPr>
                <w:sz w:val="7"/>
                <w:szCs w:val="7"/>
                <w:color w:val="auto"/>
              </w:rPr>
            </w:pPr>
          </w:p>
        </w:tc>
        <w:tc>
          <w:tcPr>
            <w:tcW w:w="1940" w:type="dxa"/>
            <w:vAlign w:val="bottom"/>
            <w:tcBorders>
              <w:right w:val="single" w:sz="8" w:color="012E6C"/>
            </w:tcBorders>
            <w:vMerge w:val="continue"/>
          </w:tcPr>
          <w:p>
            <w:pPr>
              <w:spacing w:after="0"/>
              <w:rPr>
                <w:sz w:val="7"/>
                <w:szCs w:val="7"/>
                <w:color w:val="auto"/>
              </w:rPr>
            </w:pPr>
          </w:p>
        </w:tc>
        <w:tc>
          <w:tcPr>
            <w:tcW w:w="194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terminated.</w:t>
            </w:r>
          </w:p>
        </w:tc>
        <w:tc>
          <w:tcPr>
            <w:tcW w:w="222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outplacement services and</w:t>
            </w:r>
          </w:p>
        </w:tc>
        <w:tc>
          <w:tcPr>
            <w:tcW w:w="100" w:type="dxa"/>
            <w:vAlign w:val="bottom"/>
          </w:tcPr>
          <w:p>
            <w:pPr>
              <w:spacing w:after="0"/>
              <w:rPr>
                <w:sz w:val="7"/>
                <w:szCs w:val="7"/>
                <w:color w:val="auto"/>
              </w:rPr>
            </w:pPr>
          </w:p>
        </w:tc>
        <w:tc>
          <w:tcPr>
            <w:tcW w:w="1960" w:type="dxa"/>
            <w:vAlign w:val="bottom"/>
            <w:tcBorders>
              <w:right w:val="single" w:sz="8" w:color="012E6C"/>
            </w:tcBorders>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tcBorders>
              <w:right w:val="single" w:sz="8" w:color="012E6C"/>
            </w:tcBorders>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040" w:type="dxa"/>
            <w:vAlign w:val="bottom"/>
            <w:tcBorders>
              <w:left w:val="single" w:sz="8" w:color="012E6C"/>
              <w:right w:val="single" w:sz="8" w:color="012E6C"/>
            </w:tcBorders>
            <w:vMerge w:val="restart"/>
          </w:tcPr>
          <w:p>
            <w:pPr>
              <w:jc w:val="center"/>
              <w:spacing w:after="0"/>
              <w:rPr>
                <w:sz w:val="20"/>
                <w:szCs w:val="20"/>
                <w:color w:val="auto"/>
              </w:rPr>
            </w:pPr>
            <w:r>
              <w:rPr>
                <w:rFonts w:ascii="Arial" w:cs="Arial" w:eastAsia="Arial" w:hAnsi="Arial"/>
                <w:sz w:val="15"/>
                <w:szCs w:val="15"/>
                <w:b w:val="1"/>
                <w:bCs w:val="1"/>
                <w:color w:val="003478"/>
              </w:rPr>
              <w:t>Plan</w:t>
            </w:r>
          </w:p>
        </w:tc>
        <w:tc>
          <w:tcPr>
            <w:tcW w:w="1940" w:type="dxa"/>
            <w:vAlign w:val="bottom"/>
            <w:tcBorders>
              <w:right w:val="single" w:sz="8" w:color="012E6C"/>
            </w:tcBorders>
          </w:tcPr>
          <w:p>
            <w:pPr>
              <w:spacing w:after="0"/>
              <w:rPr>
                <w:sz w:val="7"/>
                <w:szCs w:val="7"/>
                <w:color w:val="auto"/>
              </w:rPr>
            </w:pPr>
          </w:p>
        </w:tc>
        <w:tc>
          <w:tcPr>
            <w:tcW w:w="1940" w:type="dxa"/>
            <w:vAlign w:val="bottom"/>
            <w:tcBorders>
              <w:right w:val="single" w:sz="8" w:color="012E6C"/>
            </w:tcBorders>
            <w:vMerge w:val="continue"/>
          </w:tcPr>
          <w:p>
            <w:pPr>
              <w:spacing w:after="0"/>
              <w:rPr>
                <w:sz w:val="7"/>
                <w:szCs w:val="7"/>
                <w:color w:val="auto"/>
              </w:rPr>
            </w:pPr>
          </w:p>
        </w:tc>
        <w:tc>
          <w:tcPr>
            <w:tcW w:w="2220" w:type="dxa"/>
            <w:vAlign w:val="bottom"/>
            <w:tcBorders>
              <w:right w:val="single" w:sz="8" w:color="012E6C"/>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Borders>
              <w:right w:val="single" w:sz="8" w:color="012E6C"/>
            </w:tcBorders>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Borders>
              <w:right w:val="single" w:sz="8" w:color="012E6C"/>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040" w:type="dxa"/>
            <w:vAlign w:val="bottom"/>
            <w:tcBorders>
              <w:left w:val="single" w:sz="8" w:color="012E6C"/>
              <w:right w:val="single" w:sz="8" w:color="012E6C"/>
            </w:tcBorders>
            <w:vMerge w:val="continue"/>
          </w:tcPr>
          <w:p>
            <w:pPr>
              <w:spacing w:after="0"/>
              <w:rPr>
                <w:sz w:val="9"/>
                <w:szCs w:val="9"/>
                <w:color w:val="auto"/>
              </w:rPr>
            </w:pPr>
          </w:p>
        </w:tc>
        <w:tc>
          <w:tcPr>
            <w:tcW w:w="1940" w:type="dxa"/>
            <w:vAlign w:val="bottom"/>
            <w:tcBorders>
              <w:right w:val="single" w:sz="8" w:color="012E6C"/>
            </w:tcBorders>
          </w:tcPr>
          <w:p>
            <w:pPr>
              <w:spacing w:after="0"/>
              <w:rPr>
                <w:sz w:val="9"/>
                <w:szCs w:val="9"/>
                <w:color w:val="auto"/>
              </w:rPr>
            </w:pPr>
          </w:p>
        </w:tc>
        <w:tc>
          <w:tcPr>
            <w:tcW w:w="1940" w:type="dxa"/>
            <w:vAlign w:val="bottom"/>
            <w:tcBorders>
              <w:right w:val="single" w:sz="8" w:color="012E6C"/>
            </w:tcBorders>
          </w:tcPr>
          <w:p>
            <w:pPr>
              <w:spacing w:after="0"/>
              <w:rPr>
                <w:sz w:val="9"/>
                <w:szCs w:val="9"/>
                <w:color w:val="auto"/>
              </w:rPr>
            </w:pPr>
          </w:p>
        </w:tc>
        <w:tc>
          <w:tcPr>
            <w:tcW w:w="222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relocation assistance. The</w:t>
            </w: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Borders>
              <w:right w:val="single" w:sz="8" w:color="012E6C"/>
            </w:tcBorders>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Borders>
              <w:right w:val="single" w:sz="8" w:color="012E6C"/>
            </w:tcBorders>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1040" w:type="dxa"/>
            <w:vAlign w:val="bottom"/>
            <w:tcBorders>
              <w:left w:val="single" w:sz="8" w:color="012E6C"/>
              <w:right w:val="single" w:sz="8" w:color="012E6C"/>
            </w:tcBorders>
          </w:tcPr>
          <w:p>
            <w:pPr>
              <w:spacing w:after="0"/>
              <w:rPr>
                <w:sz w:val="5"/>
                <w:szCs w:val="5"/>
                <w:color w:val="auto"/>
              </w:rPr>
            </w:pPr>
          </w:p>
        </w:tc>
        <w:tc>
          <w:tcPr>
            <w:tcW w:w="1940" w:type="dxa"/>
            <w:vAlign w:val="bottom"/>
            <w:tcBorders>
              <w:right w:val="single" w:sz="8" w:color="012E6C"/>
            </w:tcBorders>
          </w:tcPr>
          <w:p>
            <w:pPr>
              <w:spacing w:after="0"/>
              <w:rPr>
                <w:sz w:val="5"/>
                <w:szCs w:val="5"/>
                <w:color w:val="auto"/>
              </w:rPr>
            </w:pPr>
          </w:p>
        </w:tc>
        <w:tc>
          <w:tcPr>
            <w:tcW w:w="1940" w:type="dxa"/>
            <w:vAlign w:val="bottom"/>
            <w:tcBorders>
              <w:right w:val="single" w:sz="8" w:color="012E6C"/>
            </w:tcBorders>
          </w:tcPr>
          <w:p>
            <w:pPr>
              <w:spacing w:after="0"/>
              <w:rPr>
                <w:sz w:val="5"/>
                <w:szCs w:val="5"/>
                <w:color w:val="auto"/>
              </w:rPr>
            </w:pPr>
          </w:p>
        </w:tc>
        <w:tc>
          <w:tcPr>
            <w:tcW w:w="2220" w:type="dxa"/>
            <w:vAlign w:val="bottom"/>
            <w:tcBorders>
              <w:right w:val="single" w:sz="8" w:color="012E6C"/>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tcBorders>
              <w:right w:val="single" w:sz="8" w:color="012E6C"/>
            </w:tcBorders>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Borders>
              <w:right w:val="single" w:sz="8" w:color="012E6C"/>
            </w:tcBorders>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1040" w:type="dxa"/>
            <w:vAlign w:val="bottom"/>
            <w:tcBorders>
              <w:left w:val="single" w:sz="8" w:color="012E6C"/>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2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multiple of salary and annual</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Borders>
              <w:right w:val="single" w:sz="8" w:color="012E6C"/>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40" w:type="dxa"/>
            <w:vAlign w:val="bottom"/>
            <w:tcBorders>
              <w:left w:val="single" w:sz="8" w:color="012E6C"/>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2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bonus equivalent for the CEO</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Borders>
              <w:right w:val="single" w:sz="8" w:color="012E6C"/>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40" w:type="dxa"/>
            <w:vAlign w:val="bottom"/>
            <w:tcBorders>
              <w:left w:val="single" w:sz="8" w:color="012E6C"/>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2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is 2.99; for all other NEOs it is</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Borders>
              <w:right w:val="single" w:sz="8" w:color="012E6C"/>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40" w:type="dxa"/>
            <w:vAlign w:val="bottom"/>
            <w:tcBorders>
              <w:left w:val="single" w:sz="8" w:color="012E6C"/>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2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Borders>
              <w:right w:val="single" w:sz="8" w:color="012E6C"/>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right w:val="single" w:sz="8" w:color="012E6C"/>
            </w:tcBorders>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1040" w:type="dxa"/>
            <w:vAlign w:val="bottom"/>
            <w:tcBorders>
              <w:left w:val="single" w:sz="8" w:color="012E6C"/>
              <w:bottom w:val="single" w:sz="8" w:color="012E6C"/>
              <w:right w:val="single" w:sz="8" w:color="012E6C"/>
            </w:tcBorders>
          </w:tcPr>
          <w:p>
            <w:pPr>
              <w:spacing w:after="0"/>
              <w:rPr>
                <w:sz w:val="6"/>
                <w:szCs w:val="6"/>
                <w:color w:val="auto"/>
              </w:rPr>
            </w:pPr>
          </w:p>
        </w:tc>
        <w:tc>
          <w:tcPr>
            <w:tcW w:w="1940" w:type="dxa"/>
            <w:vAlign w:val="bottom"/>
            <w:tcBorders>
              <w:bottom w:val="single" w:sz="8" w:color="012E6C"/>
              <w:right w:val="single" w:sz="8" w:color="012E6C"/>
            </w:tcBorders>
          </w:tcPr>
          <w:p>
            <w:pPr>
              <w:spacing w:after="0"/>
              <w:rPr>
                <w:sz w:val="6"/>
                <w:szCs w:val="6"/>
                <w:color w:val="auto"/>
              </w:rPr>
            </w:pPr>
          </w:p>
        </w:tc>
        <w:tc>
          <w:tcPr>
            <w:tcW w:w="1940" w:type="dxa"/>
            <w:vAlign w:val="bottom"/>
            <w:tcBorders>
              <w:bottom w:val="single" w:sz="8" w:color="012E6C"/>
              <w:right w:val="single" w:sz="8" w:color="012E6C"/>
            </w:tcBorders>
          </w:tcPr>
          <w:p>
            <w:pPr>
              <w:spacing w:after="0"/>
              <w:rPr>
                <w:sz w:val="6"/>
                <w:szCs w:val="6"/>
                <w:color w:val="auto"/>
              </w:rPr>
            </w:pPr>
          </w:p>
        </w:tc>
        <w:tc>
          <w:tcPr>
            <w:tcW w:w="2220" w:type="dxa"/>
            <w:vAlign w:val="bottom"/>
            <w:tcBorders>
              <w:bottom w:val="single" w:sz="8" w:color="012E6C"/>
              <w:right w:val="single" w:sz="8" w:color="012E6C"/>
            </w:tcBorders>
          </w:tcPr>
          <w:p>
            <w:pPr>
              <w:spacing w:after="0"/>
              <w:rPr>
                <w:sz w:val="6"/>
                <w:szCs w:val="6"/>
                <w:color w:val="auto"/>
              </w:rPr>
            </w:pPr>
          </w:p>
        </w:tc>
        <w:tc>
          <w:tcPr>
            <w:tcW w:w="100" w:type="dxa"/>
            <w:vAlign w:val="bottom"/>
            <w:tcBorders>
              <w:bottom w:val="single" w:sz="8" w:color="012E6C"/>
            </w:tcBorders>
          </w:tcPr>
          <w:p>
            <w:pPr>
              <w:spacing w:after="0"/>
              <w:rPr>
                <w:sz w:val="6"/>
                <w:szCs w:val="6"/>
                <w:color w:val="auto"/>
              </w:rPr>
            </w:pPr>
          </w:p>
        </w:tc>
        <w:tc>
          <w:tcPr>
            <w:tcW w:w="460" w:type="dxa"/>
            <w:vAlign w:val="bottom"/>
            <w:tcBorders>
              <w:bottom w:val="single" w:sz="8" w:color="012E6C"/>
            </w:tcBorders>
          </w:tcPr>
          <w:p>
            <w:pPr>
              <w:spacing w:after="0"/>
              <w:rPr>
                <w:sz w:val="6"/>
                <w:szCs w:val="6"/>
                <w:color w:val="auto"/>
              </w:rPr>
            </w:pPr>
          </w:p>
        </w:tc>
        <w:tc>
          <w:tcPr>
            <w:tcW w:w="300" w:type="dxa"/>
            <w:vAlign w:val="bottom"/>
            <w:tcBorders>
              <w:bottom w:val="single" w:sz="8" w:color="012E6C"/>
            </w:tcBorders>
          </w:tcPr>
          <w:p>
            <w:pPr>
              <w:spacing w:after="0"/>
              <w:rPr>
                <w:sz w:val="6"/>
                <w:szCs w:val="6"/>
                <w:color w:val="auto"/>
              </w:rPr>
            </w:pPr>
          </w:p>
        </w:tc>
        <w:tc>
          <w:tcPr>
            <w:tcW w:w="740" w:type="dxa"/>
            <w:vAlign w:val="bottom"/>
            <w:tcBorders>
              <w:bottom w:val="single" w:sz="8" w:color="012E6C"/>
            </w:tcBorders>
          </w:tcPr>
          <w:p>
            <w:pPr>
              <w:spacing w:after="0"/>
              <w:rPr>
                <w:sz w:val="6"/>
                <w:szCs w:val="6"/>
                <w:color w:val="auto"/>
              </w:rPr>
            </w:pPr>
          </w:p>
        </w:tc>
        <w:tc>
          <w:tcPr>
            <w:tcW w:w="460" w:type="dxa"/>
            <w:vAlign w:val="bottom"/>
            <w:tcBorders>
              <w:bottom w:val="single" w:sz="8" w:color="012E6C"/>
              <w:right w:val="single" w:sz="8" w:color="012E6C"/>
            </w:tcBorders>
          </w:tcPr>
          <w:p>
            <w:pPr>
              <w:spacing w:after="0"/>
              <w:rPr>
                <w:sz w:val="6"/>
                <w:szCs w:val="6"/>
                <w:color w:val="auto"/>
              </w:rPr>
            </w:pPr>
          </w:p>
        </w:tc>
        <w:tc>
          <w:tcPr>
            <w:tcW w:w="100" w:type="dxa"/>
            <w:vAlign w:val="bottom"/>
            <w:tcBorders>
              <w:bottom w:val="single" w:sz="8" w:color="012E6C"/>
            </w:tcBorders>
          </w:tcPr>
          <w:p>
            <w:pPr>
              <w:spacing w:after="0"/>
              <w:rPr>
                <w:sz w:val="6"/>
                <w:szCs w:val="6"/>
                <w:color w:val="auto"/>
              </w:rPr>
            </w:pPr>
          </w:p>
        </w:tc>
        <w:tc>
          <w:tcPr>
            <w:tcW w:w="760" w:type="dxa"/>
            <w:vAlign w:val="bottom"/>
            <w:tcBorders>
              <w:bottom w:val="single" w:sz="8" w:color="012E6C"/>
            </w:tcBorders>
          </w:tcPr>
          <w:p>
            <w:pPr>
              <w:spacing w:after="0"/>
              <w:rPr>
                <w:sz w:val="6"/>
                <w:szCs w:val="6"/>
                <w:color w:val="auto"/>
              </w:rPr>
            </w:pPr>
          </w:p>
        </w:tc>
        <w:tc>
          <w:tcPr>
            <w:tcW w:w="340" w:type="dxa"/>
            <w:vAlign w:val="bottom"/>
            <w:tcBorders>
              <w:bottom w:val="single" w:sz="8" w:color="012E6C"/>
            </w:tcBorders>
          </w:tcPr>
          <w:p>
            <w:pPr>
              <w:spacing w:after="0"/>
              <w:rPr>
                <w:sz w:val="6"/>
                <w:szCs w:val="6"/>
                <w:color w:val="auto"/>
              </w:rPr>
            </w:pPr>
          </w:p>
        </w:tc>
        <w:tc>
          <w:tcPr>
            <w:tcW w:w="80" w:type="dxa"/>
            <w:vAlign w:val="bottom"/>
            <w:tcBorders>
              <w:bottom w:val="single" w:sz="8" w:color="012E6C"/>
            </w:tcBorders>
          </w:tcPr>
          <w:p>
            <w:pPr>
              <w:spacing w:after="0"/>
              <w:rPr>
                <w:sz w:val="6"/>
                <w:szCs w:val="6"/>
                <w:color w:val="auto"/>
              </w:rPr>
            </w:pPr>
          </w:p>
        </w:tc>
        <w:tc>
          <w:tcPr>
            <w:tcW w:w="100" w:type="dxa"/>
            <w:vAlign w:val="bottom"/>
            <w:tcBorders>
              <w:bottom w:val="single" w:sz="8" w:color="012E6C"/>
            </w:tcBorders>
          </w:tcPr>
          <w:p>
            <w:pPr>
              <w:spacing w:after="0"/>
              <w:rPr>
                <w:sz w:val="6"/>
                <w:szCs w:val="6"/>
                <w:color w:val="auto"/>
              </w:rPr>
            </w:pPr>
          </w:p>
        </w:tc>
        <w:tc>
          <w:tcPr>
            <w:tcW w:w="340" w:type="dxa"/>
            <w:vAlign w:val="bottom"/>
            <w:tcBorders>
              <w:bottom w:val="single" w:sz="8" w:color="012E6C"/>
            </w:tcBorders>
          </w:tcPr>
          <w:p>
            <w:pPr>
              <w:spacing w:after="0"/>
              <w:rPr>
                <w:sz w:val="6"/>
                <w:szCs w:val="6"/>
                <w:color w:val="auto"/>
              </w:rPr>
            </w:pPr>
          </w:p>
        </w:tc>
        <w:tc>
          <w:tcPr>
            <w:tcW w:w="220" w:type="dxa"/>
            <w:vAlign w:val="bottom"/>
            <w:tcBorders>
              <w:bottom w:val="single" w:sz="8" w:color="012E6C"/>
            </w:tcBorders>
          </w:tcPr>
          <w:p>
            <w:pPr>
              <w:spacing w:after="0"/>
              <w:rPr>
                <w:sz w:val="6"/>
                <w:szCs w:val="6"/>
                <w:color w:val="auto"/>
              </w:rPr>
            </w:pPr>
          </w:p>
        </w:tc>
        <w:tc>
          <w:tcPr>
            <w:tcW w:w="120" w:type="dxa"/>
            <w:vAlign w:val="bottom"/>
            <w:tcBorders>
              <w:bottom w:val="single" w:sz="8" w:color="012E6C"/>
              <w:right w:val="single" w:sz="8" w:color="012E6C"/>
            </w:tcBorders>
          </w:tcPr>
          <w:p>
            <w:pPr>
              <w:spacing w:after="0"/>
              <w:rPr>
                <w:sz w:val="6"/>
                <w:szCs w:val="6"/>
                <w:color w:val="auto"/>
              </w:rPr>
            </w:pPr>
          </w:p>
        </w:tc>
        <w:tc>
          <w:tcPr>
            <w:tcW w:w="0" w:type="dxa"/>
            <w:vAlign w:val="bottom"/>
          </w:tcPr>
          <w:p>
            <w:pPr>
              <w:spacing w:after="0"/>
              <w:rPr>
                <w:sz w:val="1"/>
                <w:szCs w:val="1"/>
                <w:color w:val="auto"/>
              </w:rPr>
            </w:pPr>
          </w:p>
        </w:tc>
      </w:tr>
      <w:tr>
        <w:trPr>
          <w:trHeight w:val="828"/>
        </w:trPr>
        <w:tc>
          <w:tcPr>
            <w:tcW w:w="1040" w:type="dxa"/>
            <w:vAlign w:val="bottom"/>
          </w:tcPr>
          <w:p>
            <w:pPr>
              <w:jc w:val="right"/>
              <w:ind w:right="786"/>
              <w:spacing w:after="0"/>
              <w:rPr>
                <w:sz w:val="20"/>
                <w:szCs w:val="20"/>
                <w:color w:val="auto"/>
              </w:rPr>
            </w:pPr>
            <w:r>
              <w:rPr>
                <w:rFonts w:ascii="Arial" w:cs="Arial" w:eastAsia="Arial" w:hAnsi="Arial"/>
                <w:sz w:val="14"/>
                <w:szCs w:val="14"/>
                <w:b w:val="1"/>
                <w:bCs w:val="1"/>
                <w:color w:val="808080"/>
              </w:rPr>
              <w:t>65</w:t>
            </w:r>
          </w:p>
        </w:tc>
        <w:tc>
          <w:tcPr>
            <w:tcW w:w="19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-196850</wp:posOffset>
            </wp:positionV>
            <wp:extent cx="963930" cy="2216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ectPr>
          <w:pgSz w:w="11900" w:h="16838" w:orient="portrait"/>
          <w:cols w:equalWidth="0" w:num="1">
            <w:col w:w="11260"/>
          </w:cols>
          <w:pgMar w:left="320" w:top="254" w:right="319" w:bottom="1440" w:gutter="0" w:footer="0" w:header="0"/>
        </w:sectPr>
      </w:pPr>
    </w:p>
    <w:bookmarkStart w:id="71" w:name="page72"/>
    <w:bookmarkEnd w:id="71"/>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182"/>
        </w:trPr>
        <w:tc>
          <w:tcPr>
            <w:tcW w:w="10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60" w:type="dxa"/>
            <w:vAlign w:val="bottom"/>
          </w:tcPr>
          <w:p>
            <w:pPr>
              <w:ind w:left="360"/>
              <w:spacing w:after="0"/>
              <w:rPr>
                <w:sz w:val="20"/>
                <w:szCs w:val="20"/>
                <w:color w:val="auto"/>
              </w:rPr>
            </w:pPr>
            <w:r>
              <w:rPr>
                <w:rFonts w:ascii="Arial" w:cs="Arial" w:eastAsia="Arial" w:hAnsi="Arial"/>
                <w:sz w:val="15"/>
                <w:szCs w:val="15"/>
                <w:color w:val="003478"/>
              </w:rPr>
              <w:t>Executive Compensation</w:t>
            </w:r>
          </w:p>
        </w:tc>
        <w:tc>
          <w:tcPr>
            <w:tcW w:w="0" w:type="dxa"/>
            <w:vAlign w:val="bottom"/>
          </w:tcPr>
          <w:p>
            <w:pPr>
              <w:spacing w:after="0"/>
              <w:rPr>
                <w:sz w:val="1"/>
                <w:szCs w:val="1"/>
                <w:color w:val="auto"/>
              </w:rPr>
            </w:pPr>
          </w:p>
        </w:tc>
      </w:tr>
      <w:tr>
        <w:trPr>
          <w:trHeight w:val="588"/>
        </w:trPr>
        <w:tc>
          <w:tcPr>
            <w:tcW w:w="1040" w:type="dxa"/>
            <w:vAlign w:val="bottom"/>
            <w:tcBorders>
              <w:bottom w:val="single" w:sz="8" w:color="012E6C"/>
            </w:tcBorders>
          </w:tcPr>
          <w:p>
            <w:pPr>
              <w:spacing w:after="0"/>
              <w:rPr>
                <w:sz w:val="24"/>
                <w:szCs w:val="24"/>
                <w:color w:val="auto"/>
              </w:rPr>
            </w:pPr>
          </w:p>
        </w:tc>
        <w:tc>
          <w:tcPr>
            <w:tcW w:w="1940" w:type="dxa"/>
            <w:vAlign w:val="bottom"/>
            <w:tcBorders>
              <w:bottom w:val="single" w:sz="8" w:color="012E6C"/>
            </w:tcBorders>
          </w:tcPr>
          <w:p>
            <w:pPr>
              <w:spacing w:after="0"/>
              <w:rPr>
                <w:sz w:val="24"/>
                <w:szCs w:val="24"/>
                <w:color w:val="auto"/>
              </w:rPr>
            </w:pPr>
          </w:p>
        </w:tc>
        <w:tc>
          <w:tcPr>
            <w:tcW w:w="1940" w:type="dxa"/>
            <w:vAlign w:val="bottom"/>
            <w:tcBorders>
              <w:bottom w:val="single" w:sz="8" w:color="012E6C"/>
            </w:tcBorders>
          </w:tcPr>
          <w:p>
            <w:pPr>
              <w:spacing w:after="0"/>
              <w:rPr>
                <w:sz w:val="24"/>
                <w:szCs w:val="24"/>
                <w:color w:val="auto"/>
              </w:rPr>
            </w:pPr>
          </w:p>
        </w:tc>
        <w:tc>
          <w:tcPr>
            <w:tcW w:w="2220" w:type="dxa"/>
            <w:vAlign w:val="bottom"/>
            <w:tcBorders>
              <w:bottom w:val="single" w:sz="8" w:color="012E6C"/>
            </w:tcBorders>
          </w:tcPr>
          <w:p>
            <w:pPr>
              <w:spacing w:after="0"/>
              <w:rPr>
                <w:sz w:val="24"/>
                <w:szCs w:val="24"/>
                <w:color w:val="auto"/>
              </w:rPr>
            </w:pPr>
          </w:p>
        </w:tc>
        <w:tc>
          <w:tcPr>
            <w:tcW w:w="2060" w:type="dxa"/>
            <w:vAlign w:val="bottom"/>
            <w:tcBorders>
              <w:bottom w:val="single" w:sz="8" w:color="012E6C"/>
            </w:tcBorders>
          </w:tcPr>
          <w:p>
            <w:pPr>
              <w:spacing w:after="0"/>
              <w:rPr>
                <w:sz w:val="24"/>
                <w:szCs w:val="24"/>
                <w:color w:val="auto"/>
              </w:rPr>
            </w:pPr>
          </w:p>
        </w:tc>
        <w:tc>
          <w:tcPr>
            <w:tcW w:w="2060" w:type="dxa"/>
            <w:vAlign w:val="bottom"/>
            <w:tcBorders>
              <w:bottom w:val="single" w:sz="8" w:color="012E6C"/>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040" w:type="dxa"/>
            <w:vAlign w:val="bottom"/>
            <w:tcBorders>
              <w:left w:val="single" w:sz="8" w:color="012E6C"/>
              <w:bottom w:val="single" w:sz="8" w:color="012E6C"/>
              <w:right w:val="single" w:sz="8" w:color="012E6C"/>
            </w:tcBorders>
          </w:tcPr>
          <w:p>
            <w:pPr>
              <w:spacing w:after="0"/>
              <w:rPr>
                <w:sz w:val="16"/>
                <w:szCs w:val="16"/>
                <w:color w:val="auto"/>
              </w:rPr>
            </w:pPr>
          </w:p>
        </w:tc>
        <w:tc>
          <w:tcPr>
            <w:tcW w:w="1940" w:type="dxa"/>
            <w:vAlign w:val="bottom"/>
            <w:tcBorders>
              <w:bottom w:val="single" w:sz="8" w:color="012E6C"/>
              <w:right w:val="single" w:sz="8" w:color="012E6C"/>
            </w:tcBorders>
          </w:tcPr>
          <w:p>
            <w:pPr>
              <w:ind w:left="640"/>
              <w:spacing w:after="0"/>
              <w:rPr>
                <w:sz w:val="20"/>
                <w:szCs w:val="20"/>
                <w:color w:val="auto"/>
              </w:rPr>
            </w:pPr>
            <w:r>
              <w:rPr>
                <w:rFonts w:ascii="Arial" w:cs="Arial" w:eastAsia="Arial" w:hAnsi="Arial"/>
                <w:sz w:val="13"/>
                <w:szCs w:val="13"/>
                <w:b w:val="1"/>
                <w:bCs w:val="1"/>
                <w:color w:val="auto"/>
              </w:rPr>
              <w:t>Retirement</w:t>
            </w:r>
          </w:p>
        </w:tc>
        <w:tc>
          <w:tcPr>
            <w:tcW w:w="1940" w:type="dxa"/>
            <w:vAlign w:val="bottom"/>
            <w:tcBorders>
              <w:bottom w:val="single" w:sz="8" w:color="012E6C"/>
              <w:right w:val="single" w:sz="8" w:color="012E6C"/>
            </w:tcBorders>
          </w:tcPr>
          <w:p>
            <w:pPr>
              <w:ind w:left="420"/>
              <w:spacing w:after="0"/>
              <w:rPr>
                <w:sz w:val="20"/>
                <w:szCs w:val="20"/>
                <w:color w:val="auto"/>
              </w:rPr>
            </w:pPr>
            <w:r>
              <w:rPr>
                <w:rFonts w:ascii="Arial" w:cs="Arial" w:eastAsia="Arial" w:hAnsi="Arial"/>
                <w:sz w:val="13"/>
                <w:szCs w:val="13"/>
                <w:b w:val="1"/>
                <w:bCs w:val="1"/>
                <w:color w:val="auto"/>
              </w:rPr>
              <w:t>Change in Control</w:t>
            </w:r>
          </w:p>
        </w:tc>
        <w:tc>
          <w:tcPr>
            <w:tcW w:w="2220" w:type="dxa"/>
            <w:vAlign w:val="bottom"/>
            <w:tcBorders>
              <w:bottom w:val="single" w:sz="8" w:color="012E6C"/>
              <w:right w:val="single" w:sz="8" w:color="012E6C"/>
            </w:tcBorders>
          </w:tcPr>
          <w:p>
            <w:pPr>
              <w:ind w:left="420"/>
              <w:spacing w:after="0"/>
              <w:rPr>
                <w:sz w:val="20"/>
                <w:szCs w:val="20"/>
                <w:color w:val="auto"/>
              </w:rPr>
            </w:pPr>
            <w:r>
              <w:rPr>
                <w:rFonts w:ascii="Arial" w:cs="Arial" w:eastAsia="Arial" w:hAnsi="Arial"/>
                <w:sz w:val="13"/>
                <w:szCs w:val="13"/>
                <w:b w:val="1"/>
                <w:bCs w:val="1"/>
                <w:color w:val="auto"/>
              </w:rPr>
              <w:t>Death/Disability/Layoff</w:t>
            </w:r>
          </w:p>
        </w:tc>
        <w:tc>
          <w:tcPr>
            <w:tcW w:w="2060" w:type="dxa"/>
            <w:vAlign w:val="bottom"/>
            <w:tcBorders>
              <w:bottom w:val="single" w:sz="8" w:color="012E6C"/>
              <w:right w:val="single" w:sz="8" w:color="012E6C"/>
            </w:tcBorders>
          </w:tcPr>
          <w:p>
            <w:pPr>
              <w:ind w:left="660"/>
              <w:spacing w:after="0"/>
              <w:rPr>
                <w:sz w:val="20"/>
                <w:szCs w:val="20"/>
                <w:color w:val="auto"/>
              </w:rPr>
            </w:pPr>
            <w:r>
              <w:rPr>
                <w:rFonts w:ascii="Arial" w:cs="Arial" w:eastAsia="Arial" w:hAnsi="Arial"/>
                <w:sz w:val="13"/>
                <w:szCs w:val="13"/>
                <w:b w:val="1"/>
                <w:bCs w:val="1"/>
                <w:color w:val="auto"/>
              </w:rPr>
              <w:t>Divestiture</w:t>
            </w:r>
            <w:r>
              <w:rPr>
                <w:rFonts w:ascii="Arial" w:cs="Arial" w:eastAsia="Arial" w:hAnsi="Arial"/>
                <w:sz w:val="16"/>
                <w:szCs w:val="16"/>
                <w:b w:val="1"/>
                <w:bCs w:val="1"/>
                <w:color w:val="auto"/>
                <w:vertAlign w:val="superscript"/>
              </w:rPr>
              <w:t>(1)</w:t>
            </w:r>
          </w:p>
        </w:tc>
        <w:tc>
          <w:tcPr>
            <w:tcW w:w="2060" w:type="dxa"/>
            <w:vAlign w:val="bottom"/>
            <w:tcBorders>
              <w:bottom w:val="single" w:sz="8" w:color="012E6C"/>
              <w:right w:val="single" w:sz="8" w:color="012E6C"/>
            </w:tcBorders>
          </w:tcPr>
          <w:p>
            <w:pPr>
              <w:ind w:left="280"/>
              <w:spacing w:after="0"/>
              <w:rPr>
                <w:sz w:val="20"/>
                <w:szCs w:val="20"/>
                <w:color w:val="auto"/>
              </w:rPr>
            </w:pPr>
            <w:r>
              <w:rPr>
                <w:rFonts w:ascii="Arial" w:cs="Arial" w:eastAsia="Arial" w:hAnsi="Arial"/>
                <w:sz w:val="13"/>
                <w:szCs w:val="13"/>
                <w:b w:val="1"/>
                <w:bCs w:val="1"/>
                <w:color w:val="auto"/>
              </w:rPr>
              <w:t>Termination/Resignation</w:t>
            </w:r>
          </w:p>
        </w:tc>
        <w:tc>
          <w:tcPr>
            <w:tcW w:w="0" w:type="dxa"/>
            <w:vAlign w:val="bottom"/>
          </w:tcPr>
          <w:p>
            <w:pPr>
              <w:spacing w:after="0"/>
              <w:rPr>
                <w:sz w:val="1"/>
                <w:szCs w:val="1"/>
                <w:color w:val="auto"/>
              </w:rPr>
            </w:pPr>
          </w:p>
        </w:tc>
      </w:tr>
      <w:tr>
        <w:trPr>
          <w:trHeight w:val="250"/>
        </w:trPr>
        <w:tc>
          <w:tcPr>
            <w:tcW w:w="1040" w:type="dxa"/>
            <w:vAlign w:val="bottom"/>
            <w:tcBorders>
              <w:left w:val="single" w:sz="8" w:color="012E6C"/>
              <w:right w:val="single" w:sz="8" w:color="012E6C"/>
            </w:tcBorders>
            <w:shd w:val="clear" w:color="auto" w:fill="E5E7EF"/>
          </w:tcPr>
          <w:p>
            <w:pPr>
              <w:spacing w:after="0"/>
              <w:rPr>
                <w:sz w:val="21"/>
                <w:szCs w:val="21"/>
                <w:color w:val="auto"/>
              </w:rPr>
            </w:pPr>
          </w:p>
        </w:tc>
        <w:tc>
          <w:tcPr>
            <w:tcW w:w="1940" w:type="dxa"/>
            <w:vAlign w:val="bottom"/>
            <w:tcBorders>
              <w:right w:val="single" w:sz="8" w:color="012E6C"/>
            </w:tcBorders>
            <w:shd w:val="clear" w:color="auto" w:fill="E5E7EF"/>
          </w:tcPr>
          <w:p>
            <w:pPr>
              <w:spacing w:after="0"/>
              <w:rPr>
                <w:sz w:val="21"/>
                <w:szCs w:val="21"/>
                <w:color w:val="auto"/>
              </w:rPr>
            </w:pPr>
          </w:p>
        </w:tc>
        <w:tc>
          <w:tcPr>
            <w:tcW w:w="1940" w:type="dxa"/>
            <w:vAlign w:val="bottom"/>
            <w:tcBorders>
              <w:right w:val="single" w:sz="8" w:color="012E6C"/>
            </w:tcBorders>
            <w:shd w:val="clear" w:color="auto" w:fill="E5E7EF"/>
          </w:tcPr>
          <w:p>
            <w:pPr>
              <w:spacing w:after="0"/>
              <w:rPr>
                <w:sz w:val="21"/>
                <w:szCs w:val="21"/>
                <w:color w:val="auto"/>
              </w:rPr>
            </w:pPr>
          </w:p>
        </w:tc>
        <w:tc>
          <w:tcPr>
            <w:tcW w:w="2220" w:type="dxa"/>
            <w:vAlign w:val="bottom"/>
            <w:tcBorders>
              <w:right w:val="single" w:sz="8" w:color="012E6C"/>
            </w:tcBorders>
            <w:shd w:val="clear" w:color="auto" w:fill="E5E7EF"/>
          </w:tcPr>
          <w:p>
            <w:pPr>
              <w:ind w:left="100"/>
              <w:spacing w:after="0"/>
              <w:rPr>
                <w:sz w:val="20"/>
                <w:szCs w:val="20"/>
                <w:color w:val="auto"/>
              </w:rPr>
            </w:pPr>
            <w:r>
              <w:rPr>
                <w:rFonts w:ascii="Arial" w:cs="Arial" w:eastAsia="Arial" w:hAnsi="Arial"/>
                <w:sz w:val="14"/>
                <w:szCs w:val="14"/>
                <w:color w:val="auto"/>
              </w:rPr>
              <w:t>Qualified: Spousal annuity</w:t>
            </w:r>
          </w:p>
        </w:tc>
        <w:tc>
          <w:tcPr>
            <w:tcW w:w="2060" w:type="dxa"/>
            <w:vAlign w:val="bottom"/>
            <w:tcBorders>
              <w:right w:val="single" w:sz="8" w:color="012E6C"/>
            </w:tcBorders>
            <w:shd w:val="clear" w:color="auto" w:fill="E5E7EF"/>
          </w:tcPr>
          <w:p>
            <w:pPr>
              <w:spacing w:after="0"/>
              <w:rPr>
                <w:sz w:val="21"/>
                <w:szCs w:val="21"/>
                <w:color w:val="auto"/>
              </w:rPr>
            </w:pPr>
          </w:p>
        </w:tc>
        <w:tc>
          <w:tcPr>
            <w:tcW w:w="2060" w:type="dxa"/>
            <w:vAlign w:val="bottom"/>
            <w:tcBorders>
              <w:right w:val="single" w:sz="8" w:color="012E6C"/>
            </w:tcBorders>
            <w:shd w:val="clear" w:color="auto" w:fill="E5E7E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040" w:type="dxa"/>
            <w:vAlign w:val="bottom"/>
            <w:tcBorders>
              <w:left w:val="single" w:sz="8" w:color="012E6C"/>
              <w:right w:val="single" w:sz="8" w:color="012E6C"/>
            </w:tcBorders>
            <w:shd w:val="clear" w:color="auto" w:fill="E5E7EF"/>
          </w:tcPr>
          <w:p>
            <w:pPr>
              <w:spacing w:after="0"/>
              <w:rPr>
                <w:sz w:val="15"/>
                <w:szCs w:val="15"/>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Qualified: Annuity payable</w:t>
            </w:r>
          </w:p>
        </w:tc>
        <w:tc>
          <w:tcPr>
            <w:tcW w:w="1940" w:type="dxa"/>
            <w:vAlign w:val="bottom"/>
            <w:tcBorders>
              <w:right w:val="single" w:sz="8" w:color="012E6C"/>
            </w:tcBorders>
            <w:shd w:val="clear" w:color="auto" w:fill="E5E7EF"/>
          </w:tcPr>
          <w:p>
            <w:pPr>
              <w:spacing w:after="0"/>
              <w:rPr>
                <w:sz w:val="15"/>
                <w:szCs w:val="15"/>
                <w:color w:val="auto"/>
              </w:rPr>
            </w:pPr>
          </w:p>
        </w:tc>
        <w:tc>
          <w:tcPr>
            <w:tcW w:w="2220" w:type="dxa"/>
            <w:vAlign w:val="bottom"/>
            <w:tcBorders>
              <w:right w:val="single" w:sz="8" w:color="012E6C"/>
            </w:tcBorders>
            <w:shd w:val="clear" w:color="auto" w:fill="E5E7EF"/>
          </w:tcPr>
          <w:p>
            <w:pPr>
              <w:ind w:left="100"/>
              <w:spacing w:after="0"/>
              <w:rPr>
                <w:sz w:val="20"/>
                <w:szCs w:val="20"/>
                <w:color w:val="auto"/>
              </w:rPr>
            </w:pPr>
            <w:r>
              <w:rPr>
                <w:rFonts w:ascii="Arial" w:cs="Arial" w:eastAsia="Arial" w:hAnsi="Arial"/>
                <w:sz w:val="14"/>
                <w:szCs w:val="14"/>
                <w:color w:val="auto"/>
              </w:rPr>
              <w:t>benefit as required by law in</w:t>
            </w:r>
          </w:p>
        </w:tc>
        <w:tc>
          <w:tcPr>
            <w:tcW w:w="2060" w:type="dxa"/>
            <w:vAlign w:val="bottom"/>
            <w:tcBorders>
              <w:right w:val="single" w:sz="8" w:color="012E6C"/>
            </w:tcBorders>
            <w:shd w:val="clear" w:color="auto" w:fill="E5E7EF"/>
          </w:tcPr>
          <w:p>
            <w:pPr>
              <w:spacing w:after="0"/>
              <w:rPr>
                <w:sz w:val="15"/>
                <w:szCs w:val="15"/>
                <w:color w:val="auto"/>
              </w:rPr>
            </w:pPr>
          </w:p>
        </w:tc>
        <w:tc>
          <w:tcPr>
            <w:tcW w:w="2060" w:type="dxa"/>
            <w:vAlign w:val="bottom"/>
            <w:tcBorders>
              <w:right w:val="single" w:sz="8" w:color="012E6C"/>
            </w:tcBorders>
            <w:shd w:val="clear" w:color="auto" w:fill="E5E7EF"/>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040" w:type="dxa"/>
            <w:vAlign w:val="bottom"/>
            <w:tcBorders>
              <w:left w:val="single" w:sz="8" w:color="012E6C"/>
              <w:right w:val="single" w:sz="8" w:color="012E6C"/>
            </w:tcBorders>
            <w:shd w:val="clear" w:color="auto" w:fill="E5E7EF"/>
          </w:tcPr>
          <w:p>
            <w:pPr>
              <w:spacing w:after="0"/>
              <w:rPr>
                <w:sz w:val="7"/>
                <w:szCs w:val="7"/>
                <w:color w:val="auto"/>
              </w:rPr>
            </w:pPr>
          </w:p>
        </w:tc>
        <w:tc>
          <w:tcPr>
            <w:tcW w:w="1940" w:type="dxa"/>
            <w:vAlign w:val="bottom"/>
            <w:tcBorders>
              <w:right w:val="single" w:sz="8" w:color="012E6C"/>
            </w:tcBorders>
            <w:vMerge w:val="continue"/>
            <w:shd w:val="clear" w:color="auto" w:fill="E5E7EF"/>
          </w:tcPr>
          <w:p>
            <w:pPr>
              <w:spacing w:after="0"/>
              <w:rPr>
                <w:sz w:val="7"/>
                <w:szCs w:val="7"/>
                <w:color w:val="auto"/>
              </w:rPr>
            </w:pPr>
          </w:p>
        </w:tc>
        <w:tc>
          <w:tcPr>
            <w:tcW w:w="1940" w:type="dxa"/>
            <w:vAlign w:val="bottom"/>
            <w:tcBorders>
              <w:right w:val="single" w:sz="8" w:color="012E6C"/>
            </w:tcBorders>
            <w:shd w:val="clear" w:color="auto" w:fill="E5E7EF"/>
          </w:tcPr>
          <w:p>
            <w:pPr>
              <w:spacing w:after="0"/>
              <w:rPr>
                <w:sz w:val="7"/>
                <w:szCs w:val="7"/>
                <w:color w:val="auto"/>
              </w:rPr>
            </w:pPr>
          </w:p>
        </w:tc>
        <w:tc>
          <w:tcPr>
            <w:tcW w:w="222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event of death unless waived</w:t>
            </w:r>
          </w:p>
        </w:tc>
        <w:tc>
          <w:tcPr>
            <w:tcW w:w="206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040" w:type="dxa"/>
            <w:vAlign w:val="bottom"/>
            <w:tcBorders>
              <w:left w:val="single" w:sz="8" w:color="012E6C"/>
              <w:right w:val="single" w:sz="8" w:color="012E6C"/>
            </w:tcBorders>
            <w:shd w:val="clear" w:color="auto" w:fill="E5E7EF"/>
          </w:tcPr>
          <w:p>
            <w:pPr>
              <w:spacing w:after="0"/>
              <w:rPr>
                <w:sz w:val="8"/>
                <w:szCs w:val="8"/>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on a reduced basis at age</w:t>
            </w:r>
          </w:p>
        </w:tc>
        <w:tc>
          <w:tcPr>
            <w:tcW w:w="1940" w:type="dxa"/>
            <w:vAlign w:val="bottom"/>
            <w:tcBorders>
              <w:right w:val="single" w:sz="8" w:color="012E6C"/>
            </w:tcBorders>
            <w:shd w:val="clear" w:color="auto" w:fill="E5E7EF"/>
          </w:tcPr>
          <w:p>
            <w:pPr>
              <w:spacing w:after="0"/>
              <w:rPr>
                <w:sz w:val="8"/>
                <w:szCs w:val="8"/>
                <w:color w:val="auto"/>
              </w:rPr>
            </w:pPr>
          </w:p>
        </w:tc>
        <w:tc>
          <w:tcPr>
            <w:tcW w:w="2220" w:type="dxa"/>
            <w:vAlign w:val="bottom"/>
            <w:tcBorders>
              <w:right w:val="single" w:sz="8" w:color="012E6C"/>
            </w:tcBorders>
            <w:vMerge w:val="continue"/>
            <w:shd w:val="clear" w:color="auto" w:fill="E5E7EF"/>
          </w:tcPr>
          <w:p>
            <w:pPr>
              <w:spacing w:after="0"/>
              <w:rPr>
                <w:sz w:val="8"/>
                <w:szCs w:val="8"/>
                <w:color w:val="auto"/>
              </w:rPr>
            </w:pPr>
          </w:p>
        </w:tc>
        <w:tc>
          <w:tcPr>
            <w:tcW w:w="2060" w:type="dxa"/>
            <w:vAlign w:val="bottom"/>
            <w:tcBorders>
              <w:right w:val="single" w:sz="8" w:color="012E6C"/>
            </w:tcBorders>
            <w:shd w:val="clear" w:color="auto" w:fill="E5E7EF"/>
          </w:tcPr>
          <w:p>
            <w:pPr>
              <w:spacing w:after="0"/>
              <w:rPr>
                <w:sz w:val="8"/>
                <w:szCs w:val="8"/>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Qualified: Annuity payable</w:t>
            </w:r>
          </w:p>
        </w:tc>
        <w:tc>
          <w:tcPr>
            <w:tcW w:w="0" w:type="dxa"/>
            <w:vAlign w:val="bottom"/>
          </w:tcPr>
          <w:p>
            <w:pPr>
              <w:spacing w:after="0"/>
              <w:rPr>
                <w:sz w:val="1"/>
                <w:szCs w:val="1"/>
                <w:color w:val="auto"/>
              </w:rPr>
            </w:pPr>
          </w:p>
        </w:tc>
      </w:tr>
      <w:tr>
        <w:trPr>
          <w:trHeight w:val="81"/>
        </w:trPr>
        <w:tc>
          <w:tcPr>
            <w:tcW w:w="1040" w:type="dxa"/>
            <w:vAlign w:val="bottom"/>
            <w:tcBorders>
              <w:left w:val="single" w:sz="8" w:color="012E6C"/>
              <w:right w:val="single" w:sz="8" w:color="012E6C"/>
            </w:tcBorders>
            <w:shd w:val="clear" w:color="auto" w:fill="E5E7EF"/>
          </w:tcPr>
          <w:p>
            <w:pPr>
              <w:spacing w:after="0"/>
              <w:rPr>
                <w:sz w:val="7"/>
                <w:szCs w:val="7"/>
                <w:color w:val="auto"/>
              </w:rPr>
            </w:pPr>
          </w:p>
        </w:tc>
        <w:tc>
          <w:tcPr>
            <w:tcW w:w="1940" w:type="dxa"/>
            <w:vAlign w:val="bottom"/>
            <w:tcBorders>
              <w:right w:val="single" w:sz="8" w:color="012E6C"/>
            </w:tcBorders>
            <w:vMerge w:val="continue"/>
            <w:shd w:val="clear" w:color="auto" w:fill="E5E7EF"/>
          </w:tcPr>
          <w:p>
            <w:pPr>
              <w:spacing w:after="0"/>
              <w:rPr>
                <w:sz w:val="7"/>
                <w:szCs w:val="7"/>
                <w:color w:val="auto"/>
              </w:rPr>
            </w:pPr>
          </w:p>
        </w:tc>
        <w:tc>
          <w:tcPr>
            <w:tcW w:w="1940" w:type="dxa"/>
            <w:vAlign w:val="bottom"/>
            <w:tcBorders>
              <w:right w:val="single" w:sz="8" w:color="012E6C"/>
            </w:tcBorders>
            <w:shd w:val="clear" w:color="auto" w:fill="E5E7EF"/>
          </w:tcPr>
          <w:p>
            <w:pPr>
              <w:spacing w:after="0"/>
              <w:rPr>
                <w:sz w:val="7"/>
                <w:szCs w:val="7"/>
                <w:color w:val="auto"/>
              </w:rPr>
            </w:pPr>
          </w:p>
        </w:tc>
        <w:tc>
          <w:tcPr>
            <w:tcW w:w="222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by spouse. For either (i)</w:t>
            </w:r>
          </w:p>
        </w:tc>
        <w:tc>
          <w:tcPr>
            <w:tcW w:w="206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vMerge w:val="continue"/>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040" w:type="dxa"/>
            <w:vAlign w:val="bottom"/>
            <w:tcBorders>
              <w:left w:val="single" w:sz="8" w:color="012E6C"/>
              <w:right w:val="single" w:sz="8" w:color="012E6C"/>
            </w:tcBorders>
            <w:shd w:val="clear" w:color="auto" w:fill="E5E7EF"/>
          </w:tcPr>
          <w:p>
            <w:pPr>
              <w:spacing w:after="0"/>
              <w:rPr>
                <w:sz w:val="8"/>
                <w:szCs w:val="8"/>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55; annuity payable on a</w:t>
            </w:r>
          </w:p>
        </w:tc>
        <w:tc>
          <w:tcPr>
            <w:tcW w:w="1940" w:type="dxa"/>
            <w:vAlign w:val="bottom"/>
            <w:tcBorders>
              <w:right w:val="single" w:sz="8" w:color="012E6C"/>
            </w:tcBorders>
            <w:shd w:val="clear" w:color="auto" w:fill="E5E7EF"/>
          </w:tcPr>
          <w:p>
            <w:pPr>
              <w:spacing w:after="0"/>
              <w:rPr>
                <w:sz w:val="8"/>
                <w:szCs w:val="8"/>
                <w:color w:val="auto"/>
              </w:rPr>
            </w:pPr>
          </w:p>
        </w:tc>
        <w:tc>
          <w:tcPr>
            <w:tcW w:w="2220" w:type="dxa"/>
            <w:vAlign w:val="bottom"/>
            <w:tcBorders>
              <w:right w:val="single" w:sz="8" w:color="012E6C"/>
            </w:tcBorders>
            <w:vMerge w:val="continue"/>
            <w:shd w:val="clear" w:color="auto" w:fill="E5E7EF"/>
          </w:tcPr>
          <w:p>
            <w:pPr>
              <w:spacing w:after="0"/>
              <w:rPr>
                <w:sz w:val="8"/>
                <w:szCs w:val="8"/>
                <w:color w:val="auto"/>
              </w:rPr>
            </w:pPr>
          </w:p>
        </w:tc>
        <w:tc>
          <w:tcPr>
            <w:tcW w:w="2060" w:type="dxa"/>
            <w:vAlign w:val="bottom"/>
            <w:tcBorders>
              <w:right w:val="single" w:sz="8" w:color="012E6C"/>
            </w:tcBorders>
            <w:shd w:val="clear" w:color="auto" w:fill="E5E7EF"/>
          </w:tcPr>
          <w:p>
            <w:pPr>
              <w:spacing w:after="0"/>
              <w:rPr>
                <w:sz w:val="8"/>
                <w:szCs w:val="8"/>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on a reduced basis at age</w:t>
            </w:r>
          </w:p>
        </w:tc>
        <w:tc>
          <w:tcPr>
            <w:tcW w:w="0" w:type="dxa"/>
            <w:vAlign w:val="bottom"/>
          </w:tcPr>
          <w:p>
            <w:pPr>
              <w:spacing w:after="0"/>
              <w:rPr>
                <w:sz w:val="1"/>
                <w:szCs w:val="1"/>
                <w:color w:val="auto"/>
              </w:rPr>
            </w:pPr>
          </w:p>
        </w:tc>
      </w:tr>
      <w:tr>
        <w:trPr>
          <w:trHeight w:val="81"/>
        </w:trPr>
        <w:tc>
          <w:tcPr>
            <w:tcW w:w="1040" w:type="dxa"/>
            <w:vAlign w:val="bottom"/>
            <w:tcBorders>
              <w:left w:val="single" w:sz="8" w:color="012E6C"/>
              <w:right w:val="single" w:sz="8" w:color="012E6C"/>
            </w:tcBorders>
            <w:shd w:val="clear" w:color="auto" w:fill="E5E7EF"/>
          </w:tcPr>
          <w:p>
            <w:pPr>
              <w:spacing w:after="0"/>
              <w:rPr>
                <w:sz w:val="7"/>
                <w:szCs w:val="7"/>
                <w:color w:val="auto"/>
              </w:rPr>
            </w:pPr>
          </w:p>
        </w:tc>
        <w:tc>
          <w:tcPr>
            <w:tcW w:w="1940" w:type="dxa"/>
            <w:vAlign w:val="bottom"/>
            <w:tcBorders>
              <w:right w:val="single" w:sz="8" w:color="012E6C"/>
            </w:tcBorders>
            <w:vMerge w:val="continue"/>
            <w:shd w:val="clear" w:color="auto" w:fill="E5E7EF"/>
          </w:tcPr>
          <w:p>
            <w:pPr>
              <w:spacing w:after="0"/>
              <w:rPr>
                <w:sz w:val="7"/>
                <w:szCs w:val="7"/>
                <w:color w:val="auto"/>
              </w:rPr>
            </w:pPr>
          </w:p>
        </w:tc>
        <w:tc>
          <w:tcPr>
            <w:tcW w:w="1940" w:type="dxa"/>
            <w:vAlign w:val="bottom"/>
            <w:tcBorders>
              <w:right w:val="single" w:sz="8" w:color="012E6C"/>
            </w:tcBorders>
            <w:shd w:val="clear" w:color="auto" w:fill="E5E7EF"/>
          </w:tcPr>
          <w:p>
            <w:pPr>
              <w:spacing w:after="0"/>
              <w:rPr>
                <w:sz w:val="7"/>
                <w:szCs w:val="7"/>
                <w:color w:val="auto"/>
              </w:rPr>
            </w:pPr>
          </w:p>
        </w:tc>
        <w:tc>
          <w:tcPr>
            <w:tcW w:w="222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disability between age 53 and</w:t>
            </w:r>
          </w:p>
        </w:tc>
        <w:tc>
          <w:tcPr>
            <w:tcW w:w="206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vMerge w:val="continue"/>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040" w:type="dxa"/>
            <w:vAlign w:val="bottom"/>
            <w:tcBorders>
              <w:left w:val="single" w:sz="8" w:color="012E6C"/>
              <w:right w:val="single" w:sz="8" w:color="012E6C"/>
            </w:tcBorders>
            <w:shd w:val="clear" w:color="auto" w:fill="E5E7EF"/>
          </w:tcPr>
          <w:p>
            <w:pPr>
              <w:spacing w:after="0"/>
              <w:rPr>
                <w:sz w:val="8"/>
                <w:szCs w:val="8"/>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non-reduced basis at age</w:t>
            </w:r>
          </w:p>
        </w:tc>
        <w:tc>
          <w:tcPr>
            <w:tcW w:w="1940" w:type="dxa"/>
            <w:vAlign w:val="bottom"/>
            <w:tcBorders>
              <w:right w:val="single" w:sz="8" w:color="012E6C"/>
            </w:tcBorders>
            <w:shd w:val="clear" w:color="auto" w:fill="E5E7EF"/>
          </w:tcPr>
          <w:p>
            <w:pPr>
              <w:spacing w:after="0"/>
              <w:rPr>
                <w:sz w:val="8"/>
                <w:szCs w:val="8"/>
                <w:color w:val="auto"/>
              </w:rPr>
            </w:pPr>
          </w:p>
        </w:tc>
        <w:tc>
          <w:tcPr>
            <w:tcW w:w="2220" w:type="dxa"/>
            <w:vAlign w:val="bottom"/>
            <w:tcBorders>
              <w:right w:val="single" w:sz="8" w:color="012E6C"/>
            </w:tcBorders>
            <w:vMerge w:val="continue"/>
            <w:shd w:val="clear" w:color="auto" w:fill="E5E7EF"/>
          </w:tcPr>
          <w:p>
            <w:pPr>
              <w:spacing w:after="0"/>
              <w:rPr>
                <w:sz w:val="8"/>
                <w:szCs w:val="8"/>
                <w:color w:val="auto"/>
              </w:rPr>
            </w:pPr>
          </w:p>
        </w:tc>
        <w:tc>
          <w:tcPr>
            <w:tcW w:w="2060" w:type="dxa"/>
            <w:vAlign w:val="bottom"/>
            <w:tcBorders>
              <w:right w:val="single" w:sz="8" w:color="012E6C"/>
            </w:tcBorders>
            <w:shd w:val="clear" w:color="auto" w:fill="E5E7EF"/>
          </w:tcPr>
          <w:p>
            <w:pPr>
              <w:spacing w:after="0"/>
              <w:rPr>
                <w:sz w:val="8"/>
                <w:szCs w:val="8"/>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55; annuity payable on a</w:t>
            </w:r>
          </w:p>
        </w:tc>
        <w:tc>
          <w:tcPr>
            <w:tcW w:w="0" w:type="dxa"/>
            <w:vAlign w:val="bottom"/>
          </w:tcPr>
          <w:p>
            <w:pPr>
              <w:spacing w:after="0"/>
              <w:rPr>
                <w:sz w:val="1"/>
                <w:szCs w:val="1"/>
                <w:color w:val="auto"/>
              </w:rPr>
            </w:pPr>
          </w:p>
        </w:tc>
      </w:tr>
      <w:tr>
        <w:trPr>
          <w:trHeight w:val="81"/>
        </w:trPr>
        <w:tc>
          <w:tcPr>
            <w:tcW w:w="1040" w:type="dxa"/>
            <w:vAlign w:val="bottom"/>
            <w:tcBorders>
              <w:left w:val="single" w:sz="8" w:color="012E6C"/>
              <w:right w:val="single" w:sz="8" w:color="012E6C"/>
            </w:tcBorders>
            <w:shd w:val="clear" w:color="auto" w:fill="E5E7EF"/>
          </w:tcPr>
          <w:p>
            <w:pPr>
              <w:spacing w:after="0"/>
              <w:rPr>
                <w:sz w:val="7"/>
                <w:szCs w:val="7"/>
                <w:color w:val="auto"/>
              </w:rPr>
            </w:pPr>
          </w:p>
        </w:tc>
        <w:tc>
          <w:tcPr>
            <w:tcW w:w="1940" w:type="dxa"/>
            <w:vAlign w:val="bottom"/>
            <w:tcBorders>
              <w:right w:val="single" w:sz="8" w:color="012E6C"/>
            </w:tcBorders>
            <w:vMerge w:val="continue"/>
            <w:shd w:val="clear" w:color="auto" w:fill="E5E7EF"/>
          </w:tcPr>
          <w:p>
            <w:pPr>
              <w:spacing w:after="0"/>
              <w:rPr>
                <w:sz w:val="7"/>
                <w:szCs w:val="7"/>
                <w:color w:val="auto"/>
              </w:rPr>
            </w:pPr>
          </w:p>
        </w:tc>
        <w:tc>
          <w:tcPr>
            <w:tcW w:w="1940" w:type="dxa"/>
            <w:vAlign w:val="bottom"/>
            <w:tcBorders>
              <w:right w:val="single" w:sz="8" w:color="012E6C"/>
            </w:tcBorders>
            <w:shd w:val="clear" w:color="auto" w:fill="E5E7EF"/>
          </w:tcPr>
          <w:p>
            <w:pPr>
              <w:spacing w:after="0"/>
              <w:rPr>
                <w:sz w:val="7"/>
                <w:szCs w:val="7"/>
                <w:color w:val="auto"/>
              </w:rPr>
            </w:pPr>
          </w:p>
        </w:tc>
        <w:tc>
          <w:tcPr>
            <w:tcW w:w="222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55 with eight years of service or</w:t>
            </w:r>
          </w:p>
        </w:tc>
        <w:tc>
          <w:tcPr>
            <w:tcW w:w="206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vMerge w:val="continue"/>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040" w:type="dxa"/>
            <w:vAlign w:val="bottom"/>
            <w:tcBorders>
              <w:left w:val="single" w:sz="8" w:color="012E6C"/>
              <w:right w:val="single" w:sz="8" w:color="012E6C"/>
            </w:tcBorders>
            <w:shd w:val="clear" w:color="auto" w:fill="E5E7EF"/>
          </w:tcPr>
          <w:p>
            <w:pPr>
              <w:spacing w:after="0"/>
              <w:rPr>
                <w:sz w:val="8"/>
                <w:szCs w:val="8"/>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60; steeper reduction for</w:t>
            </w:r>
          </w:p>
        </w:tc>
        <w:tc>
          <w:tcPr>
            <w:tcW w:w="1940" w:type="dxa"/>
            <w:vAlign w:val="bottom"/>
            <w:tcBorders>
              <w:right w:val="single" w:sz="8" w:color="012E6C"/>
            </w:tcBorders>
            <w:shd w:val="clear" w:color="auto" w:fill="E5E7EF"/>
          </w:tcPr>
          <w:p>
            <w:pPr>
              <w:spacing w:after="0"/>
              <w:rPr>
                <w:sz w:val="8"/>
                <w:szCs w:val="8"/>
                <w:color w:val="auto"/>
              </w:rPr>
            </w:pPr>
          </w:p>
        </w:tc>
        <w:tc>
          <w:tcPr>
            <w:tcW w:w="2220" w:type="dxa"/>
            <w:vAlign w:val="bottom"/>
            <w:tcBorders>
              <w:right w:val="single" w:sz="8" w:color="012E6C"/>
            </w:tcBorders>
            <w:vMerge w:val="continue"/>
            <w:shd w:val="clear" w:color="auto" w:fill="E5E7EF"/>
          </w:tcPr>
          <w:p>
            <w:pPr>
              <w:spacing w:after="0"/>
              <w:rPr>
                <w:sz w:val="8"/>
                <w:szCs w:val="8"/>
                <w:color w:val="auto"/>
              </w:rPr>
            </w:pPr>
          </w:p>
        </w:tc>
        <w:tc>
          <w:tcPr>
            <w:tcW w:w="2060" w:type="dxa"/>
            <w:vAlign w:val="bottom"/>
            <w:tcBorders>
              <w:right w:val="single" w:sz="8" w:color="012E6C"/>
            </w:tcBorders>
            <w:shd w:val="clear" w:color="auto" w:fill="E5E7EF"/>
          </w:tcPr>
          <w:p>
            <w:pPr>
              <w:spacing w:after="0"/>
              <w:rPr>
                <w:sz w:val="8"/>
                <w:szCs w:val="8"/>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non-reduced basis at age</w:t>
            </w:r>
          </w:p>
        </w:tc>
        <w:tc>
          <w:tcPr>
            <w:tcW w:w="0" w:type="dxa"/>
            <w:vAlign w:val="bottom"/>
          </w:tcPr>
          <w:p>
            <w:pPr>
              <w:spacing w:after="0"/>
              <w:rPr>
                <w:sz w:val="1"/>
                <w:szCs w:val="1"/>
                <w:color w:val="auto"/>
              </w:rPr>
            </w:pPr>
          </w:p>
        </w:tc>
      </w:tr>
      <w:tr>
        <w:trPr>
          <w:trHeight w:val="81"/>
        </w:trPr>
        <w:tc>
          <w:tcPr>
            <w:tcW w:w="1040" w:type="dxa"/>
            <w:vAlign w:val="bottom"/>
            <w:tcBorders>
              <w:left w:val="single" w:sz="8" w:color="012E6C"/>
              <w:right w:val="single" w:sz="8" w:color="012E6C"/>
            </w:tcBorders>
            <w:shd w:val="clear" w:color="auto" w:fill="E5E7EF"/>
          </w:tcPr>
          <w:p>
            <w:pPr>
              <w:spacing w:after="0"/>
              <w:rPr>
                <w:sz w:val="7"/>
                <w:szCs w:val="7"/>
                <w:color w:val="auto"/>
              </w:rPr>
            </w:pPr>
          </w:p>
        </w:tc>
        <w:tc>
          <w:tcPr>
            <w:tcW w:w="1940" w:type="dxa"/>
            <w:vAlign w:val="bottom"/>
            <w:tcBorders>
              <w:right w:val="single" w:sz="8" w:color="012E6C"/>
            </w:tcBorders>
            <w:vMerge w:val="continue"/>
            <w:shd w:val="clear" w:color="auto" w:fill="E5E7EF"/>
          </w:tcPr>
          <w:p>
            <w:pPr>
              <w:spacing w:after="0"/>
              <w:rPr>
                <w:sz w:val="7"/>
                <w:szCs w:val="7"/>
                <w:color w:val="auto"/>
              </w:rPr>
            </w:pPr>
          </w:p>
        </w:tc>
        <w:tc>
          <w:tcPr>
            <w:tcW w:w="1940" w:type="dxa"/>
            <w:vAlign w:val="bottom"/>
            <w:tcBorders>
              <w:right w:val="single" w:sz="8" w:color="012E6C"/>
            </w:tcBorders>
            <w:shd w:val="clear" w:color="auto" w:fill="E5E7EF"/>
          </w:tcPr>
          <w:p>
            <w:pPr>
              <w:spacing w:after="0"/>
              <w:rPr>
                <w:sz w:val="7"/>
                <w:szCs w:val="7"/>
                <w:color w:val="auto"/>
              </w:rPr>
            </w:pPr>
          </w:p>
        </w:tc>
        <w:tc>
          <w:tcPr>
            <w:tcW w:w="222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(ii) layoff between age 53 and</w:t>
            </w:r>
          </w:p>
        </w:tc>
        <w:tc>
          <w:tcPr>
            <w:tcW w:w="206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vMerge w:val="continue"/>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040" w:type="dxa"/>
            <w:vAlign w:val="bottom"/>
            <w:tcBorders>
              <w:left w:val="single" w:sz="8" w:color="012E6C"/>
              <w:right w:val="single" w:sz="8" w:color="012E6C"/>
            </w:tcBorders>
            <w:shd w:val="clear" w:color="auto" w:fill="E5E7EF"/>
          </w:tcPr>
          <w:p>
            <w:pPr>
              <w:spacing w:after="0"/>
              <w:rPr>
                <w:sz w:val="8"/>
                <w:szCs w:val="8"/>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early commencement at</w:t>
            </w:r>
          </w:p>
        </w:tc>
        <w:tc>
          <w:tcPr>
            <w:tcW w:w="1940" w:type="dxa"/>
            <w:vAlign w:val="bottom"/>
            <w:tcBorders>
              <w:right w:val="single" w:sz="8" w:color="012E6C"/>
            </w:tcBorders>
            <w:shd w:val="clear" w:color="auto" w:fill="E5E7EF"/>
          </w:tcPr>
          <w:p>
            <w:pPr>
              <w:spacing w:after="0"/>
              <w:rPr>
                <w:sz w:val="8"/>
                <w:szCs w:val="8"/>
                <w:color w:val="auto"/>
              </w:rPr>
            </w:pPr>
          </w:p>
        </w:tc>
        <w:tc>
          <w:tcPr>
            <w:tcW w:w="2220" w:type="dxa"/>
            <w:vAlign w:val="bottom"/>
            <w:tcBorders>
              <w:right w:val="single" w:sz="8" w:color="012E6C"/>
            </w:tcBorders>
            <w:vMerge w:val="continue"/>
            <w:shd w:val="clear" w:color="auto" w:fill="E5E7EF"/>
          </w:tcPr>
          <w:p>
            <w:pPr>
              <w:spacing w:after="0"/>
              <w:rPr>
                <w:sz w:val="8"/>
                <w:szCs w:val="8"/>
                <w:color w:val="auto"/>
              </w:rPr>
            </w:pPr>
          </w:p>
        </w:tc>
        <w:tc>
          <w:tcPr>
            <w:tcW w:w="2060" w:type="dxa"/>
            <w:vAlign w:val="bottom"/>
            <w:tcBorders>
              <w:right w:val="single" w:sz="8" w:color="012E6C"/>
            </w:tcBorders>
            <w:shd w:val="clear" w:color="auto" w:fill="E5E7EF"/>
          </w:tcPr>
          <w:p>
            <w:pPr>
              <w:spacing w:after="0"/>
              <w:rPr>
                <w:sz w:val="8"/>
                <w:szCs w:val="8"/>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60; steeper reduction for</w:t>
            </w:r>
          </w:p>
        </w:tc>
        <w:tc>
          <w:tcPr>
            <w:tcW w:w="0" w:type="dxa"/>
            <w:vAlign w:val="bottom"/>
          </w:tcPr>
          <w:p>
            <w:pPr>
              <w:spacing w:after="0"/>
              <w:rPr>
                <w:sz w:val="1"/>
                <w:szCs w:val="1"/>
                <w:color w:val="auto"/>
              </w:rPr>
            </w:pPr>
          </w:p>
        </w:tc>
      </w:tr>
      <w:tr>
        <w:trPr>
          <w:trHeight w:val="81"/>
        </w:trPr>
        <w:tc>
          <w:tcPr>
            <w:tcW w:w="1040" w:type="dxa"/>
            <w:vAlign w:val="bottom"/>
            <w:tcBorders>
              <w:left w:val="single" w:sz="8" w:color="012E6C"/>
              <w:right w:val="single" w:sz="8" w:color="012E6C"/>
            </w:tcBorders>
            <w:shd w:val="clear" w:color="auto" w:fill="E5E7EF"/>
          </w:tcPr>
          <w:p>
            <w:pPr>
              <w:spacing w:after="0"/>
              <w:rPr>
                <w:sz w:val="7"/>
                <w:szCs w:val="7"/>
                <w:color w:val="auto"/>
              </w:rPr>
            </w:pPr>
          </w:p>
        </w:tc>
        <w:tc>
          <w:tcPr>
            <w:tcW w:w="1940" w:type="dxa"/>
            <w:vAlign w:val="bottom"/>
            <w:tcBorders>
              <w:right w:val="single" w:sz="8" w:color="012E6C"/>
            </w:tcBorders>
            <w:vMerge w:val="continue"/>
            <w:shd w:val="clear" w:color="auto" w:fill="E5E7EF"/>
          </w:tcPr>
          <w:p>
            <w:pPr>
              <w:spacing w:after="0"/>
              <w:rPr>
                <w:sz w:val="7"/>
                <w:szCs w:val="7"/>
                <w:color w:val="auto"/>
              </w:rPr>
            </w:pPr>
          </w:p>
        </w:tc>
        <w:tc>
          <w:tcPr>
            <w:tcW w:w="1940" w:type="dxa"/>
            <w:vAlign w:val="bottom"/>
            <w:tcBorders>
              <w:right w:val="single" w:sz="8" w:color="012E6C"/>
            </w:tcBorders>
            <w:shd w:val="clear" w:color="auto" w:fill="E5E7EF"/>
          </w:tcPr>
          <w:p>
            <w:pPr>
              <w:spacing w:after="0"/>
              <w:rPr>
                <w:sz w:val="7"/>
                <w:szCs w:val="7"/>
                <w:color w:val="auto"/>
              </w:rPr>
            </w:pPr>
          </w:p>
        </w:tc>
        <w:tc>
          <w:tcPr>
            <w:tcW w:w="222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55 with eight years of service or</w:t>
            </w:r>
          </w:p>
        </w:tc>
        <w:tc>
          <w:tcPr>
            <w:tcW w:w="206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vMerge w:val="continue"/>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040" w:type="dxa"/>
            <w:vAlign w:val="bottom"/>
            <w:tcBorders>
              <w:left w:val="single" w:sz="8" w:color="012E6C"/>
              <w:right w:val="single" w:sz="8" w:color="012E6C"/>
            </w:tcBorders>
            <w:shd w:val="clear" w:color="auto" w:fill="E5E7EF"/>
          </w:tcPr>
          <w:p>
            <w:pPr>
              <w:spacing w:after="0"/>
              <w:rPr>
                <w:sz w:val="8"/>
                <w:szCs w:val="8"/>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age 55 for terminations</w:t>
            </w:r>
          </w:p>
        </w:tc>
        <w:tc>
          <w:tcPr>
            <w:tcW w:w="1940" w:type="dxa"/>
            <w:vAlign w:val="bottom"/>
            <w:tcBorders>
              <w:right w:val="single" w:sz="8" w:color="012E6C"/>
            </w:tcBorders>
            <w:shd w:val="clear" w:color="auto" w:fill="E5E7EF"/>
          </w:tcPr>
          <w:p>
            <w:pPr>
              <w:spacing w:after="0"/>
              <w:rPr>
                <w:sz w:val="8"/>
                <w:szCs w:val="8"/>
                <w:color w:val="auto"/>
              </w:rPr>
            </w:pPr>
          </w:p>
        </w:tc>
        <w:tc>
          <w:tcPr>
            <w:tcW w:w="2220" w:type="dxa"/>
            <w:vAlign w:val="bottom"/>
            <w:tcBorders>
              <w:right w:val="single" w:sz="8" w:color="012E6C"/>
            </w:tcBorders>
            <w:vMerge w:val="continue"/>
            <w:shd w:val="clear" w:color="auto" w:fill="E5E7EF"/>
          </w:tcPr>
          <w:p>
            <w:pPr>
              <w:spacing w:after="0"/>
              <w:rPr>
                <w:sz w:val="8"/>
                <w:szCs w:val="8"/>
                <w:color w:val="auto"/>
              </w:rPr>
            </w:pPr>
          </w:p>
        </w:tc>
        <w:tc>
          <w:tcPr>
            <w:tcW w:w="2060" w:type="dxa"/>
            <w:vAlign w:val="bottom"/>
            <w:tcBorders>
              <w:right w:val="single" w:sz="8" w:color="012E6C"/>
            </w:tcBorders>
            <w:shd w:val="clear" w:color="auto" w:fill="E5E7EF"/>
          </w:tcPr>
          <w:p>
            <w:pPr>
              <w:spacing w:after="0"/>
              <w:rPr>
                <w:sz w:val="8"/>
                <w:szCs w:val="8"/>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early commencement at age</w:t>
            </w:r>
          </w:p>
        </w:tc>
        <w:tc>
          <w:tcPr>
            <w:tcW w:w="0" w:type="dxa"/>
            <w:vAlign w:val="bottom"/>
          </w:tcPr>
          <w:p>
            <w:pPr>
              <w:spacing w:after="0"/>
              <w:rPr>
                <w:sz w:val="1"/>
                <w:szCs w:val="1"/>
                <w:color w:val="auto"/>
              </w:rPr>
            </w:pPr>
          </w:p>
        </w:tc>
      </w:tr>
      <w:tr>
        <w:trPr>
          <w:trHeight w:val="81"/>
        </w:trPr>
        <w:tc>
          <w:tcPr>
            <w:tcW w:w="1040" w:type="dxa"/>
            <w:vAlign w:val="bottom"/>
            <w:tcBorders>
              <w:left w:val="single" w:sz="8" w:color="012E6C"/>
              <w:right w:val="single" w:sz="8" w:color="012E6C"/>
            </w:tcBorders>
            <w:shd w:val="clear" w:color="auto" w:fill="E5E7EF"/>
          </w:tcPr>
          <w:p>
            <w:pPr>
              <w:spacing w:after="0"/>
              <w:rPr>
                <w:sz w:val="7"/>
                <w:szCs w:val="7"/>
                <w:color w:val="auto"/>
              </w:rPr>
            </w:pPr>
          </w:p>
        </w:tc>
        <w:tc>
          <w:tcPr>
            <w:tcW w:w="1940" w:type="dxa"/>
            <w:vAlign w:val="bottom"/>
            <w:tcBorders>
              <w:right w:val="single" w:sz="8" w:color="012E6C"/>
            </w:tcBorders>
            <w:vMerge w:val="continue"/>
            <w:shd w:val="clear" w:color="auto" w:fill="E5E7EF"/>
          </w:tcPr>
          <w:p>
            <w:pPr>
              <w:spacing w:after="0"/>
              <w:rPr>
                <w:sz w:val="7"/>
                <w:szCs w:val="7"/>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Qualified: No acceleration.</w:t>
            </w:r>
          </w:p>
        </w:tc>
        <w:tc>
          <w:tcPr>
            <w:tcW w:w="222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before age 55 with 25 years of</w:t>
            </w: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No provisions; absent a</w:t>
            </w:r>
          </w:p>
        </w:tc>
        <w:tc>
          <w:tcPr>
            <w:tcW w:w="2060" w:type="dxa"/>
            <w:vAlign w:val="bottom"/>
            <w:tcBorders>
              <w:right w:val="single" w:sz="8" w:color="012E6C"/>
            </w:tcBorders>
            <w:vMerge w:val="continue"/>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1040" w:type="dxa"/>
            <w:vAlign w:val="bottom"/>
            <w:tcBorders>
              <w:left w:val="single" w:sz="8" w:color="012E6C"/>
              <w:right w:val="single" w:sz="8" w:color="012E6C"/>
            </w:tcBorders>
            <w:shd w:val="clear" w:color="auto" w:fill="E5E7EF"/>
          </w:tcPr>
          <w:p>
            <w:pPr>
              <w:spacing w:after="0"/>
              <w:rPr>
                <w:sz w:val="8"/>
                <w:szCs w:val="8"/>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prior to age 55 than for</w:t>
            </w:r>
          </w:p>
        </w:tc>
        <w:tc>
          <w:tcPr>
            <w:tcW w:w="1940" w:type="dxa"/>
            <w:vAlign w:val="bottom"/>
            <w:tcBorders>
              <w:right w:val="single" w:sz="8" w:color="012E6C"/>
            </w:tcBorders>
            <w:vMerge w:val="continue"/>
            <w:shd w:val="clear" w:color="auto" w:fill="E5E7EF"/>
          </w:tcPr>
          <w:p>
            <w:pPr>
              <w:spacing w:after="0"/>
              <w:rPr>
                <w:sz w:val="8"/>
                <w:szCs w:val="8"/>
                <w:color w:val="auto"/>
              </w:rPr>
            </w:pPr>
          </w:p>
        </w:tc>
        <w:tc>
          <w:tcPr>
            <w:tcW w:w="2220" w:type="dxa"/>
            <w:vAlign w:val="bottom"/>
            <w:tcBorders>
              <w:right w:val="single" w:sz="8" w:color="012E6C"/>
            </w:tcBorders>
            <w:vMerge w:val="continue"/>
            <w:shd w:val="clear" w:color="auto" w:fill="E5E7EF"/>
          </w:tcPr>
          <w:p>
            <w:pPr>
              <w:spacing w:after="0"/>
              <w:rPr>
                <w:sz w:val="8"/>
                <w:szCs w:val="8"/>
                <w:color w:val="auto"/>
              </w:rPr>
            </w:pPr>
          </w:p>
        </w:tc>
        <w:tc>
          <w:tcPr>
            <w:tcW w:w="2060" w:type="dxa"/>
            <w:vAlign w:val="bottom"/>
            <w:tcBorders>
              <w:right w:val="single" w:sz="8" w:color="012E6C"/>
            </w:tcBorders>
            <w:vMerge w:val="continue"/>
            <w:shd w:val="clear" w:color="auto" w:fill="E5E7EF"/>
          </w:tcPr>
          <w:p>
            <w:pPr>
              <w:spacing w:after="0"/>
              <w:rPr>
                <w:sz w:val="8"/>
                <w:szCs w:val="8"/>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55 for terminations prior to</w:t>
            </w:r>
          </w:p>
        </w:tc>
        <w:tc>
          <w:tcPr>
            <w:tcW w:w="0" w:type="dxa"/>
            <w:vAlign w:val="bottom"/>
          </w:tcPr>
          <w:p>
            <w:pPr>
              <w:spacing w:after="0"/>
              <w:rPr>
                <w:sz w:val="1"/>
                <w:szCs w:val="1"/>
                <w:color w:val="auto"/>
              </w:rPr>
            </w:pPr>
          </w:p>
        </w:tc>
      </w:tr>
      <w:tr>
        <w:trPr>
          <w:trHeight w:val="78"/>
        </w:trPr>
        <w:tc>
          <w:tcPr>
            <w:tcW w:w="1040" w:type="dxa"/>
            <w:vAlign w:val="bottom"/>
            <w:tcBorders>
              <w:left w:val="single" w:sz="8" w:color="012E6C"/>
              <w:right w:val="single" w:sz="8" w:color="012E6C"/>
            </w:tcBorders>
            <w:shd w:val="clear" w:color="auto" w:fill="E5E7EF"/>
          </w:tcPr>
          <w:p>
            <w:pPr>
              <w:spacing w:after="0"/>
              <w:rPr>
                <w:sz w:val="6"/>
                <w:szCs w:val="6"/>
                <w:color w:val="auto"/>
              </w:rPr>
            </w:pPr>
          </w:p>
        </w:tc>
        <w:tc>
          <w:tcPr>
            <w:tcW w:w="1940" w:type="dxa"/>
            <w:vAlign w:val="bottom"/>
            <w:tcBorders>
              <w:right w:val="single" w:sz="8" w:color="012E6C"/>
            </w:tcBorders>
            <w:vMerge w:val="continue"/>
            <w:shd w:val="clear" w:color="auto" w:fill="E5E7EF"/>
          </w:tcPr>
          <w:p>
            <w:pPr>
              <w:spacing w:after="0"/>
              <w:rPr>
                <w:sz w:val="6"/>
                <w:szCs w:val="6"/>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Supplemental: Lump Sum</w:t>
            </w:r>
          </w:p>
        </w:tc>
        <w:tc>
          <w:tcPr>
            <w:tcW w:w="222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service, participant is eligible</w:t>
            </w: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negotiated transfer of liability</w:t>
            </w:r>
          </w:p>
        </w:tc>
        <w:tc>
          <w:tcPr>
            <w:tcW w:w="2060" w:type="dxa"/>
            <w:vAlign w:val="bottom"/>
            <w:tcBorders>
              <w:right w:val="single" w:sz="8" w:color="012E6C"/>
            </w:tcBorders>
            <w:vMerge w:val="continue"/>
            <w:shd w:val="clear" w:color="auto" w:fill="E5E7EF"/>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1040" w:type="dxa"/>
            <w:vAlign w:val="bottom"/>
            <w:tcBorders>
              <w:left w:val="single" w:sz="8" w:color="012E6C"/>
              <w:right w:val="single" w:sz="8" w:color="012E6C"/>
            </w:tcBorders>
            <w:vMerge w:val="restart"/>
            <w:shd w:val="clear" w:color="auto" w:fill="E5E7EF"/>
          </w:tcPr>
          <w:p>
            <w:pPr>
              <w:jc w:val="center"/>
              <w:spacing w:after="0" w:line="173" w:lineRule="exact"/>
              <w:rPr>
                <w:sz w:val="20"/>
                <w:szCs w:val="20"/>
                <w:color w:val="auto"/>
              </w:rPr>
            </w:pPr>
            <w:r>
              <w:rPr>
                <w:rFonts w:ascii="Arial" w:cs="Arial" w:eastAsia="Arial" w:hAnsi="Arial"/>
                <w:sz w:val="15"/>
                <w:szCs w:val="15"/>
                <w:b w:val="1"/>
                <w:bCs w:val="1"/>
                <w:color w:val="003478"/>
                <w:w w:val="97"/>
              </w:rPr>
              <w:t>Pension</w:t>
            </w:r>
            <w:r>
              <w:rPr>
                <w:rFonts w:ascii="Arial" w:cs="Arial" w:eastAsia="Arial" w:hAnsi="Arial"/>
                <w:sz w:val="19"/>
                <w:szCs w:val="19"/>
                <w:b w:val="1"/>
                <w:bCs w:val="1"/>
                <w:color w:val="003478"/>
                <w:w w:val="97"/>
                <w:vertAlign w:val="superscript"/>
              </w:rPr>
              <w:t>(4)</w:t>
            </w: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terminations after age 55.</w:t>
            </w:r>
          </w:p>
        </w:tc>
        <w:tc>
          <w:tcPr>
            <w:tcW w:w="1940" w:type="dxa"/>
            <w:vAlign w:val="bottom"/>
            <w:tcBorders>
              <w:right w:val="single" w:sz="8" w:color="012E6C"/>
            </w:tcBorders>
            <w:vMerge w:val="continue"/>
            <w:shd w:val="clear" w:color="auto" w:fill="E5E7EF"/>
          </w:tcPr>
          <w:p>
            <w:pPr>
              <w:spacing w:after="0"/>
              <w:rPr>
                <w:sz w:val="8"/>
                <w:szCs w:val="8"/>
                <w:color w:val="auto"/>
              </w:rPr>
            </w:pPr>
          </w:p>
        </w:tc>
        <w:tc>
          <w:tcPr>
            <w:tcW w:w="2220" w:type="dxa"/>
            <w:vAlign w:val="bottom"/>
            <w:tcBorders>
              <w:right w:val="single" w:sz="8" w:color="012E6C"/>
            </w:tcBorders>
            <w:vMerge w:val="continue"/>
            <w:shd w:val="clear" w:color="auto" w:fill="E5E7EF"/>
          </w:tcPr>
          <w:p>
            <w:pPr>
              <w:spacing w:after="0"/>
              <w:rPr>
                <w:sz w:val="8"/>
                <w:szCs w:val="8"/>
                <w:color w:val="auto"/>
              </w:rPr>
            </w:pPr>
          </w:p>
        </w:tc>
        <w:tc>
          <w:tcPr>
            <w:tcW w:w="2060" w:type="dxa"/>
            <w:vAlign w:val="bottom"/>
            <w:tcBorders>
              <w:right w:val="single" w:sz="8" w:color="012E6C"/>
            </w:tcBorders>
            <w:vMerge w:val="continue"/>
            <w:shd w:val="clear" w:color="auto" w:fill="E5E7EF"/>
          </w:tcPr>
          <w:p>
            <w:pPr>
              <w:spacing w:after="0"/>
              <w:rPr>
                <w:sz w:val="8"/>
                <w:szCs w:val="8"/>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age 55 than for terminations</w:t>
            </w:r>
          </w:p>
        </w:tc>
        <w:tc>
          <w:tcPr>
            <w:tcW w:w="0" w:type="dxa"/>
            <w:vAlign w:val="bottom"/>
          </w:tcPr>
          <w:p>
            <w:pPr>
              <w:spacing w:after="0"/>
              <w:rPr>
                <w:sz w:val="1"/>
                <w:szCs w:val="1"/>
                <w:color w:val="auto"/>
              </w:rPr>
            </w:pPr>
          </w:p>
        </w:tc>
      </w:tr>
      <w:tr>
        <w:trPr>
          <w:trHeight w:val="76"/>
        </w:trPr>
        <w:tc>
          <w:tcPr>
            <w:tcW w:w="1040" w:type="dxa"/>
            <w:vAlign w:val="bottom"/>
            <w:tcBorders>
              <w:left w:val="single" w:sz="8" w:color="012E6C"/>
              <w:right w:val="single" w:sz="8" w:color="012E6C"/>
            </w:tcBorders>
            <w:vMerge w:val="continue"/>
            <w:shd w:val="clear" w:color="auto" w:fill="E5E7EF"/>
          </w:tcPr>
          <w:p>
            <w:pPr>
              <w:spacing w:after="0"/>
              <w:rPr>
                <w:sz w:val="6"/>
                <w:szCs w:val="6"/>
                <w:color w:val="auto"/>
              </w:rPr>
            </w:pPr>
          </w:p>
        </w:tc>
        <w:tc>
          <w:tcPr>
            <w:tcW w:w="1940" w:type="dxa"/>
            <w:vAlign w:val="bottom"/>
            <w:tcBorders>
              <w:right w:val="single" w:sz="8" w:color="012E6C"/>
            </w:tcBorders>
            <w:vMerge w:val="continue"/>
            <w:shd w:val="clear" w:color="auto" w:fill="E5E7EF"/>
          </w:tcPr>
          <w:p>
            <w:pPr>
              <w:spacing w:after="0"/>
              <w:rPr>
                <w:sz w:val="6"/>
                <w:szCs w:val="6"/>
                <w:color w:val="auto"/>
              </w:rPr>
            </w:pPr>
          </w:p>
        </w:tc>
        <w:tc>
          <w:tcPr>
            <w:tcW w:w="1940" w:type="dxa"/>
            <w:vAlign w:val="bottom"/>
            <w:tcBorders>
              <w:right w:val="single" w:sz="8" w:color="012E6C"/>
            </w:tcBorders>
            <w:vMerge w:val="continue"/>
            <w:shd w:val="clear" w:color="auto" w:fill="E5E7EF"/>
          </w:tcPr>
          <w:p>
            <w:pPr>
              <w:spacing w:after="0"/>
              <w:rPr>
                <w:sz w:val="6"/>
                <w:szCs w:val="6"/>
                <w:color w:val="auto"/>
              </w:rPr>
            </w:pPr>
          </w:p>
        </w:tc>
        <w:tc>
          <w:tcPr>
            <w:tcW w:w="222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for the more favorable actuarial</w:t>
            </w: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to buyer, treated as</w:t>
            </w:r>
          </w:p>
        </w:tc>
        <w:tc>
          <w:tcPr>
            <w:tcW w:w="2060" w:type="dxa"/>
            <w:vAlign w:val="bottom"/>
            <w:tcBorders>
              <w:right w:val="single" w:sz="8" w:color="012E6C"/>
            </w:tcBorders>
            <w:vMerge w:val="continue"/>
            <w:shd w:val="clear" w:color="auto" w:fill="E5E7EF"/>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1040" w:type="dxa"/>
            <w:vAlign w:val="bottom"/>
            <w:tcBorders>
              <w:left w:val="single" w:sz="8" w:color="012E6C"/>
              <w:right w:val="single" w:sz="8" w:color="012E6C"/>
            </w:tcBorders>
            <w:shd w:val="clear" w:color="auto" w:fill="E5E7EF"/>
          </w:tcPr>
          <w:p>
            <w:pPr>
              <w:spacing w:after="0"/>
              <w:rPr>
                <w:sz w:val="11"/>
                <w:szCs w:val="11"/>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Supplemental: Annuity or,</w:t>
            </w:r>
          </w:p>
        </w:tc>
        <w:tc>
          <w:tcPr>
            <w:tcW w:w="1940" w:type="dxa"/>
            <w:vAlign w:val="bottom"/>
            <w:tcBorders>
              <w:right w:val="single" w:sz="8" w:color="012E6C"/>
            </w:tcBorders>
            <w:shd w:val="clear" w:color="auto" w:fill="E5E7EF"/>
          </w:tcPr>
          <w:p>
            <w:pPr>
              <w:ind w:left="100"/>
              <w:spacing w:after="0" w:line="135" w:lineRule="exact"/>
              <w:rPr>
                <w:sz w:val="20"/>
                <w:szCs w:val="20"/>
                <w:color w:val="auto"/>
              </w:rPr>
            </w:pPr>
            <w:r>
              <w:rPr>
                <w:rFonts w:ascii="Arial" w:cs="Arial" w:eastAsia="Arial" w:hAnsi="Arial"/>
                <w:sz w:val="14"/>
                <w:szCs w:val="14"/>
                <w:color w:val="auto"/>
              </w:rPr>
              <w:t>within 15 calendar days of</w:t>
            </w:r>
          </w:p>
        </w:tc>
        <w:tc>
          <w:tcPr>
            <w:tcW w:w="2220" w:type="dxa"/>
            <w:vAlign w:val="bottom"/>
            <w:tcBorders>
              <w:right w:val="single" w:sz="8" w:color="012E6C"/>
            </w:tcBorders>
            <w:vMerge w:val="continue"/>
            <w:shd w:val="clear" w:color="auto" w:fill="E5E7EF"/>
          </w:tcPr>
          <w:p>
            <w:pPr>
              <w:spacing w:after="0"/>
              <w:rPr>
                <w:sz w:val="11"/>
                <w:szCs w:val="11"/>
                <w:color w:val="auto"/>
              </w:rPr>
            </w:pPr>
          </w:p>
        </w:tc>
        <w:tc>
          <w:tcPr>
            <w:tcW w:w="2060" w:type="dxa"/>
            <w:vAlign w:val="bottom"/>
            <w:tcBorders>
              <w:right w:val="single" w:sz="8" w:color="012E6C"/>
            </w:tcBorders>
            <w:vMerge w:val="continue"/>
            <w:shd w:val="clear" w:color="auto" w:fill="E5E7EF"/>
          </w:tcPr>
          <w:p>
            <w:pPr>
              <w:spacing w:after="0"/>
              <w:rPr>
                <w:sz w:val="11"/>
                <w:szCs w:val="11"/>
                <w:color w:val="auto"/>
              </w:rPr>
            </w:pPr>
          </w:p>
        </w:tc>
        <w:tc>
          <w:tcPr>
            <w:tcW w:w="2060" w:type="dxa"/>
            <w:vAlign w:val="bottom"/>
            <w:tcBorders>
              <w:right w:val="single" w:sz="8" w:color="012E6C"/>
            </w:tcBorders>
            <w:shd w:val="clear" w:color="auto" w:fill="E5E7EF"/>
          </w:tcPr>
          <w:p>
            <w:pPr>
              <w:ind w:left="100"/>
              <w:spacing w:after="0" w:line="135" w:lineRule="exact"/>
              <w:rPr>
                <w:sz w:val="20"/>
                <w:szCs w:val="20"/>
                <w:color w:val="auto"/>
              </w:rPr>
            </w:pPr>
            <w:r>
              <w:rPr>
                <w:rFonts w:ascii="Arial" w:cs="Arial" w:eastAsia="Arial" w:hAnsi="Arial"/>
                <w:sz w:val="14"/>
                <w:szCs w:val="14"/>
                <w:color w:val="auto"/>
              </w:rPr>
              <w:t>after age 55.</w:t>
            </w:r>
          </w:p>
        </w:tc>
        <w:tc>
          <w:tcPr>
            <w:tcW w:w="0" w:type="dxa"/>
            <w:vAlign w:val="bottom"/>
          </w:tcPr>
          <w:p>
            <w:pPr>
              <w:spacing w:after="0"/>
              <w:rPr>
                <w:sz w:val="1"/>
                <w:szCs w:val="1"/>
                <w:color w:val="auto"/>
              </w:rPr>
            </w:pPr>
          </w:p>
        </w:tc>
      </w:tr>
      <w:tr>
        <w:trPr>
          <w:trHeight w:val="96"/>
        </w:trPr>
        <w:tc>
          <w:tcPr>
            <w:tcW w:w="1040" w:type="dxa"/>
            <w:vAlign w:val="bottom"/>
            <w:tcBorders>
              <w:left w:val="single" w:sz="8" w:color="012E6C"/>
              <w:right w:val="single" w:sz="8" w:color="012E6C"/>
            </w:tcBorders>
            <w:shd w:val="clear" w:color="auto" w:fill="E5E7EF"/>
          </w:tcPr>
          <w:p>
            <w:pPr>
              <w:spacing w:after="0"/>
              <w:rPr>
                <w:sz w:val="8"/>
                <w:szCs w:val="8"/>
                <w:color w:val="auto"/>
              </w:rPr>
            </w:pPr>
          </w:p>
        </w:tc>
        <w:tc>
          <w:tcPr>
            <w:tcW w:w="1940" w:type="dxa"/>
            <w:vAlign w:val="bottom"/>
            <w:tcBorders>
              <w:right w:val="single" w:sz="8" w:color="012E6C"/>
            </w:tcBorders>
            <w:vMerge w:val="continue"/>
            <w:shd w:val="clear" w:color="auto" w:fill="E5E7EF"/>
          </w:tcPr>
          <w:p>
            <w:pPr>
              <w:spacing w:after="0"/>
              <w:rPr>
                <w:sz w:val="8"/>
                <w:szCs w:val="8"/>
                <w:color w:val="auto"/>
              </w:rPr>
            </w:pPr>
          </w:p>
        </w:tc>
        <w:tc>
          <w:tcPr>
            <w:tcW w:w="1940" w:type="dxa"/>
            <w:vAlign w:val="bottom"/>
            <w:tcBorders>
              <w:right w:val="single" w:sz="8" w:color="012E6C"/>
            </w:tcBorders>
            <w:vMerge w:val="restart"/>
            <w:shd w:val="clear" w:color="auto" w:fill="E5E7EF"/>
          </w:tcPr>
          <w:p>
            <w:pPr>
              <w:ind w:left="100"/>
              <w:spacing w:after="0" w:line="139" w:lineRule="exact"/>
              <w:rPr>
                <w:sz w:val="20"/>
                <w:szCs w:val="20"/>
                <w:color w:val="auto"/>
              </w:rPr>
            </w:pPr>
            <w:r>
              <w:rPr>
                <w:rFonts w:ascii="Arial" w:cs="Arial" w:eastAsia="Arial" w:hAnsi="Arial"/>
                <w:sz w:val="14"/>
                <w:szCs w:val="14"/>
                <w:color w:val="auto"/>
              </w:rPr>
              <w:t>the change in control.</w:t>
            </w:r>
          </w:p>
        </w:tc>
        <w:tc>
          <w:tcPr>
            <w:tcW w:w="2220" w:type="dxa"/>
            <w:vAlign w:val="bottom"/>
            <w:tcBorders>
              <w:right w:val="single" w:sz="8" w:color="012E6C"/>
            </w:tcBorders>
            <w:vMerge w:val="restart"/>
            <w:shd w:val="clear" w:color="auto" w:fill="E5E7EF"/>
          </w:tcPr>
          <w:p>
            <w:pPr>
              <w:ind w:left="100"/>
              <w:spacing w:after="0" w:line="139" w:lineRule="exact"/>
              <w:rPr>
                <w:sz w:val="20"/>
                <w:szCs w:val="20"/>
                <w:color w:val="auto"/>
              </w:rPr>
            </w:pPr>
            <w:r>
              <w:rPr>
                <w:rFonts w:ascii="Arial" w:cs="Arial" w:eastAsia="Arial" w:hAnsi="Arial"/>
                <w:sz w:val="14"/>
                <w:szCs w:val="14"/>
                <w:color w:val="auto"/>
              </w:rPr>
              <w:t>reductions for participants</w:t>
            </w:r>
          </w:p>
        </w:tc>
        <w:tc>
          <w:tcPr>
            <w:tcW w:w="2060" w:type="dxa"/>
            <w:vAlign w:val="bottom"/>
            <w:tcBorders>
              <w:right w:val="single" w:sz="8" w:color="012E6C"/>
            </w:tcBorders>
            <w:vMerge w:val="restart"/>
            <w:shd w:val="clear" w:color="auto" w:fill="E5E7EF"/>
          </w:tcPr>
          <w:p>
            <w:pPr>
              <w:ind w:left="100"/>
              <w:spacing w:after="0" w:line="139" w:lineRule="exact"/>
              <w:rPr>
                <w:sz w:val="20"/>
                <w:szCs w:val="20"/>
                <w:color w:val="auto"/>
              </w:rPr>
            </w:pPr>
            <w:r>
              <w:rPr>
                <w:rFonts w:ascii="Arial" w:cs="Arial" w:eastAsia="Arial" w:hAnsi="Arial"/>
                <w:sz w:val="14"/>
                <w:szCs w:val="14"/>
                <w:color w:val="auto"/>
              </w:rPr>
              <w:t>retirement or termination.</w:t>
            </w:r>
          </w:p>
        </w:tc>
        <w:tc>
          <w:tcPr>
            <w:tcW w:w="2060" w:type="dxa"/>
            <w:vAlign w:val="bottom"/>
            <w:tcBorders>
              <w:right w:val="single" w:sz="8" w:color="012E6C"/>
            </w:tcBorders>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1040" w:type="dxa"/>
            <w:vAlign w:val="bottom"/>
            <w:tcBorders>
              <w:left w:val="single" w:sz="8" w:color="012E6C"/>
              <w:right w:val="single" w:sz="8" w:color="012E6C"/>
            </w:tcBorders>
            <w:shd w:val="clear" w:color="auto" w:fill="E5E7EF"/>
          </w:tcPr>
          <w:p>
            <w:pPr>
              <w:spacing w:after="0"/>
              <w:rPr>
                <w:sz w:val="3"/>
                <w:szCs w:val="3"/>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for NEOs eligible before</w:t>
            </w:r>
          </w:p>
        </w:tc>
        <w:tc>
          <w:tcPr>
            <w:tcW w:w="1940" w:type="dxa"/>
            <w:vAlign w:val="bottom"/>
            <w:tcBorders>
              <w:right w:val="single" w:sz="8" w:color="012E6C"/>
            </w:tcBorders>
            <w:vMerge w:val="continue"/>
            <w:shd w:val="clear" w:color="auto" w:fill="E5E7EF"/>
          </w:tcPr>
          <w:p>
            <w:pPr>
              <w:spacing w:after="0"/>
              <w:rPr>
                <w:sz w:val="3"/>
                <w:szCs w:val="3"/>
                <w:color w:val="auto"/>
              </w:rPr>
            </w:pPr>
          </w:p>
        </w:tc>
        <w:tc>
          <w:tcPr>
            <w:tcW w:w="2220" w:type="dxa"/>
            <w:vAlign w:val="bottom"/>
            <w:tcBorders>
              <w:right w:val="single" w:sz="8" w:color="012E6C"/>
            </w:tcBorders>
            <w:vMerge w:val="continue"/>
            <w:shd w:val="clear" w:color="auto" w:fill="E5E7EF"/>
          </w:tcPr>
          <w:p>
            <w:pPr>
              <w:spacing w:after="0"/>
              <w:rPr>
                <w:sz w:val="3"/>
                <w:szCs w:val="3"/>
                <w:color w:val="auto"/>
              </w:rPr>
            </w:pPr>
          </w:p>
        </w:tc>
        <w:tc>
          <w:tcPr>
            <w:tcW w:w="2060" w:type="dxa"/>
            <w:vAlign w:val="bottom"/>
            <w:tcBorders>
              <w:right w:val="single" w:sz="8" w:color="012E6C"/>
            </w:tcBorders>
            <w:vMerge w:val="continue"/>
            <w:shd w:val="clear" w:color="auto" w:fill="E5E7EF"/>
          </w:tcPr>
          <w:p>
            <w:pPr>
              <w:spacing w:after="0"/>
              <w:rPr>
                <w:sz w:val="3"/>
                <w:szCs w:val="3"/>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Supplemental: Annuity or, for</w:t>
            </w:r>
          </w:p>
        </w:tc>
        <w:tc>
          <w:tcPr>
            <w:tcW w:w="0" w:type="dxa"/>
            <w:vAlign w:val="bottom"/>
          </w:tcPr>
          <w:p>
            <w:pPr>
              <w:spacing w:after="0"/>
              <w:rPr>
                <w:sz w:val="1"/>
                <w:szCs w:val="1"/>
                <w:color w:val="auto"/>
              </w:rPr>
            </w:pPr>
          </w:p>
        </w:tc>
      </w:tr>
      <w:tr>
        <w:trPr>
          <w:trHeight w:val="134"/>
        </w:trPr>
        <w:tc>
          <w:tcPr>
            <w:tcW w:w="1040" w:type="dxa"/>
            <w:vAlign w:val="bottom"/>
            <w:tcBorders>
              <w:left w:val="single" w:sz="8" w:color="012E6C"/>
              <w:right w:val="single" w:sz="8" w:color="012E6C"/>
            </w:tcBorders>
            <w:shd w:val="clear" w:color="auto" w:fill="E5E7EF"/>
          </w:tcPr>
          <w:p>
            <w:pPr>
              <w:spacing w:after="0"/>
              <w:rPr>
                <w:sz w:val="11"/>
                <w:szCs w:val="11"/>
                <w:color w:val="auto"/>
              </w:rPr>
            </w:pPr>
          </w:p>
        </w:tc>
        <w:tc>
          <w:tcPr>
            <w:tcW w:w="1940" w:type="dxa"/>
            <w:vAlign w:val="bottom"/>
            <w:tcBorders>
              <w:right w:val="single" w:sz="8" w:color="012E6C"/>
            </w:tcBorders>
            <w:vMerge w:val="continue"/>
            <w:shd w:val="clear" w:color="auto" w:fill="E5E7EF"/>
          </w:tcPr>
          <w:p>
            <w:pPr>
              <w:spacing w:after="0"/>
              <w:rPr>
                <w:sz w:val="11"/>
                <w:szCs w:val="11"/>
                <w:color w:val="auto"/>
              </w:rPr>
            </w:pPr>
          </w:p>
        </w:tc>
        <w:tc>
          <w:tcPr>
            <w:tcW w:w="1940" w:type="dxa"/>
            <w:vAlign w:val="bottom"/>
            <w:tcBorders>
              <w:right w:val="single" w:sz="8" w:color="012E6C"/>
            </w:tcBorders>
            <w:shd w:val="clear" w:color="auto" w:fill="E5E7EF"/>
          </w:tcPr>
          <w:p>
            <w:pPr>
              <w:spacing w:after="0"/>
              <w:rPr>
                <w:sz w:val="11"/>
                <w:szCs w:val="11"/>
                <w:color w:val="auto"/>
              </w:rPr>
            </w:pPr>
          </w:p>
        </w:tc>
        <w:tc>
          <w:tcPr>
            <w:tcW w:w="2220" w:type="dxa"/>
            <w:vAlign w:val="bottom"/>
            <w:tcBorders>
              <w:right w:val="single" w:sz="8" w:color="012E6C"/>
            </w:tcBorders>
            <w:shd w:val="clear" w:color="auto" w:fill="E5E7EF"/>
          </w:tcPr>
          <w:p>
            <w:pPr>
              <w:ind w:left="100"/>
              <w:spacing w:after="0" w:line="135" w:lineRule="exact"/>
              <w:rPr>
                <w:sz w:val="20"/>
                <w:szCs w:val="20"/>
                <w:color w:val="auto"/>
              </w:rPr>
            </w:pPr>
            <w:r>
              <w:rPr>
                <w:rFonts w:ascii="Arial" w:cs="Arial" w:eastAsia="Arial" w:hAnsi="Arial"/>
                <w:sz w:val="14"/>
                <w:szCs w:val="14"/>
                <w:color w:val="auto"/>
              </w:rPr>
              <w:t>terminating after age 55.</w:t>
            </w:r>
          </w:p>
        </w:tc>
        <w:tc>
          <w:tcPr>
            <w:tcW w:w="2060" w:type="dxa"/>
            <w:vAlign w:val="bottom"/>
            <w:tcBorders>
              <w:right w:val="single" w:sz="8" w:color="012E6C"/>
            </w:tcBorders>
            <w:shd w:val="clear" w:color="auto" w:fill="E5E7EF"/>
          </w:tcPr>
          <w:p>
            <w:pPr>
              <w:spacing w:after="0"/>
              <w:rPr>
                <w:sz w:val="11"/>
                <w:szCs w:val="11"/>
                <w:color w:val="auto"/>
              </w:rPr>
            </w:pPr>
          </w:p>
        </w:tc>
        <w:tc>
          <w:tcPr>
            <w:tcW w:w="2060" w:type="dxa"/>
            <w:vAlign w:val="bottom"/>
            <w:tcBorders>
              <w:right w:val="single" w:sz="8" w:color="012E6C"/>
            </w:tcBorders>
            <w:vMerge w:val="continue"/>
            <w:shd w:val="clear" w:color="auto" w:fill="E5E7E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040" w:type="dxa"/>
            <w:vAlign w:val="bottom"/>
            <w:tcBorders>
              <w:left w:val="single" w:sz="8" w:color="012E6C"/>
              <w:right w:val="single" w:sz="8" w:color="012E6C"/>
            </w:tcBorders>
            <w:shd w:val="clear" w:color="auto" w:fill="E5E7EF"/>
          </w:tcPr>
          <w:p>
            <w:pPr>
              <w:spacing w:after="0"/>
              <w:rPr>
                <w:sz w:val="14"/>
                <w:szCs w:val="14"/>
                <w:color w:val="auto"/>
              </w:rPr>
            </w:pPr>
          </w:p>
        </w:tc>
        <w:tc>
          <w:tcPr>
            <w:tcW w:w="1940" w:type="dxa"/>
            <w:vAlign w:val="bottom"/>
            <w:tcBorders>
              <w:right w:val="single" w:sz="8" w:color="012E6C"/>
            </w:tcBorders>
            <w:shd w:val="clear" w:color="auto" w:fill="E5E7EF"/>
          </w:tcPr>
          <w:p>
            <w:pPr>
              <w:ind w:left="100"/>
              <w:spacing w:after="0"/>
              <w:rPr>
                <w:sz w:val="20"/>
                <w:szCs w:val="20"/>
                <w:color w:val="auto"/>
              </w:rPr>
            </w:pPr>
            <w:r>
              <w:rPr>
                <w:rFonts w:ascii="Arial" w:cs="Arial" w:eastAsia="Arial" w:hAnsi="Arial"/>
                <w:sz w:val="14"/>
                <w:szCs w:val="14"/>
                <w:color w:val="auto"/>
              </w:rPr>
              <w:t>Dec. 16, 2005, lump sum</w:t>
            </w:r>
          </w:p>
        </w:tc>
        <w:tc>
          <w:tcPr>
            <w:tcW w:w="1940" w:type="dxa"/>
            <w:vAlign w:val="bottom"/>
            <w:tcBorders>
              <w:right w:val="single" w:sz="8" w:color="012E6C"/>
            </w:tcBorders>
            <w:shd w:val="clear" w:color="auto" w:fill="E5E7EF"/>
          </w:tcPr>
          <w:p>
            <w:pPr>
              <w:spacing w:after="0"/>
              <w:rPr>
                <w:sz w:val="14"/>
                <w:szCs w:val="14"/>
                <w:color w:val="auto"/>
              </w:rPr>
            </w:pPr>
          </w:p>
        </w:tc>
        <w:tc>
          <w:tcPr>
            <w:tcW w:w="222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Supplemental: Annuity or, for</w:t>
            </w:r>
          </w:p>
        </w:tc>
        <w:tc>
          <w:tcPr>
            <w:tcW w:w="2060" w:type="dxa"/>
            <w:vAlign w:val="bottom"/>
            <w:tcBorders>
              <w:right w:val="single" w:sz="8" w:color="012E6C"/>
            </w:tcBorders>
            <w:shd w:val="clear" w:color="auto" w:fill="E5E7EF"/>
          </w:tcPr>
          <w:p>
            <w:pPr>
              <w:spacing w:after="0"/>
              <w:rPr>
                <w:sz w:val="14"/>
                <w:szCs w:val="14"/>
                <w:color w:val="auto"/>
              </w:rPr>
            </w:pPr>
          </w:p>
        </w:tc>
        <w:tc>
          <w:tcPr>
            <w:tcW w:w="2060" w:type="dxa"/>
            <w:vAlign w:val="bottom"/>
            <w:tcBorders>
              <w:right w:val="single" w:sz="8" w:color="012E6C"/>
            </w:tcBorders>
            <w:shd w:val="clear" w:color="auto" w:fill="E5E7EF"/>
          </w:tcPr>
          <w:p>
            <w:pPr>
              <w:ind w:left="100"/>
              <w:spacing w:after="0"/>
              <w:rPr>
                <w:sz w:val="20"/>
                <w:szCs w:val="20"/>
                <w:color w:val="auto"/>
              </w:rPr>
            </w:pPr>
            <w:r>
              <w:rPr>
                <w:rFonts w:ascii="Arial" w:cs="Arial" w:eastAsia="Arial" w:hAnsi="Arial"/>
                <w:sz w:val="14"/>
                <w:szCs w:val="14"/>
                <w:color w:val="auto"/>
              </w:rPr>
              <w:t>NEOs eligible before Dec.</w:t>
            </w:r>
          </w:p>
        </w:tc>
        <w:tc>
          <w:tcPr>
            <w:tcW w:w="0" w:type="dxa"/>
            <w:vAlign w:val="bottom"/>
          </w:tcPr>
          <w:p>
            <w:pPr>
              <w:spacing w:after="0"/>
              <w:rPr>
                <w:sz w:val="1"/>
                <w:szCs w:val="1"/>
                <w:color w:val="auto"/>
              </w:rPr>
            </w:pPr>
          </w:p>
        </w:tc>
      </w:tr>
      <w:tr>
        <w:trPr>
          <w:trHeight w:val="94"/>
        </w:trPr>
        <w:tc>
          <w:tcPr>
            <w:tcW w:w="1040" w:type="dxa"/>
            <w:vAlign w:val="bottom"/>
            <w:tcBorders>
              <w:left w:val="single" w:sz="8" w:color="012E6C"/>
              <w:right w:val="single" w:sz="8" w:color="012E6C"/>
            </w:tcBorders>
            <w:shd w:val="clear" w:color="auto" w:fill="E5E7EF"/>
          </w:tcPr>
          <w:p>
            <w:pPr>
              <w:spacing w:after="0"/>
              <w:rPr>
                <w:sz w:val="8"/>
                <w:szCs w:val="8"/>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at later of age 55 or</w:t>
            </w:r>
          </w:p>
        </w:tc>
        <w:tc>
          <w:tcPr>
            <w:tcW w:w="1940" w:type="dxa"/>
            <w:vAlign w:val="bottom"/>
            <w:tcBorders>
              <w:right w:val="single" w:sz="8" w:color="012E6C"/>
            </w:tcBorders>
            <w:shd w:val="clear" w:color="auto" w:fill="E5E7EF"/>
          </w:tcPr>
          <w:p>
            <w:pPr>
              <w:spacing w:after="0"/>
              <w:rPr>
                <w:sz w:val="8"/>
                <w:szCs w:val="8"/>
                <w:color w:val="auto"/>
              </w:rPr>
            </w:pPr>
          </w:p>
        </w:tc>
        <w:tc>
          <w:tcPr>
            <w:tcW w:w="2220" w:type="dxa"/>
            <w:vAlign w:val="bottom"/>
            <w:tcBorders>
              <w:right w:val="single" w:sz="8" w:color="012E6C"/>
            </w:tcBorders>
            <w:vMerge w:val="continue"/>
            <w:shd w:val="clear" w:color="auto" w:fill="E5E7EF"/>
          </w:tcPr>
          <w:p>
            <w:pPr>
              <w:spacing w:after="0"/>
              <w:rPr>
                <w:sz w:val="8"/>
                <w:szCs w:val="8"/>
                <w:color w:val="auto"/>
              </w:rPr>
            </w:pPr>
          </w:p>
        </w:tc>
        <w:tc>
          <w:tcPr>
            <w:tcW w:w="2060" w:type="dxa"/>
            <w:vAlign w:val="bottom"/>
            <w:tcBorders>
              <w:right w:val="single" w:sz="8" w:color="012E6C"/>
            </w:tcBorders>
            <w:shd w:val="clear" w:color="auto" w:fill="E5E7EF"/>
          </w:tcPr>
          <w:p>
            <w:pPr>
              <w:spacing w:after="0"/>
              <w:rPr>
                <w:sz w:val="8"/>
                <w:szCs w:val="8"/>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16, 2005, lump sum, same</w:t>
            </w:r>
          </w:p>
        </w:tc>
        <w:tc>
          <w:tcPr>
            <w:tcW w:w="0" w:type="dxa"/>
            <w:vAlign w:val="bottom"/>
          </w:tcPr>
          <w:p>
            <w:pPr>
              <w:spacing w:after="0"/>
              <w:rPr>
                <w:sz w:val="1"/>
                <w:szCs w:val="1"/>
                <w:color w:val="auto"/>
              </w:rPr>
            </w:pPr>
          </w:p>
        </w:tc>
      </w:tr>
      <w:tr>
        <w:trPr>
          <w:trHeight w:val="81"/>
        </w:trPr>
        <w:tc>
          <w:tcPr>
            <w:tcW w:w="1040" w:type="dxa"/>
            <w:vAlign w:val="bottom"/>
            <w:tcBorders>
              <w:left w:val="single" w:sz="8" w:color="012E6C"/>
              <w:right w:val="single" w:sz="8" w:color="012E6C"/>
            </w:tcBorders>
            <w:shd w:val="clear" w:color="auto" w:fill="E5E7EF"/>
          </w:tcPr>
          <w:p>
            <w:pPr>
              <w:spacing w:after="0"/>
              <w:rPr>
                <w:sz w:val="7"/>
                <w:szCs w:val="7"/>
                <w:color w:val="auto"/>
              </w:rPr>
            </w:pPr>
          </w:p>
        </w:tc>
        <w:tc>
          <w:tcPr>
            <w:tcW w:w="1940" w:type="dxa"/>
            <w:vAlign w:val="bottom"/>
            <w:tcBorders>
              <w:right w:val="single" w:sz="8" w:color="012E6C"/>
            </w:tcBorders>
            <w:vMerge w:val="continue"/>
            <w:shd w:val="clear" w:color="auto" w:fill="E5E7EF"/>
          </w:tcPr>
          <w:p>
            <w:pPr>
              <w:spacing w:after="0"/>
              <w:rPr>
                <w:sz w:val="7"/>
                <w:szCs w:val="7"/>
                <w:color w:val="auto"/>
              </w:rPr>
            </w:pPr>
          </w:p>
        </w:tc>
        <w:tc>
          <w:tcPr>
            <w:tcW w:w="1940" w:type="dxa"/>
            <w:vAlign w:val="bottom"/>
            <w:tcBorders>
              <w:right w:val="single" w:sz="8" w:color="012E6C"/>
            </w:tcBorders>
            <w:shd w:val="clear" w:color="auto" w:fill="E5E7EF"/>
          </w:tcPr>
          <w:p>
            <w:pPr>
              <w:spacing w:after="0"/>
              <w:rPr>
                <w:sz w:val="7"/>
                <w:szCs w:val="7"/>
                <w:color w:val="auto"/>
              </w:rPr>
            </w:pPr>
          </w:p>
        </w:tc>
        <w:tc>
          <w:tcPr>
            <w:tcW w:w="222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NEOs eligible before Dec. 16,</w:t>
            </w:r>
          </w:p>
        </w:tc>
        <w:tc>
          <w:tcPr>
            <w:tcW w:w="206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vMerge w:val="continue"/>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040" w:type="dxa"/>
            <w:vAlign w:val="bottom"/>
            <w:tcBorders>
              <w:left w:val="single" w:sz="8" w:color="012E6C"/>
              <w:right w:val="single" w:sz="8" w:color="012E6C"/>
            </w:tcBorders>
            <w:shd w:val="clear" w:color="auto" w:fill="E5E7EF"/>
          </w:tcPr>
          <w:p>
            <w:pPr>
              <w:spacing w:after="0"/>
              <w:rPr>
                <w:sz w:val="8"/>
                <w:szCs w:val="8"/>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termination, same early</w:t>
            </w:r>
          </w:p>
        </w:tc>
        <w:tc>
          <w:tcPr>
            <w:tcW w:w="1940" w:type="dxa"/>
            <w:vAlign w:val="bottom"/>
            <w:tcBorders>
              <w:right w:val="single" w:sz="8" w:color="012E6C"/>
            </w:tcBorders>
            <w:shd w:val="clear" w:color="auto" w:fill="E5E7EF"/>
          </w:tcPr>
          <w:p>
            <w:pPr>
              <w:spacing w:after="0"/>
              <w:rPr>
                <w:sz w:val="8"/>
                <w:szCs w:val="8"/>
                <w:color w:val="auto"/>
              </w:rPr>
            </w:pPr>
          </w:p>
        </w:tc>
        <w:tc>
          <w:tcPr>
            <w:tcW w:w="2220" w:type="dxa"/>
            <w:vAlign w:val="bottom"/>
            <w:tcBorders>
              <w:right w:val="single" w:sz="8" w:color="012E6C"/>
            </w:tcBorders>
            <w:vMerge w:val="continue"/>
            <w:shd w:val="clear" w:color="auto" w:fill="E5E7EF"/>
          </w:tcPr>
          <w:p>
            <w:pPr>
              <w:spacing w:after="0"/>
              <w:rPr>
                <w:sz w:val="8"/>
                <w:szCs w:val="8"/>
                <w:color w:val="auto"/>
              </w:rPr>
            </w:pPr>
          </w:p>
        </w:tc>
        <w:tc>
          <w:tcPr>
            <w:tcW w:w="2060" w:type="dxa"/>
            <w:vAlign w:val="bottom"/>
            <w:tcBorders>
              <w:right w:val="single" w:sz="8" w:color="012E6C"/>
            </w:tcBorders>
            <w:shd w:val="clear" w:color="auto" w:fill="E5E7EF"/>
          </w:tcPr>
          <w:p>
            <w:pPr>
              <w:spacing w:after="0"/>
              <w:rPr>
                <w:sz w:val="8"/>
                <w:szCs w:val="8"/>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early commencement</w:t>
            </w:r>
          </w:p>
        </w:tc>
        <w:tc>
          <w:tcPr>
            <w:tcW w:w="0" w:type="dxa"/>
            <w:vAlign w:val="bottom"/>
          </w:tcPr>
          <w:p>
            <w:pPr>
              <w:spacing w:after="0"/>
              <w:rPr>
                <w:sz w:val="1"/>
                <w:szCs w:val="1"/>
                <w:color w:val="auto"/>
              </w:rPr>
            </w:pPr>
          </w:p>
        </w:tc>
      </w:tr>
      <w:tr>
        <w:trPr>
          <w:trHeight w:val="81"/>
        </w:trPr>
        <w:tc>
          <w:tcPr>
            <w:tcW w:w="1040" w:type="dxa"/>
            <w:vAlign w:val="bottom"/>
            <w:tcBorders>
              <w:left w:val="single" w:sz="8" w:color="012E6C"/>
              <w:right w:val="single" w:sz="8" w:color="012E6C"/>
            </w:tcBorders>
            <w:shd w:val="clear" w:color="auto" w:fill="E5E7EF"/>
          </w:tcPr>
          <w:p>
            <w:pPr>
              <w:spacing w:after="0"/>
              <w:rPr>
                <w:sz w:val="7"/>
                <w:szCs w:val="7"/>
                <w:color w:val="auto"/>
              </w:rPr>
            </w:pPr>
          </w:p>
        </w:tc>
        <w:tc>
          <w:tcPr>
            <w:tcW w:w="1940" w:type="dxa"/>
            <w:vAlign w:val="bottom"/>
            <w:tcBorders>
              <w:right w:val="single" w:sz="8" w:color="012E6C"/>
            </w:tcBorders>
            <w:vMerge w:val="continue"/>
            <w:shd w:val="clear" w:color="auto" w:fill="E5E7EF"/>
          </w:tcPr>
          <w:p>
            <w:pPr>
              <w:spacing w:after="0"/>
              <w:rPr>
                <w:sz w:val="7"/>
                <w:szCs w:val="7"/>
                <w:color w:val="auto"/>
              </w:rPr>
            </w:pPr>
          </w:p>
        </w:tc>
        <w:tc>
          <w:tcPr>
            <w:tcW w:w="1940" w:type="dxa"/>
            <w:vAlign w:val="bottom"/>
            <w:tcBorders>
              <w:right w:val="single" w:sz="8" w:color="012E6C"/>
            </w:tcBorders>
            <w:shd w:val="clear" w:color="auto" w:fill="E5E7EF"/>
          </w:tcPr>
          <w:p>
            <w:pPr>
              <w:spacing w:after="0"/>
              <w:rPr>
                <w:sz w:val="7"/>
                <w:szCs w:val="7"/>
                <w:color w:val="auto"/>
              </w:rPr>
            </w:pPr>
          </w:p>
        </w:tc>
        <w:tc>
          <w:tcPr>
            <w:tcW w:w="222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2005, lump sum at later of age</w:t>
            </w:r>
          </w:p>
        </w:tc>
        <w:tc>
          <w:tcPr>
            <w:tcW w:w="206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vMerge w:val="continue"/>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040" w:type="dxa"/>
            <w:vAlign w:val="bottom"/>
            <w:tcBorders>
              <w:left w:val="single" w:sz="8" w:color="012E6C"/>
              <w:right w:val="single" w:sz="8" w:color="012E6C"/>
            </w:tcBorders>
            <w:shd w:val="clear" w:color="auto" w:fill="E5E7EF"/>
          </w:tcPr>
          <w:p>
            <w:pPr>
              <w:spacing w:after="0"/>
              <w:rPr>
                <w:sz w:val="8"/>
                <w:szCs w:val="8"/>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commencement reductions</w:t>
            </w:r>
          </w:p>
        </w:tc>
        <w:tc>
          <w:tcPr>
            <w:tcW w:w="1940" w:type="dxa"/>
            <w:vAlign w:val="bottom"/>
            <w:tcBorders>
              <w:right w:val="single" w:sz="8" w:color="012E6C"/>
            </w:tcBorders>
            <w:shd w:val="clear" w:color="auto" w:fill="E5E7EF"/>
          </w:tcPr>
          <w:p>
            <w:pPr>
              <w:spacing w:after="0"/>
              <w:rPr>
                <w:sz w:val="8"/>
                <w:szCs w:val="8"/>
                <w:color w:val="auto"/>
              </w:rPr>
            </w:pPr>
          </w:p>
        </w:tc>
        <w:tc>
          <w:tcPr>
            <w:tcW w:w="2220" w:type="dxa"/>
            <w:vAlign w:val="bottom"/>
            <w:tcBorders>
              <w:right w:val="single" w:sz="8" w:color="012E6C"/>
            </w:tcBorders>
            <w:vMerge w:val="continue"/>
            <w:shd w:val="clear" w:color="auto" w:fill="E5E7EF"/>
          </w:tcPr>
          <w:p>
            <w:pPr>
              <w:spacing w:after="0"/>
              <w:rPr>
                <w:sz w:val="8"/>
                <w:szCs w:val="8"/>
                <w:color w:val="auto"/>
              </w:rPr>
            </w:pPr>
          </w:p>
        </w:tc>
        <w:tc>
          <w:tcPr>
            <w:tcW w:w="2060" w:type="dxa"/>
            <w:vAlign w:val="bottom"/>
            <w:tcBorders>
              <w:right w:val="single" w:sz="8" w:color="012E6C"/>
            </w:tcBorders>
            <w:shd w:val="clear" w:color="auto" w:fill="E5E7EF"/>
          </w:tcPr>
          <w:p>
            <w:pPr>
              <w:spacing w:after="0"/>
              <w:rPr>
                <w:sz w:val="8"/>
                <w:szCs w:val="8"/>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reductions applied as for</w:t>
            </w:r>
          </w:p>
        </w:tc>
        <w:tc>
          <w:tcPr>
            <w:tcW w:w="0" w:type="dxa"/>
            <w:vAlign w:val="bottom"/>
          </w:tcPr>
          <w:p>
            <w:pPr>
              <w:spacing w:after="0"/>
              <w:rPr>
                <w:sz w:val="1"/>
                <w:szCs w:val="1"/>
                <w:color w:val="auto"/>
              </w:rPr>
            </w:pPr>
          </w:p>
        </w:tc>
      </w:tr>
      <w:tr>
        <w:trPr>
          <w:trHeight w:val="81"/>
        </w:trPr>
        <w:tc>
          <w:tcPr>
            <w:tcW w:w="1040" w:type="dxa"/>
            <w:vAlign w:val="bottom"/>
            <w:tcBorders>
              <w:left w:val="single" w:sz="8" w:color="012E6C"/>
              <w:right w:val="single" w:sz="8" w:color="012E6C"/>
            </w:tcBorders>
            <w:shd w:val="clear" w:color="auto" w:fill="E5E7EF"/>
          </w:tcPr>
          <w:p>
            <w:pPr>
              <w:spacing w:after="0"/>
              <w:rPr>
                <w:sz w:val="7"/>
                <w:szCs w:val="7"/>
                <w:color w:val="auto"/>
              </w:rPr>
            </w:pPr>
          </w:p>
        </w:tc>
        <w:tc>
          <w:tcPr>
            <w:tcW w:w="1940" w:type="dxa"/>
            <w:vAlign w:val="bottom"/>
            <w:tcBorders>
              <w:right w:val="single" w:sz="8" w:color="012E6C"/>
            </w:tcBorders>
            <w:vMerge w:val="continue"/>
            <w:shd w:val="clear" w:color="auto" w:fill="E5E7EF"/>
          </w:tcPr>
          <w:p>
            <w:pPr>
              <w:spacing w:after="0"/>
              <w:rPr>
                <w:sz w:val="7"/>
                <w:szCs w:val="7"/>
                <w:color w:val="auto"/>
              </w:rPr>
            </w:pPr>
          </w:p>
        </w:tc>
        <w:tc>
          <w:tcPr>
            <w:tcW w:w="1940" w:type="dxa"/>
            <w:vAlign w:val="bottom"/>
            <w:tcBorders>
              <w:right w:val="single" w:sz="8" w:color="012E6C"/>
            </w:tcBorders>
            <w:shd w:val="clear" w:color="auto" w:fill="E5E7EF"/>
          </w:tcPr>
          <w:p>
            <w:pPr>
              <w:spacing w:after="0"/>
              <w:rPr>
                <w:sz w:val="7"/>
                <w:szCs w:val="7"/>
                <w:color w:val="auto"/>
              </w:rPr>
            </w:pPr>
          </w:p>
        </w:tc>
        <w:tc>
          <w:tcPr>
            <w:tcW w:w="222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55 or termination, same</w:t>
            </w:r>
          </w:p>
        </w:tc>
        <w:tc>
          <w:tcPr>
            <w:tcW w:w="206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vMerge w:val="continue"/>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040" w:type="dxa"/>
            <w:vAlign w:val="bottom"/>
            <w:tcBorders>
              <w:left w:val="single" w:sz="8" w:color="012E6C"/>
              <w:right w:val="single" w:sz="8" w:color="012E6C"/>
            </w:tcBorders>
            <w:shd w:val="clear" w:color="auto" w:fill="E5E7EF"/>
          </w:tcPr>
          <w:p>
            <w:pPr>
              <w:spacing w:after="0"/>
              <w:rPr>
                <w:sz w:val="8"/>
                <w:szCs w:val="8"/>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applied as for Pension-</w:t>
            </w:r>
          </w:p>
        </w:tc>
        <w:tc>
          <w:tcPr>
            <w:tcW w:w="1940" w:type="dxa"/>
            <w:vAlign w:val="bottom"/>
            <w:tcBorders>
              <w:right w:val="single" w:sz="8" w:color="012E6C"/>
            </w:tcBorders>
            <w:shd w:val="clear" w:color="auto" w:fill="E5E7EF"/>
          </w:tcPr>
          <w:p>
            <w:pPr>
              <w:spacing w:after="0"/>
              <w:rPr>
                <w:sz w:val="8"/>
                <w:szCs w:val="8"/>
                <w:color w:val="auto"/>
              </w:rPr>
            </w:pPr>
          </w:p>
        </w:tc>
        <w:tc>
          <w:tcPr>
            <w:tcW w:w="2220" w:type="dxa"/>
            <w:vAlign w:val="bottom"/>
            <w:tcBorders>
              <w:right w:val="single" w:sz="8" w:color="012E6C"/>
            </w:tcBorders>
            <w:vMerge w:val="continue"/>
            <w:shd w:val="clear" w:color="auto" w:fill="E5E7EF"/>
          </w:tcPr>
          <w:p>
            <w:pPr>
              <w:spacing w:after="0"/>
              <w:rPr>
                <w:sz w:val="8"/>
                <w:szCs w:val="8"/>
                <w:color w:val="auto"/>
              </w:rPr>
            </w:pPr>
          </w:p>
        </w:tc>
        <w:tc>
          <w:tcPr>
            <w:tcW w:w="2060" w:type="dxa"/>
            <w:vAlign w:val="bottom"/>
            <w:tcBorders>
              <w:right w:val="single" w:sz="8" w:color="012E6C"/>
            </w:tcBorders>
            <w:shd w:val="clear" w:color="auto" w:fill="E5E7EF"/>
          </w:tcPr>
          <w:p>
            <w:pPr>
              <w:spacing w:after="0"/>
              <w:rPr>
                <w:sz w:val="8"/>
                <w:szCs w:val="8"/>
                <w:color w:val="auto"/>
              </w:rPr>
            </w:pPr>
          </w:p>
        </w:tc>
        <w:tc>
          <w:tcPr>
            <w:tcW w:w="206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Pension-Qualified.</w:t>
            </w:r>
          </w:p>
        </w:tc>
        <w:tc>
          <w:tcPr>
            <w:tcW w:w="0" w:type="dxa"/>
            <w:vAlign w:val="bottom"/>
          </w:tcPr>
          <w:p>
            <w:pPr>
              <w:spacing w:after="0"/>
              <w:rPr>
                <w:sz w:val="1"/>
                <w:szCs w:val="1"/>
                <w:color w:val="auto"/>
              </w:rPr>
            </w:pPr>
          </w:p>
        </w:tc>
      </w:tr>
      <w:tr>
        <w:trPr>
          <w:trHeight w:val="81"/>
        </w:trPr>
        <w:tc>
          <w:tcPr>
            <w:tcW w:w="1040" w:type="dxa"/>
            <w:vAlign w:val="bottom"/>
            <w:tcBorders>
              <w:left w:val="single" w:sz="8" w:color="012E6C"/>
              <w:right w:val="single" w:sz="8" w:color="012E6C"/>
            </w:tcBorders>
            <w:shd w:val="clear" w:color="auto" w:fill="E5E7EF"/>
          </w:tcPr>
          <w:p>
            <w:pPr>
              <w:spacing w:after="0"/>
              <w:rPr>
                <w:sz w:val="7"/>
                <w:szCs w:val="7"/>
                <w:color w:val="auto"/>
              </w:rPr>
            </w:pPr>
          </w:p>
        </w:tc>
        <w:tc>
          <w:tcPr>
            <w:tcW w:w="1940" w:type="dxa"/>
            <w:vAlign w:val="bottom"/>
            <w:tcBorders>
              <w:right w:val="single" w:sz="8" w:color="012E6C"/>
            </w:tcBorders>
            <w:vMerge w:val="continue"/>
            <w:shd w:val="clear" w:color="auto" w:fill="E5E7EF"/>
          </w:tcPr>
          <w:p>
            <w:pPr>
              <w:spacing w:after="0"/>
              <w:rPr>
                <w:sz w:val="7"/>
                <w:szCs w:val="7"/>
                <w:color w:val="auto"/>
              </w:rPr>
            </w:pPr>
          </w:p>
        </w:tc>
        <w:tc>
          <w:tcPr>
            <w:tcW w:w="1940" w:type="dxa"/>
            <w:vAlign w:val="bottom"/>
            <w:tcBorders>
              <w:right w:val="single" w:sz="8" w:color="012E6C"/>
            </w:tcBorders>
            <w:shd w:val="clear" w:color="auto" w:fill="E5E7EF"/>
          </w:tcPr>
          <w:p>
            <w:pPr>
              <w:spacing w:after="0"/>
              <w:rPr>
                <w:sz w:val="7"/>
                <w:szCs w:val="7"/>
                <w:color w:val="auto"/>
              </w:rPr>
            </w:pPr>
          </w:p>
        </w:tc>
        <w:tc>
          <w:tcPr>
            <w:tcW w:w="222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provisions as Pension-Qualified</w:t>
            </w:r>
          </w:p>
        </w:tc>
        <w:tc>
          <w:tcPr>
            <w:tcW w:w="206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vMerge w:val="continue"/>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040" w:type="dxa"/>
            <w:vAlign w:val="bottom"/>
            <w:tcBorders>
              <w:left w:val="single" w:sz="8" w:color="012E6C"/>
              <w:right w:val="single" w:sz="8" w:color="012E6C"/>
            </w:tcBorders>
            <w:shd w:val="clear" w:color="auto" w:fill="E5E7EF"/>
          </w:tcPr>
          <w:p>
            <w:pPr>
              <w:spacing w:after="0"/>
              <w:rPr>
                <w:sz w:val="8"/>
                <w:szCs w:val="8"/>
                <w:color w:val="auto"/>
              </w:rPr>
            </w:pPr>
          </w:p>
        </w:tc>
        <w:tc>
          <w:tcPr>
            <w:tcW w:w="194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Qualified.</w:t>
            </w:r>
          </w:p>
        </w:tc>
        <w:tc>
          <w:tcPr>
            <w:tcW w:w="1940" w:type="dxa"/>
            <w:vAlign w:val="bottom"/>
            <w:tcBorders>
              <w:right w:val="single" w:sz="8" w:color="012E6C"/>
            </w:tcBorders>
            <w:shd w:val="clear" w:color="auto" w:fill="E5E7EF"/>
          </w:tcPr>
          <w:p>
            <w:pPr>
              <w:spacing w:after="0"/>
              <w:rPr>
                <w:sz w:val="8"/>
                <w:szCs w:val="8"/>
                <w:color w:val="auto"/>
              </w:rPr>
            </w:pPr>
          </w:p>
        </w:tc>
        <w:tc>
          <w:tcPr>
            <w:tcW w:w="2220" w:type="dxa"/>
            <w:vAlign w:val="bottom"/>
            <w:tcBorders>
              <w:right w:val="single" w:sz="8" w:color="012E6C"/>
            </w:tcBorders>
            <w:vMerge w:val="continue"/>
            <w:shd w:val="clear" w:color="auto" w:fill="E5E7EF"/>
          </w:tcPr>
          <w:p>
            <w:pPr>
              <w:spacing w:after="0"/>
              <w:rPr>
                <w:sz w:val="8"/>
                <w:szCs w:val="8"/>
                <w:color w:val="auto"/>
              </w:rPr>
            </w:pPr>
          </w:p>
        </w:tc>
        <w:tc>
          <w:tcPr>
            <w:tcW w:w="2060" w:type="dxa"/>
            <w:vAlign w:val="bottom"/>
            <w:tcBorders>
              <w:right w:val="single" w:sz="8" w:color="012E6C"/>
            </w:tcBorders>
            <w:shd w:val="clear" w:color="auto" w:fill="E5E7EF"/>
          </w:tcPr>
          <w:p>
            <w:pPr>
              <w:spacing w:after="0"/>
              <w:rPr>
                <w:sz w:val="8"/>
                <w:szCs w:val="8"/>
                <w:color w:val="auto"/>
              </w:rPr>
            </w:pPr>
          </w:p>
        </w:tc>
        <w:tc>
          <w:tcPr>
            <w:tcW w:w="2060" w:type="dxa"/>
            <w:vAlign w:val="bottom"/>
            <w:tcBorders>
              <w:right w:val="single" w:sz="8" w:color="012E6C"/>
            </w:tcBorders>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40" w:type="dxa"/>
            <w:vAlign w:val="bottom"/>
            <w:tcBorders>
              <w:left w:val="single" w:sz="8" w:color="012E6C"/>
              <w:right w:val="single" w:sz="8" w:color="012E6C"/>
            </w:tcBorders>
            <w:shd w:val="clear" w:color="auto" w:fill="E5E7EF"/>
          </w:tcPr>
          <w:p>
            <w:pPr>
              <w:spacing w:after="0"/>
              <w:rPr>
                <w:sz w:val="7"/>
                <w:szCs w:val="7"/>
                <w:color w:val="auto"/>
              </w:rPr>
            </w:pPr>
          </w:p>
        </w:tc>
        <w:tc>
          <w:tcPr>
            <w:tcW w:w="1940" w:type="dxa"/>
            <w:vAlign w:val="bottom"/>
            <w:tcBorders>
              <w:right w:val="single" w:sz="8" w:color="012E6C"/>
            </w:tcBorders>
            <w:vMerge w:val="continue"/>
            <w:shd w:val="clear" w:color="auto" w:fill="E5E7EF"/>
          </w:tcPr>
          <w:p>
            <w:pPr>
              <w:spacing w:after="0"/>
              <w:rPr>
                <w:sz w:val="7"/>
                <w:szCs w:val="7"/>
                <w:color w:val="auto"/>
              </w:rPr>
            </w:pPr>
          </w:p>
        </w:tc>
        <w:tc>
          <w:tcPr>
            <w:tcW w:w="1940" w:type="dxa"/>
            <w:vAlign w:val="bottom"/>
            <w:tcBorders>
              <w:right w:val="single" w:sz="8" w:color="012E6C"/>
            </w:tcBorders>
            <w:shd w:val="clear" w:color="auto" w:fill="E5E7EF"/>
          </w:tcPr>
          <w:p>
            <w:pPr>
              <w:spacing w:after="0"/>
              <w:rPr>
                <w:sz w:val="7"/>
                <w:szCs w:val="7"/>
                <w:color w:val="auto"/>
              </w:rPr>
            </w:pPr>
          </w:p>
        </w:tc>
        <w:tc>
          <w:tcPr>
            <w:tcW w:w="2220" w:type="dxa"/>
            <w:vAlign w:val="bottom"/>
            <w:tcBorders>
              <w:right w:val="single" w:sz="8" w:color="012E6C"/>
            </w:tcBorders>
            <w:vMerge w:val="restart"/>
            <w:shd w:val="clear" w:color="auto" w:fill="E5E7EF"/>
          </w:tcPr>
          <w:p>
            <w:pPr>
              <w:ind w:left="100"/>
              <w:spacing w:after="0"/>
              <w:rPr>
                <w:sz w:val="20"/>
                <w:szCs w:val="20"/>
                <w:color w:val="auto"/>
              </w:rPr>
            </w:pPr>
            <w:r>
              <w:rPr>
                <w:rFonts w:ascii="Arial" w:cs="Arial" w:eastAsia="Arial" w:hAnsi="Arial"/>
                <w:sz w:val="14"/>
                <w:szCs w:val="14"/>
                <w:color w:val="auto"/>
              </w:rPr>
              <w:t>for spousal waiver, disability,</w:t>
            </w:r>
          </w:p>
        </w:tc>
        <w:tc>
          <w:tcPr>
            <w:tcW w:w="2060" w:type="dxa"/>
            <w:vAlign w:val="bottom"/>
            <w:tcBorders>
              <w:right w:val="single" w:sz="8" w:color="012E6C"/>
            </w:tcBorders>
            <w:shd w:val="clear" w:color="auto" w:fill="E5E7EF"/>
          </w:tcPr>
          <w:p>
            <w:pPr>
              <w:spacing w:after="0"/>
              <w:rPr>
                <w:sz w:val="7"/>
                <w:szCs w:val="7"/>
                <w:color w:val="auto"/>
              </w:rPr>
            </w:pPr>
          </w:p>
        </w:tc>
        <w:tc>
          <w:tcPr>
            <w:tcW w:w="2060" w:type="dxa"/>
            <w:vAlign w:val="bottom"/>
            <w:tcBorders>
              <w:right w:val="single" w:sz="8" w:color="012E6C"/>
            </w:tcBorders>
            <w:shd w:val="clear" w:color="auto" w:fill="E5E7EF"/>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1040" w:type="dxa"/>
            <w:vAlign w:val="bottom"/>
            <w:tcBorders>
              <w:left w:val="single" w:sz="8" w:color="012E6C"/>
              <w:right w:val="single" w:sz="8" w:color="012E6C"/>
            </w:tcBorders>
            <w:shd w:val="clear" w:color="auto" w:fill="E5E7EF"/>
          </w:tcPr>
          <w:p>
            <w:pPr>
              <w:spacing w:after="0"/>
              <w:rPr>
                <w:sz w:val="8"/>
                <w:szCs w:val="8"/>
                <w:color w:val="auto"/>
              </w:rPr>
            </w:pPr>
          </w:p>
        </w:tc>
        <w:tc>
          <w:tcPr>
            <w:tcW w:w="1940" w:type="dxa"/>
            <w:vAlign w:val="bottom"/>
            <w:tcBorders>
              <w:right w:val="single" w:sz="8" w:color="012E6C"/>
            </w:tcBorders>
            <w:shd w:val="clear" w:color="auto" w:fill="E5E7EF"/>
          </w:tcPr>
          <w:p>
            <w:pPr>
              <w:spacing w:after="0"/>
              <w:rPr>
                <w:sz w:val="8"/>
                <w:szCs w:val="8"/>
                <w:color w:val="auto"/>
              </w:rPr>
            </w:pPr>
          </w:p>
        </w:tc>
        <w:tc>
          <w:tcPr>
            <w:tcW w:w="1940" w:type="dxa"/>
            <w:vAlign w:val="bottom"/>
            <w:tcBorders>
              <w:right w:val="single" w:sz="8" w:color="012E6C"/>
            </w:tcBorders>
            <w:shd w:val="clear" w:color="auto" w:fill="E5E7EF"/>
          </w:tcPr>
          <w:p>
            <w:pPr>
              <w:spacing w:after="0"/>
              <w:rPr>
                <w:sz w:val="8"/>
                <w:szCs w:val="8"/>
                <w:color w:val="auto"/>
              </w:rPr>
            </w:pPr>
          </w:p>
        </w:tc>
        <w:tc>
          <w:tcPr>
            <w:tcW w:w="2220" w:type="dxa"/>
            <w:vAlign w:val="bottom"/>
            <w:tcBorders>
              <w:right w:val="single" w:sz="8" w:color="012E6C"/>
            </w:tcBorders>
            <w:vMerge w:val="continue"/>
            <w:shd w:val="clear" w:color="auto" w:fill="E5E7EF"/>
          </w:tcPr>
          <w:p>
            <w:pPr>
              <w:spacing w:after="0"/>
              <w:rPr>
                <w:sz w:val="8"/>
                <w:szCs w:val="8"/>
                <w:color w:val="auto"/>
              </w:rPr>
            </w:pPr>
          </w:p>
        </w:tc>
        <w:tc>
          <w:tcPr>
            <w:tcW w:w="2060" w:type="dxa"/>
            <w:vAlign w:val="bottom"/>
            <w:tcBorders>
              <w:right w:val="single" w:sz="8" w:color="012E6C"/>
            </w:tcBorders>
            <w:shd w:val="clear" w:color="auto" w:fill="E5E7EF"/>
          </w:tcPr>
          <w:p>
            <w:pPr>
              <w:spacing w:after="0"/>
              <w:rPr>
                <w:sz w:val="8"/>
                <w:szCs w:val="8"/>
                <w:color w:val="auto"/>
              </w:rPr>
            </w:pPr>
          </w:p>
        </w:tc>
        <w:tc>
          <w:tcPr>
            <w:tcW w:w="2060" w:type="dxa"/>
            <w:vAlign w:val="bottom"/>
            <w:tcBorders>
              <w:right w:val="single" w:sz="8" w:color="012E6C"/>
            </w:tcBorders>
            <w:shd w:val="clear" w:color="auto" w:fill="E5E7E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040" w:type="dxa"/>
            <w:vAlign w:val="bottom"/>
            <w:tcBorders>
              <w:left w:val="single" w:sz="8" w:color="012E6C"/>
              <w:right w:val="single" w:sz="8" w:color="012E6C"/>
            </w:tcBorders>
            <w:shd w:val="clear" w:color="auto" w:fill="E5E7EF"/>
          </w:tcPr>
          <w:p>
            <w:pPr>
              <w:spacing w:after="0"/>
              <w:rPr>
                <w:sz w:val="15"/>
                <w:szCs w:val="15"/>
                <w:color w:val="auto"/>
              </w:rPr>
            </w:pPr>
          </w:p>
        </w:tc>
        <w:tc>
          <w:tcPr>
            <w:tcW w:w="1940" w:type="dxa"/>
            <w:vAlign w:val="bottom"/>
            <w:tcBorders>
              <w:right w:val="single" w:sz="8" w:color="012E6C"/>
            </w:tcBorders>
            <w:shd w:val="clear" w:color="auto" w:fill="E5E7EF"/>
          </w:tcPr>
          <w:p>
            <w:pPr>
              <w:spacing w:after="0"/>
              <w:rPr>
                <w:sz w:val="15"/>
                <w:szCs w:val="15"/>
                <w:color w:val="auto"/>
              </w:rPr>
            </w:pPr>
          </w:p>
        </w:tc>
        <w:tc>
          <w:tcPr>
            <w:tcW w:w="1940" w:type="dxa"/>
            <w:vAlign w:val="bottom"/>
            <w:tcBorders>
              <w:right w:val="single" w:sz="8" w:color="012E6C"/>
            </w:tcBorders>
            <w:shd w:val="clear" w:color="auto" w:fill="E5E7EF"/>
          </w:tcPr>
          <w:p>
            <w:pPr>
              <w:spacing w:after="0"/>
              <w:rPr>
                <w:sz w:val="15"/>
                <w:szCs w:val="15"/>
                <w:color w:val="auto"/>
              </w:rPr>
            </w:pPr>
          </w:p>
        </w:tc>
        <w:tc>
          <w:tcPr>
            <w:tcW w:w="2220" w:type="dxa"/>
            <w:vAlign w:val="bottom"/>
            <w:tcBorders>
              <w:right w:val="single" w:sz="8" w:color="012E6C"/>
            </w:tcBorders>
            <w:shd w:val="clear" w:color="auto" w:fill="E5E7EF"/>
          </w:tcPr>
          <w:p>
            <w:pPr>
              <w:ind w:left="100"/>
              <w:spacing w:after="0"/>
              <w:rPr>
                <w:sz w:val="20"/>
                <w:szCs w:val="20"/>
                <w:color w:val="auto"/>
              </w:rPr>
            </w:pPr>
            <w:r>
              <w:rPr>
                <w:rFonts w:ascii="Arial" w:cs="Arial" w:eastAsia="Arial" w:hAnsi="Arial"/>
                <w:sz w:val="14"/>
                <w:szCs w:val="14"/>
                <w:color w:val="auto"/>
              </w:rPr>
              <w:t>and layoff.</w:t>
            </w:r>
          </w:p>
        </w:tc>
        <w:tc>
          <w:tcPr>
            <w:tcW w:w="2060" w:type="dxa"/>
            <w:vAlign w:val="bottom"/>
            <w:tcBorders>
              <w:right w:val="single" w:sz="8" w:color="012E6C"/>
            </w:tcBorders>
            <w:shd w:val="clear" w:color="auto" w:fill="E5E7EF"/>
          </w:tcPr>
          <w:p>
            <w:pPr>
              <w:spacing w:after="0"/>
              <w:rPr>
                <w:sz w:val="15"/>
                <w:szCs w:val="15"/>
                <w:color w:val="auto"/>
              </w:rPr>
            </w:pPr>
          </w:p>
        </w:tc>
        <w:tc>
          <w:tcPr>
            <w:tcW w:w="2060" w:type="dxa"/>
            <w:vAlign w:val="bottom"/>
            <w:tcBorders>
              <w:right w:val="single" w:sz="8" w:color="012E6C"/>
            </w:tcBorders>
            <w:shd w:val="clear" w:color="auto" w:fill="E5E7EF"/>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1040" w:type="dxa"/>
            <w:vAlign w:val="bottom"/>
            <w:tcBorders>
              <w:left w:val="single" w:sz="8" w:color="012E6C"/>
              <w:bottom w:val="single" w:sz="8" w:color="012E6C"/>
              <w:right w:val="single" w:sz="8" w:color="012E6C"/>
            </w:tcBorders>
            <w:shd w:val="clear" w:color="auto" w:fill="E5E7EF"/>
          </w:tcPr>
          <w:p>
            <w:pPr>
              <w:spacing w:after="0"/>
              <w:rPr>
                <w:sz w:val="6"/>
                <w:szCs w:val="6"/>
                <w:color w:val="auto"/>
              </w:rPr>
            </w:pPr>
          </w:p>
        </w:tc>
        <w:tc>
          <w:tcPr>
            <w:tcW w:w="1940" w:type="dxa"/>
            <w:vAlign w:val="bottom"/>
            <w:tcBorders>
              <w:bottom w:val="single" w:sz="8" w:color="012E6C"/>
              <w:right w:val="single" w:sz="8" w:color="012E6C"/>
            </w:tcBorders>
            <w:shd w:val="clear" w:color="auto" w:fill="E5E7EF"/>
          </w:tcPr>
          <w:p>
            <w:pPr>
              <w:spacing w:after="0"/>
              <w:rPr>
                <w:sz w:val="6"/>
                <w:szCs w:val="6"/>
                <w:color w:val="auto"/>
              </w:rPr>
            </w:pPr>
          </w:p>
        </w:tc>
        <w:tc>
          <w:tcPr>
            <w:tcW w:w="1940" w:type="dxa"/>
            <w:vAlign w:val="bottom"/>
            <w:tcBorders>
              <w:bottom w:val="single" w:sz="8" w:color="012E6C"/>
              <w:right w:val="single" w:sz="8" w:color="012E6C"/>
            </w:tcBorders>
            <w:shd w:val="clear" w:color="auto" w:fill="E5E7EF"/>
          </w:tcPr>
          <w:p>
            <w:pPr>
              <w:spacing w:after="0"/>
              <w:rPr>
                <w:sz w:val="6"/>
                <w:szCs w:val="6"/>
                <w:color w:val="auto"/>
              </w:rPr>
            </w:pPr>
          </w:p>
        </w:tc>
        <w:tc>
          <w:tcPr>
            <w:tcW w:w="2220" w:type="dxa"/>
            <w:vAlign w:val="bottom"/>
            <w:tcBorders>
              <w:bottom w:val="single" w:sz="8" w:color="012E6C"/>
              <w:right w:val="single" w:sz="8" w:color="012E6C"/>
            </w:tcBorders>
            <w:shd w:val="clear" w:color="auto" w:fill="E5E7EF"/>
          </w:tcPr>
          <w:p>
            <w:pPr>
              <w:spacing w:after="0"/>
              <w:rPr>
                <w:sz w:val="6"/>
                <w:szCs w:val="6"/>
                <w:color w:val="auto"/>
              </w:rPr>
            </w:pPr>
          </w:p>
        </w:tc>
        <w:tc>
          <w:tcPr>
            <w:tcW w:w="2060" w:type="dxa"/>
            <w:vAlign w:val="bottom"/>
            <w:tcBorders>
              <w:bottom w:val="single" w:sz="8" w:color="012E6C"/>
              <w:right w:val="single" w:sz="8" w:color="012E6C"/>
            </w:tcBorders>
            <w:shd w:val="clear" w:color="auto" w:fill="E5E7EF"/>
          </w:tcPr>
          <w:p>
            <w:pPr>
              <w:spacing w:after="0"/>
              <w:rPr>
                <w:sz w:val="6"/>
                <w:szCs w:val="6"/>
                <w:color w:val="auto"/>
              </w:rPr>
            </w:pPr>
          </w:p>
        </w:tc>
        <w:tc>
          <w:tcPr>
            <w:tcW w:w="2060" w:type="dxa"/>
            <w:vAlign w:val="bottom"/>
            <w:tcBorders>
              <w:bottom w:val="single" w:sz="8" w:color="012E6C"/>
              <w:right w:val="single" w:sz="8" w:color="012E6C"/>
            </w:tcBorders>
            <w:shd w:val="clear" w:color="auto" w:fill="E5E7E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040" w:type="dxa"/>
            <w:vAlign w:val="bottom"/>
            <w:tcBorders>
              <w:left w:val="single" w:sz="8" w:color="012E6C"/>
              <w:right w:val="single" w:sz="8" w:color="012E6C"/>
            </w:tcBorders>
          </w:tcPr>
          <w:p>
            <w:pPr>
              <w:spacing w:after="0"/>
              <w:rPr>
                <w:sz w:val="21"/>
                <w:szCs w:val="21"/>
                <w:color w:val="auto"/>
              </w:rPr>
            </w:pPr>
          </w:p>
        </w:tc>
        <w:tc>
          <w:tcPr>
            <w:tcW w:w="1940" w:type="dxa"/>
            <w:vAlign w:val="bottom"/>
            <w:tcBorders>
              <w:right w:val="single" w:sz="8" w:color="012E6C"/>
            </w:tcBorders>
          </w:tcPr>
          <w:p>
            <w:pPr>
              <w:spacing w:after="0"/>
              <w:rPr>
                <w:sz w:val="21"/>
                <w:szCs w:val="21"/>
                <w:color w:val="auto"/>
              </w:rPr>
            </w:pPr>
          </w:p>
        </w:tc>
        <w:tc>
          <w:tcPr>
            <w:tcW w:w="1940" w:type="dxa"/>
            <w:vAlign w:val="bottom"/>
            <w:tcBorders>
              <w:right w:val="single" w:sz="8" w:color="012E6C"/>
            </w:tcBorders>
          </w:tcPr>
          <w:p>
            <w:pPr>
              <w:spacing w:after="0"/>
              <w:rPr>
                <w:sz w:val="21"/>
                <w:szCs w:val="21"/>
                <w:color w:val="auto"/>
              </w:rPr>
            </w:pPr>
          </w:p>
        </w:tc>
        <w:tc>
          <w:tcPr>
            <w:tcW w:w="222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DMICP: Lump sum or</w:t>
            </w:r>
          </w:p>
        </w:tc>
        <w:tc>
          <w:tcPr>
            <w:tcW w:w="2060" w:type="dxa"/>
            <w:vAlign w:val="bottom"/>
            <w:tcBorders>
              <w:right w:val="single" w:sz="8" w:color="012E6C"/>
            </w:tcBorders>
          </w:tcPr>
          <w:p>
            <w:pPr>
              <w:spacing w:after="0"/>
              <w:rPr>
                <w:sz w:val="21"/>
                <w:szCs w:val="21"/>
                <w:color w:val="auto"/>
              </w:rPr>
            </w:pPr>
          </w:p>
        </w:tc>
        <w:tc>
          <w:tcPr>
            <w:tcW w:w="206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DMICP: Lump sum or</w:t>
            </w:r>
          </w:p>
        </w:tc>
        <w:tc>
          <w:tcPr>
            <w:tcW w:w="0" w:type="dxa"/>
            <w:vAlign w:val="bottom"/>
          </w:tcPr>
          <w:p>
            <w:pPr>
              <w:spacing w:after="0"/>
              <w:rPr>
                <w:sz w:val="1"/>
                <w:szCs w:val="1"/>
                <w:color w:val="auto"/>
              </w:rPr>
            </w:pPr>
          </w:p>
        </w:tc>
      </w:tr>
      <w:tr>
        <w:trPr>
          <w:trHeight w:val="175"/>
        </w:trPr>
        <w:tc>
          <w:tcPr>
            <w:tcW w:w="1040" w:type="dxa"/>
            <w:vAlign w:val="bottom"/>
            <w:tcBorders>
              <w:left w:val="single" w:sz="8" w:color="012E6C"/>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2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installment payments in</w:t>
            </w:r>
          </w:p>
        </w:tc>
        <w:tc>
          <w:tcPr>
            <w:tcW w:w="2060" w:type="dxa"/>
            <w:vAlign w:val="bottom"/>
            <w:tcBorders>
              <w:right w:val="single" w:sz="8" w:color="012E6C"/>
            </w:tcBorders>
          </w:tcPr>
          <w:p>
            <w:pPr>
              <w:spacing w:after="0"/>
              <w:rPr>
                <w:sz w:val="15"/>
                <w:szCs w:val="15"/>
                <w:color w:val="auto"/>
              </w:rPr>
            </w:pPr>
          </w:p>
        </w:tc>
        <w:tc>
          <w:tcPr>
            <w:tcW w:w="206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installment payments in</w:t>
            </w:r>
          </w:p>
        </w:tc>
        <w:tc>
          <w:tcPr>
            <w:tcW w:w="0" w:type="dxa"/>
            <w:vAlign w:val="bottom"/>
          </w:tcPr>
          <w:p>
            <w:pPr>
              <w:spacing w:after="0"/>
              <w:rPr>
                <w:sz w:val="1"/>
                <w:szCs w:val="1"/>
                <w:color w:val="auto"/>
              </w:rPr>
            </w:pPr>
          </w:p>
        </w:tc>
      </w:tr>
      <w:tr>
        <w:trPr>
          <w:trHeight w:val="175"/>
        </w:trPr>
        <w:tc>
          <w:tcPr>
            <w:tcW w:w="1040" w:type="dxa"/>
            <w:vAlign w:val="bottom"/>
            <w:tcBorders>
              <w:left w:val="single" w:sz="8" w:color="012E6C"/>
              <w:right w:val="single" w:sz="8" w:color="012E6C"/>
            </w:tcBorders>
            <w:vMerge w:val="restart"/>
          </w:tcPr>
          <w:p>
            <w:pPr>
              <w:jc w:val="center"/>
              <w:spacing w:after="0"/>
              <w:rPr>
                <w:sz w:val="20"/>
                <w:szCs w:val="20"/>
                <w:color w:val="auto"/>
              </w:rPr>
            </w:pPr>
            <w:r>
              <w:rPr>
                <w:rFonts w:ascii="Arial" w:cs="Arial" w:eastAsia="Arial" w:hAnsi="Arial"/>
                <w:sz w:val="15"/>
                <w:szCs w:val="15"/>
                <w:b w:val="1"/>
                <w:bCs w:val="1"/>
                <w:color w:val="003478"/>
                <w:w w:val="96"/>
              </w:rPr>
              <w:t>DMICP</w:t>
            </w:r>
            <w:r>
              <w:rPr>
                <w:rFonts w:ascii="Arial" w:cs="Arial" w:eastAsia="Arial" w:hAnsi="Arial"/>
                <w:sz w:val="19"/>
                <w:szCs w:val="19"/>
                <w:b w:val="1"/>
                <w:bCs w:val="1"/>
                <w:color w:val="003478"/>
                <w:w w:val="96"/>
                <w:vertAlign w:val="superscript"/>
              </w:rPr>
              <w:t>(5)</w:t>
            </w:r>
            <w:r>
              <w:rPr>
                <w:rFonts w:ascii="Arial" w:cs="Arial" w:eastAsia="Arial" w:hAnsi="Arial"/>
                <w:sz w:val="15"/>
                <w:szCs w:val="15"/>
                <w:b w:val="1"/>
                <w:bCs w:val="1"/>
                <w:color w:val="003478"/>
                <w:w w:val="96"/>
              </w:rPr>
              <w:t xml:space="preserve"> /</w:t>
            </w:r>
          </w:p>
        </w:tc>
        <w:tc>
          <w:tcPr>
            <w:tcW w:w="194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2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accordance with NEO</w:t>
            </w:r>
          </w:p>
        </w:tc>
        <w:tc>
          <w:tcPr>
            <w:tcW w:w="2060" w:type="dxa"/>
            <w:vAlign w:val="bottom"/>
            <w:tcBorders>
              <w:right w:val="single" w:sz="8" w:color="012E6C"/>
            </w:tcBorders>
          </w:tcPr>
          <w:p>
            <w:pPr>
              <w:spacing w:after="0"/>
              <w:rPr>
                <w:sz w:val="15"/>
                <w:szCs w:val="15"/>
                <w:color w:val="auto"/>
              </w:rPr>
            </w:pPr>
          </w:p>
        </w:tc>
        <w:tc>
          <w:tcPr>
            <w:tcW w:w="206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accordance with NEO</w:t>
            </w:r>
          </w:p>
        </w:tc>
        <w:tc>
          <w:tcPr>
            <w:tcW w:w="0" w:type="dxa"/>
            <w:vAlign w:val="bottom"/>
          </w:tcPr>
          <w:p>
            <w:pPr>
              <w:spacing w:after="0"/>
              <w:rPr>
                <w:sz w:val="1"/>
                <w:szCs w:val="1"/>
                <w:color w:val="auto"/>
              </w:rPr>
            </w:pPr>
          </w:p>
        </w:tc>
      </w:tr>
      <w:tr>
        <w:trPr>
          <w:trHeight w:val="178"/>
        </w:trPr>
        <w:tc>
          <w:tcPr>
            <w:tcW w:w="1040" w:type="dxa"/>
            <w:vAlign w:val="bottom"/>
            <w:tcBorders>
              <w:left w:val="single" w:sz="8" w:color="012E6C"/>
              <w:right w:val="single" w:sz="8" w:color="012E6C"/>
            </w:tcBorders>
            <w:vMerge w:val="continue"/>
          </w:tcPr>
          <w:p>
            <w:pPr>
              <w:spacing w:after="0"/>
              <w:rPr>
                <w:sz w:val="15"/>
                <w:szCs w:val="15"/>
                <w:color w:val="auto"/>
              </w:rPr>
            </w:pPr>
          </w:p>
        </w:tc>
        <w:tc>
          <w:tcPr>
            <w:tcW w:w="194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Lump sum or installment</w:t>
            </w:r>
          </w:p>
        </w:tc>
        <w:tc>
          <w:tcPr>
            <w:tcW w:w="1940" w:type="dxa"/>
            <w:vAlign w:val="bottom"/>
            <w:tcBorders>
              <w:right w:val="single" w:sz="8" w:color="012E6C"/>
            </w:tcBorders>
          </w:tcPr>
          <w:p>
            <w:pPr>
              <w:spacing w:after="0"/>
              <w:rPr>
                <w:sz w:val="15"/>
                <w:szCs w:val="15"/>
                <w:color w:val="auto"/>
              </w:rPr>
            </w:pPr>
          </w:p>
        </w:tc>
        <w:tc>
          <w:tcPr>
            <w:tcW w:w="222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elections, except lump sum</w:t>
            </w:r>
          </w:p>
        </w:tc>
        <w:tc>
          <w:tcPr>
            <w:tcW w:w="2060" w:type="dxa"/>
            <w:vAlign w:val="bottom"/>
            <w:tcBorders>
              <w:right w:val="single" w:sz="8" w:color="012E6C"/>
            </w:tcBorders>
          </w:tcPr>
          <w:p>
            <w:pPr>
              <w:spacing w:after="0"/>
              <w:rPr>
                <w:sz w:val="15"/>
                <w:szCs w:val="15"/>
                <w:color w:val="auto"/>
              </w:rPr>
            </w:pPr>
          </w:p>
        </w:tc>
        <w:tc>
          <w:tcPr>
            <w:tcW w:w="206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elections, except lump sum</w:t>
            </w:r>
          </w:p>
        </w:tc>
        <w:tc>
          <w:tcPr>
            <w:tcW w:w="0" w:type="dxa"/>
            <w:vAlign w:val="bottom"/>
          </w:tcPr>
          <w:p>
            <w:pPr>
              <w:spacing w:after="0"/>
              <w:rPr>
                <w:sz w:val="1"/>
                <w:szCs w:val="1"/>
                <w:color w:val="auto"/>
              </w:rPr>
            </w:pPr>
          </w:p>
        </w:tc>
      </w:tr>
      <w:tr>
        <w:trPr>
          <w:trHeight w:val="104"/>
        </w:trPr>
        <w:tc>
          <w:tcPr>
            <w:tcW w:w="1040" w:type="dxa"/>
            <w:vAlign w:val="bottom"/>
            <w:tcBorders>
              <w:left w:val="single" w:sz="8" w:color="012E6C"/>
              <w:right w:val="single" w:sz="8" w:color="012E6C"/>
            </w:tcBorders>
            <w:vMerge w:val="restart"/>
          </w:tcPr>
          <w:p>
            <w:pPr>
              <w:jc w:val="center"/>
              <w:spacing w:after="0"/>
              <w:rPr>
                <w:sz w:val="20"/>
                <w:szCs w:val="20"/>
                <w:color w:val="auto"/>
              </w:rPr>
            </w:pPr>
            <w:r>
              <w:rPr>
                <w:rFonts w:ascii="Arial" w:cs="Arial" w:eastAsia="Arial" w:hAnsi="Arial"/>
                <w:sz w:val="15"/>
                <w:szCs w:val="15"/>
                <w:b w:val="1"/>
                <w:bCs w:val="1"/>
                <w:color w:val="003478"/>
                <w:w w:val="96"/>
              </w:rPr>
              <w:t>NQSSP</w:t>
            </w:r>
            <w:r>
              <w:rPr>
                <w:rFonts w:ascii="Arial" w:cs="Arial" w:eastAsia="Arial" w:hAnsi="Arial"/>
                <w:sz w:val="19"/>
                <w:szCs w:val="19"/>
                <w:b w:val="1"/>
                <w:bCs w:val="1"/>
                <w:color w:val="003478"/>
                <w:w w:val="96"/>
                <w:vertAlign w:val="superscript"/>
              </w:rPr>
              <w:t>(5)</w:t>
            </w:r>
            <w:r>
              <w:rPr>
                <w:rFonts w:ascii="Arial" w:cs="Arial" w:eastAsia="Arial" w:hAnsi="Arial"/>
                <w:sz w:val="15"/>
                <w:szCs w:val="15"/>
                <w:b w:val="1"/>
                <w:bCs w:val="1"/>
                <w:color w:val="003478"/>
                <w:w w:val="96"/>
              </w:rPr>
              <w:t xml:space="preserve"> /</w:t>
            </w:r>
          </w:p>
        </w:tc>
        <w:tc>
          <w:tcPr>
            <w:tcW w:w="1940" w:type="dxa"/>
            <w:vAlign w:val="bottom"/>
            <w:tcBorders>
              <w:right w:val="single" w:sz="8" w:color="012E6C"/>
            </w:tcBorders>
            <w:vMerge w:val="continue"/>
          </w:tcPr>
          <w:p>
            <w:pPr>
              <w:spacing w:after="0"/>
              <w:rPr>
                <w:sz w:val="9"/>
                <w:szCs w:val="9"/>
                <w:color w:val="auto"/>
              </w:rPr>
            </w:pPr>
          </w:p>
        </w:tc>
        <w:tc>
          <w:tcPr>
            <w:tcW w:w="194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Immediate lump sum</w:t>
            </w:r>
          </w:p>
        </w:tc>
        <w:tc>
          <w:tcPr>
            <w:tcW w:w="222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only for layoff prior to age 55.</w:t>
            </w:r>
          </w:p>
        </w:tc>
        <w:tc>
          <w:tcPr>
            <w:tcW w:w="206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Follows termination</w:t>
            </w:r>
          </w:p>
        </w:tc>
        <w:tc>
          <w:tcPr>
            <w:tcW w:w="206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only if termination is prior to</w:t>
            </w:r>
          </w:p>
        </w:tc>
        <w:tc>
          <w:tcPr>
            <w:tcW w:w="0" w:type="dxa"/>
            <w:vAlign w:val="bottom"/>
          </w:tcPr>
          <w:p>
            <w:pPr>
              <w:spacing w:after="0"/>
              <w:rPr>
                <w:sz w:val="1"/>
                <w:szCs w:val="1"/>
                <w:color w:val="auto"/>
              </w:rPr>
            </w:pPr>
          </w:p>
        </w:tc>
      </w:tr>
      <w:tr>
        <w:trPr>
          <w:trHeight w:val="70"/>
        </w:trPr>
        <w:tc>
          <w:tcPr>
            <w:tcW w:w="1040" w:type="dxa"/>
            <w:vAlign w:val="bottom"/>
            <w:tcBorders>
              <w:left w:val="single" w:sz="8" w:color="012E6C"/>
              <w:right w:val="single" w:sz="8" w:color="012E6C"/>
            </w:tcBorders>
            <w:vMerge w:val="continue"/>
          </w:tcPr>
          <w:p>
            <w:pPr>
              <w:spacing w:after="0"/>
              <w:rPr>
                <w:sz w:val="6"/>
                <w:szCs w:val="6"/>
                <w:color w:val="auto"/>
              </w:rPr>
            </w:pPr>
          </w:p>
        </w:tc>
        <w:tc>
          <w:tcPr>
            <w:tcW w:w="194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payment in accordance</w:t>
            </w:r>
          </w:p>
        </w:tc>
        <w:tc>
          <w:tcPr>
            <w:tcW w:w="1940" w:type="dxa"/>
            <w:vAlign w:val="bottom"/>
            <w:tcBorders>
              <w:right w:val="single" w:sz="8" w:color="012E6C"/>
            </w:tcBorders>
            <w:vMerge w:val="continue"/>
          </w:tcPr>
          <w:p>
            <w:pPr>
              <w:spacing w:after="0"/>
              <w:rPr>
                <w:sz w:val="6"/>
                <w:szCs w:val="6"/>
                <w:color w:val="auto"/>
              </w:rPr>
            </w:pPr>
          </w:p>
        </w:tc>
        <w:tc>
          <w:tcPr>
            <w:tcW w:w="2220" w:type="dxa"/>
            <w:vAlign w:val="bottom"/>
            <w:tcBorders>
              <w:right w:val="single" w:sz="8" w:color="012E6C"/>
            </w:tcBorders>
            <w:vMerge w:val="continue"/>
          </w:tcPr>
          <w:p>
            <w:pPr>
              <w:spacing w:after="0"/>
              <w:rPr>
                <w:sz w:val="6"/>
                <w:szCs w:val="6"/>
                <w:color w:val="auto"/>
              </w:rPr>
            </w:pPr>
          </w:p>
        </w:tc>
        <w:tc>
          <w:tcPr>
            <w:tcW w:w="2060" w:type="dxa"/>
            <w:vAlign w:val="bottom"/>
            <w:tcBorders>
              <w:right w:val="single" w:sz="8" w:color="012E6C"/>
            </w:tcBorders>
            <w:vMerge w:val="continue"/>
          </w:tcPr>
          <w:p>
            <w:pPr>
              <w:spacing w:after="0"/>
              <w:rPr>
                <w:sz w:val="6"/>
                <w:szCs w:val="6"/>
                <w:color w:val="auto"/>
              </w:rPr>
            </w:pPr>
          </w:p>
        </w:tc>
        <w:tc>
          <w:tcPr>
            <w:tcW w:w="2060" w:type="dxa"/>
            <w:vAlign w:val="bottom"/>
            <w:tcBorders>
              <w:right w:val="single" w:sz="8" w:color="012E6C"/>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1040" w:type="dxa"/>
            <w:vAlign w:val="bottom"/>
            <w:tcBorders>
              <w:left w:val="single" w:sz="8" w:color="012E6C"/>
              <w:right w:val="single" w:sz="8" w:color="012E6C"/>
            </w:tcBorders>
            <w:vMerge w:val="continue"/>
          </w:tcPr>
          <w:p>
            <w:pPr>
              <w:spacing w:after="0"/>
              <w:rPr>
                <w:sz w:val="9"/>
                <w:szCs w:val="9"/>
                <w:color w:val="auto"/>
              </w:rPr>
            </w:pPr>
          </w:p>
        </w:tc>
        <w:tc>
          <w:tcPr>
            <w:tcW w:w="1940" w:type="dxa"/>
            <w:vAlign w:val="bottom"/>
            <w:tcBorders>
              <w:right w:val="single" w:sz="8" w:color="012E6C"/>
            </w:tcBorders>
            <w:vMerge w:val="continue"/>
          </w:tcPr>
          <w:p>
            <w:pPr>
              <w:spacing w:after="0"/>
              <w:rPr>
                <w:sz w:val="9"/>
                <w:szCs w:val="9"/>
                <w:color w:val="auto"/>
              </w:rPr>
            </w:pPr>
          </w:p>
        </w:tc>
        <w:tc>
          <w:tcPr>
            <w:tcW w:w="194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payment.</w:t>
            </w:r>
          </w:p>
        </w:tc>
        <w:tc>
          <w:tcPr>
            <w:tcW w:w="222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NQSSP/NCAP: Lump sum for</w:t>
            </w:r>
          </w:p>
        </w:tc>
        <w:tc>
          <w:tcPr>
            <w:tcW w:w="206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provisions.</w:t>
            </w:r>
          </w:p>
        </w:tc>
        <w:tc>
          <w:tcPr>
            <w:tcW w:w="206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age 55.</w:t>
            </w:r>
          </w:p>
        </w:tc>
        <w:tc>
          <w:tcPr>
            <w:tcW w:w="0" w:type="dxa"/>
            <w:vAlign w:val="bottom"/>
          </w:tcPr>
          <w:p>
            <w:pPr>
              <w:spacing w:after="0"/>
              <w:rPr>
                <w:sz w:val="1"/>
                <w:szCs w:val="1"/>
                <w:color w:val="auto"/>
              </w:rPr>
            </w:pPr>
          </w:p>
        </w:tc>
      </w:tr>
      <w:tr>
        <w:trPr>
          <w:trHeight w:val="118"/>
        </w:trPr>
        <w:tc>
          <w:tcPr>
            <w:tcW w:w="1040" w:type="dxa"/>
            <w:vAlign w:val="bottom"/>
            <w:tcBorders>
              <w:left w:val="single" w:sz="8" w:color="012E6C"/>
              <w:right w:val="single" w:sz="8" w:color="012E6C"/>
            </w:tcBorders>
            <w:vMerge w:val="restart"/>
          </w:tcPr>
          <w:p>
            <w:pPr>
              <w:jc w:val="center"/>
              <w:spacing w:after="0"/>
              <w:rPr>
                <w:sz w:val="20"/>
                <w:szCs w:val="20"/>
                <w:color w:val="auto"/>
              </w:rPr>
            </w:pPr>
            <w:r>
              <w:rPr>
                <w:rFonts w:ascii="Arial" w:cs="Arial" w:eastAsia="Arial" w:hAnsi="Arial"/>
                <w:sz w:val="15"/>
                <w:szCs w:val="15"/>
                <w:b w:val="1"/>
                <w:bCs w:val="1"/>
                <w:color w:val="003478"/>
                <w:w w:val="96"/>
              </w:rPr>
              <w:t>NCAP</w:t>
            </w:r>
            <w:r>
              <w:rPr>
                <w:rFonts w:ascii="Arial" w:cs="Arial" w:eastAsia="Arial" w:hAnsi="Arial"/>
                <w:sz w:val="19"/>
                <w:szCs w:val="19"/>
                <w:b w:val="1"/>
                <w:bCs w:val="1"/>
                <w:color w:val="003478"/>
                <w:w w:val="96"/>
                <w:vertAlign w:val="superscript"/>
              </w:rPr>
              <w:t>(5)</w:t>
            </w:r>
          </w:p>
        </w:tc>
        <w:tc>
          <w:tcPr>
            <w:tcW w:w="194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with NEO elections.</w:t>
            </w:r>
          </w:p>
        </w:tc>
        <w:tc>
          <w:tcPr>
            <w:tcW w:w="1940" w:type="dxa"/>
            <w:vAlign w:val="bottom"/>
            <w:tcBorders>
              <w:right w:val="single" w:sz="8" w:color="012E6C"/>
            </w:tcBorders>
            <w:vMerge w:val="continue"/>
          </w:tcPr>
          <w:p>
            <w:pPr>
              <w:spacing w:after="0"/>
              <w:rPr>
                <w:sz w:val="10"/>
                <w:szCs w:val="10"/>
                <w:color w:val="auto"/>
              </w:rPr>
            </w:pPr>
          </w:p>
        </w:tc>
        <w:tc>
          <w:tcPr>
            <w:tcW w:w="2220" w:type="dxa"/>
            <w:vAlign w:val="bottom"/>
            <w:tcBorders>
              <w:right w:val="single" w:sz="8" w:color="012E6C"/>
            </w:tcBorders>
            <w:vMerge w:val="continue"/>
          </w:tcPr>
          <w:p>
            <w:pPr>
              <w:spacing w:after="0"/>
              <w:rPr>
                <w:sz w:val="10"/>
                <w:szCs w:val="10"/>
                <w:color w:val="auto"/>
              </w:rPr>
            </w:pPr>
          </w:p>
        </w:tc>
        <w:tc>
          <w:tcPr>
            <w:tcW w:w="2060" w:type="dxa"/>
            <w:vAlign w:val="bottom"/>
            <w:tcBorders>
              <w:right w:val="single" w:sz="8" w:color="012E6C"/>
            </w:tcBorders>
            <w:vMerge w:val="continue"/>
          </w:tcPr>
          <w:p>
            <w:pPr>
              <w:spacing w:after="0"/>
              <w:rPr>
                <w:sz w:val="10"/>
                <w:szCs w:val="10"/>
                <w:color w:val="auto"/>
              </w:rPr>
            </w:pPr>
          </w:p>
        </w:tc>
        <w:tc>
          <w:tcPr>
            <w:tcW w:w="2060" w:type="dxa"/>
            <w:vAlign w:val="bottom"/>
            <w:tcBorders>
              <w:right w:val="single" w:sz="8" w:color="012E6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040" w:type="dxa"/>
            <w:vAlign w:val="bottom"/>
            <w:tcBorders>
              <w:left w:val="single" w:sz="8" w:color="012E6C"/>
              <w:right w:val="single" w:sz="8" w:color="012E6C"/>
            </w:tcBorders>
            <w:vMerge w:val="continue"/>
          </w:tcPr>
          <w:p>
            <w:pPr>
              <w:spacing w:after="0"/>
              <w:rPr>
                <w:sz w:val="4"/>
                <w:szCs w:val="4"/>
                <w:color w:val="auto"/>
              </w:rPr>
            </w:pPr>
          </w:p>
        </w:tc>
        <w:tc>
          <w:tcPr>
            <w:tcW w:w="1940" w:type="dxa"/>
            <w:vAlign w:val="bottom"/>
            <w:tcBorders>
              <w:right w:val="single" w:sz="8" w:color="012E6C"/>
            </w:tcBorders>
            <w:vMerge w:val="continue"/>
          </w:tcPr>
          <w:p>
            <w:pPr>
              <w:spacing w:after="0"/>
              <w:rPr>
                <w:sz w:val="4"/>
                <w:szCs w:val="4"/>
                <w:color w:val="auto"/>
              </w:rPr>
            </w:pPr>
          </w:p>
        </w:tc>
        <w:tc>
          <w:tcPr>
            <w:tcW w:w="1940" w:type="dxa"/>
            <w:vAlign w:val="bottom"/>
            <w:tcBorders>
              <w:right w:val="single" w:sz="8" w:color="012E6C"/>
            </w:tcBorders>
          </w:tcPr>
          <w:p>
            <w:pPr>
              <w:spacing w:after="0"/>
              <w:rPr>
                <w:sz w:val="4"/>
                <w:szCs w:val="4"/>
                <w:color w:val="auto"/>
              </w:rPr>
            </w:pPr>
          </w:p>
        </w:tc>
        <w:tc>
          <w:tcPr>
            <w:tcW w:w="222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death; for disability or layoff,</w:t>
            </w:r>
          </w:p>
        </w:tc>
        <w:tc>
          <w:tcPr>
            <w:tcW w:w="2060" w:type="dxa"/>
            <w:vAlign w:val="bottom"/>
            <w:tcBorders>
              <w:right w:val="single" w:sz="8" w:color="012E6C"/>
            </w:tcBorders>
          </w:tcPr>
          <w:p>
            <w:pPr>
              <w:spacing w:after="0"/>
              <w:rPr>
                <w:sz w:val="4"/>
                <w:szCs w:val="4"/>
                <w:color w:val="auto"/>
              </w:rPr>
            </w:pPr>
          </w:p>
        </w:tc>
        <w:tc>
          <w:tcPr>
            <w:tcW w:w="2060" w:type="dxa"/>
            <w:vAlign w:val="bottom"/>
            <w:tcBorders>
              <w:right w:val="single" w:sz="8" w:color="012E6C"/>
            </w:tcBorders>
            <w:vMerge w:val="restart"/>
          </w:tcPr>
          <w:p>
            <w:pPr>
              <w:ind w:left="100"/>
              <w:spacing w:after="0"/>
              <w:rPr>
                <w:sz w:val="20"/>
                <w:szCs w:val="20"/>
                <w:color w:val="auto"/>
              </w:rPr>
            </w:pPr>
            <w:r>
              <w:rPr>
                <w:rFonts w:ascii="Arial" w:cs="Arial" w:eastAsia="Arial" w:hAnsi="Arial"/>
                <w:sz w:val="14"/>
                <w:szCs w:val="14"/>
                <w:color w:val="auto"/>
              </w:rPr>
              <w:t>NQSSP/NCAP: Lump sum</w:t>
            </w:r>
          </w:p>
        </w:tc>
        <w:tc>
          <w:tcPr>
            <w:tcW w:w="0" w:type="dxa"/>
            <w:vAlign w:val="bottom"/>
          </w:tcPr>
          <w:p>
            <w:pPr>
              <w:spacing w:after="0"/>
              <w:rPr>
                <w:sz w:val="1"/>
                <w:szCs w:val="1"/>
                <w:color w:val="auto"/>
              </w:rPr>
            </w:pPr>
          </w:p>
        </w:tc>
      </w:tr>
      <w:tr>
        <w:trPr>
          <w:trHeight w:val="124"/>
        </w:trPr>
        <w:tc>
          <w:tcPr>
            <w:tcW w:w="1040" w:type="dxa"/>
            <w:vAlign w:val="bottom"/>
            <w:tcBorders>
              <w:left w:val="single" w:sz="8" w:color="012E6C"/>
              <w:right w:val="single" w:sz="8" w:color="012E6C"/>
            </w:tcBorders>
            <w:vMerge w:val="continue"/>
          </w:tcPr>
          <w:p>
            <w:pPr>
              <w:spacing w:after="0"/>
              <w:rPr>
                <w:sz w:val="10"/>
                <w:szCs w:val="10"/>
                <w:color w:val="auto"/>
              </w:rPr>
            </w:pPr>
          </w:p>
        </w:tc>
        <w:tc>
          <w:tcPr>
            <w:tcW w:w="1940" w:type="dxa"/>
            <w:vAlign w:val="bottom"/>
            <w:tcBorders>
              <w:right w:val="single" w:sz="8" w:color="012E6C"/>
            </w:tcBorders>
          </w:tcPr>
          <w:p>
            <w:pPr>
              <w:spacing w:after="0"/>
              <w:rPr>
                <w:sz w:val="10"/>
                <w:szCs w:val="10"/>
                <w:color w:val="auto"/>
              </w:rPr>
            </w:pPr>
          </w:p>
        </w:tc>
        <w:tc>
          <w:tcPr>
            <w:tcW w:w="1940" w:type="dxa"/>
            <w:vAlign w:val="bottom"/>
            <w:tcBorders>
              <w:right w:val="single" w:sz="8" w:color="012E6C"/>
            </w:tcBorders>
          </w:tcPr>
          <w:p>
            <w:pPr>
              <w:spacing w:after="0"/>
              <w:rPr>
                <w:sz w:val="10"/>
                <w:szCs w:val="10"/>
                <w:color w:val="auto"/>
              </w:rPr>
            </w:pPr>
          </w:p>
        </w:tc>
        <w:tc>
          <w:tcPr>
            <w:tcW w:w="2220" w:type="dxa"/>
            <w:vAlign w:val="bottom"/>
            <w:tcBorders>
              <w:right w:val="single" w:sz="8" w:color="012E6C"/>
            </w:tcBorders>
            <w:vMerge w:val="continue"/>
          </w:tcPr>
          <w:p>
            <w:pPr>
              <w:spacing w:after="0"/>
              <w:rPr>
                <w:sz w:val="10"/>
                <w:szCs w:val="10"/>
                <w:color w:val="auto"/>
              </w:rPr>
            </w:pPr>
          </w:p>
        </w:tc>
        <w:tc>
          <w:tcPr>
            <w:tcW w:w="2060" w:type="dxa"/>
            <w:vAlign w:val="bottom"/>
            <w:tcBorders>
              <w:right w:val="single" w:sz="8" w:color="012E6C"/>
            </w:tcBorders>
          </w:tcPr>
          <w:p>
            <w:pPr>
              <w:spacing w:after="0"/>
              <w:rPr>
                <w:sz w:val="10"/>
                <w:szCs w:val="10"/>
                <w:color w:val="auto"/>
              </w:rPr>
            </w:pPr>
          </w:p>
        </w:tc>
        <w:tc>
          <w:tcPr>
            <w:tcW w:w="2060" w:type="dxa"/>
            <w:vAlign w:val="bottom"/>
            <w:tcBorders>
              <w:right w:val="single" w:sz="8" w:color="012E6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040" w:type="dxa"/>
            <w:vAlign w:val="bottom"/>
            <w:tcBorders>
              <w:left w:val="single" w:sz="8" w:color="012E6C"/>
              <w:right w:val="single" w:sz="8" w:color="012E6C"/>
            </w:tcBorders>
          </w:tcPr>
          <w:p>
            <w:pPr>
              <w:spacing w:after="0"/>
              <w:rPr>
                <w:sz w:val="14"/>
                <w:szCs w:val="14"/>
                <w:color w:val="auto"/>
              </w:rPr>
            </w:pPr>
          </w:p>
        </w:tc>
        <w:tc>
          <w:tcPr>
            <w:tcW w:w="1940" w:type="dxa"/>
            <w:vAlign w:val="bottom"/>
            <w:tcBorders>
              <w:right w:val="single" w:sz="8" w:color="012E6C"/>
            </w:tcBorders>
          </w:tcPr>
          <w:p>
            <w:pPr>
              <w:spacing w:after="0"/>
              <w:rPr>
                <w:sz w:val="14"/>
                <w:szCs w:val="14"/>
                <w:color w:val="auto"/>
              </w:rPr>
            </w:pPr>
          </w:p>
        </w:tc>
        <w:tc>
          <w:tcPr>
            <w:tcW w:w="1940" w:type="dxa"/>
            <w:vAlign w:val="bottom"/>
            <w:tcBorders>
              <w:right w:val="single" w:sz="8" w:color="012E6C"/>
            </w:tcBorders>
          </w:tcPr>
          <w:p>
            <w:pPr>
              <w:spacing w:after="0"/>
              <w:rPr>
                <w:sz w:val="14"/>
                <w:szCs w:val="14"/>
                <w:color w:val="auto"/>
              </w:rPr>
            </w:pPr>
          </w:p>
        </w:tc>
        <w:tc>
          <w:tcPr>
            <w:tcW w:w="222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lump sum or installment</w:t>
            </w:r>
          </w:p>
        </w:tc>
        <w:tc>
          <w:tcPr>
            <w:tcW w:w="2060" w:type="dxa"/>
            <w:vAlign w:val="bottom"/>
            <w:tcBorders>
              <w:right w:val="single" w:sz="8" w:color="012E6C"/>
            </w:tcBorders>
          </w:tcPr>
          <w:p>
            <w:pPr>
              <w:spacing w:after="0"/>
              <w:rPr>
                <w:sz w:val="14"/>
                <w:szCs w:val="14"/>
                <w:color w:val="auto"/>
              </w:rPr>
            </w:pPr>
          </w:p>
        </w:tc>
        <w:tc>
          <w:tcPr>
            <w:tcW w:w="206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or installment payments in</w:t>
            </w:r>
          </w:p>
        </w:tc>
        <w:tc>
          <w:tcPr>
            <w:tcW w:w="0" w:type="dxa"/>
            <w:vAlign w:val="bottom"/>
          </w:tcPr>
          <w:p>
            <w:pPr>
              <w:spacing w:after="0"/>
              <w:rPr>
                <w:sz w:val="1"/>
                <w:szCs w:val="1"/>
                <w:color w:val="auto"/>
              </w:rPr>
            </w:pPr>
          </w:p>
        </w:tc>
      </w:tr>
      <w:tr>
        <w:trPr>
          <w:trHeight w:val="175"/>
        </w:trPr>
        <w:tc>
          <w:tcPr>
            <w:tcW w:w="1040" w:type="dxa"/>
            <w:vAlign w:val="bottom"/>
            <w:tcBorders>
              <w:left w:val="single" w:sz="8" w:color="012E6C"/>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2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payments in accordance with</w:t>
            </w:r>
          </w:p>
        </w:tc>
        <w:tc>
          <w:tcPr>
            <w:tcW w:w="2060" w:type="dxa"/>
            <w:vAlign w:val="bottom"/>
            <w:tcBorders>
              <w:right w:val="single" w:sz="8" w:color="012E6C"/>
            </w:tcBorders>
          </w:tcPr>
          <w:p>
            <w:pPr>
              <w:spacing w:after="0"/>
              <w:rPr>
                <w:sz w:val="15"/>
                <w:szCs w:val="15"/>
                <w:color w:val="auto"/>
              </w:rPr>
            </w:pPr>
          </w:p>
        </w:tc>
        <w:tc>
          <w:tcPr>
            <w:tcW w:w="206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accordance with NEO</w:t>
            </w:r>
          </w:p>
        </w:tc>
        <w:tc>
          <w:tcPr>
            <w:tcW w:w="0" w:type="dxa"/>
            <w:vAlign w:val="bottom"/>
          </w:tcPr>
          <w:p>
            <w:pPr>
              <w:spacing w:after="0"/>
              <w:rPr>
                <w:sz w:val="1"/>
                <w:szCs w:val="1"/>
                <w:color w:val="auto"/>
              </w:rPr>
            </w:pPr>
          </w:p>
        </w:tc>
      </w:tr>
      <w:tr>
        <w:trPr>
          <w:trHeight w:val="175"/>
        </w:trPr>
        <w:tc>
          <w:tcPr>
            <w:tcW w:w="1040" w:type="dxa"/>
            <w:vAlign w:val="bottom"/>
            <w:tcBorders>
              <w:left w:val="single" w:sz="8" w:color="012E6C"/>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1940" w:type="dxa"/>
            <w:vAlign w:val="bottom"/>
            <w:tcBorders>
              <w:right w:val="single" w:sz="8" w:color="012E6C"/>
            </w:tcBorders>
          </w:tcPr>
          <w:p>
            <w:pPr>
              <w:spacing w:after="0"/>
              <w:rPr>
                <w:sz w:val="15"/>
                <w:szCs w:val="15"/>
                <w:color w:val="auto"/>
              </w:rPr>
            </w:pPr>
          </w:p>
        </w:tc>
        <w:tc>
          <w:tcPr>
            <w:tcW w:w="222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NEO elections.</w:t>
            </w:r>
          </w:p>
        </w:tc>
        <w:tc>
          <w:tcPr>
            <w:tcW w:w="2060" w:type="dxa"/>
            <w:vAlign w:val="bottom"/>
            <w:tcBorders>
              <w:right w:val="single" w:sz="8" w:color="012E6C"/>
            </w:tcBorders>
          </w:tcPr>
          <w:p>
            <w:pPr>
              <w:spacing w:after="0"/>
              <w:rPr>
                <w:sz w:val="15"/>
                <w:szCs w:val="15"/>
                <w:color w:val="auto"/>
              </w:rPr>
            </w:pPr>
          </w:p>
        </w:tc>
        <w:tc>
          <w:tcPr>
            <w:tcW w:w="2060" w:type="dxa"/>
            <w:vAlign w:val="bottom"/>
            <w:tcBorders>
              <w:right w:val="single" w:sz="8" w:color="012E6C"/>
            </w:tcBorders>
          </w:tcPr>
          <w:p>
            <w:pPr>
              <w:ind w:left="100"/>
              <w:spacing w:after="0"/>
              <w:rPr>
                <w:sz w:val="20"/>
                <w:szCs w:val="20"/>
                <w:color w:val="auto"/>
              </w:rPr>
            </w:pPr>
            <w:r>
              <w:rPr>
                <w:rFonts w:ascii="Arial" w:cs="Arial" w:eastAsia="Arial" w:hAnsi="Arial"/>
                <w:sz w:val="14"/>
                <w:szCs w:val="14"/>
                <w:color w:val="auto"/>
              </w:rPr>
              <w:t>elections.</w:t>
            </w:r>
          </w:p>
        </w:tc>
        <w:tc>
          <w:tcPr>
            <w:tcW w:w="0" w:type="dxa"/>
            <w:vAlign w:val="bottom"/>
          </w:tcPr>
          <w:p>
            <w:pPr>
              <w:spacing w:after="0"/>
              <w:rPr>
                <w:sz w:val="1"/>
                <w:szCs w:val="1"/>
                <w:color w:val="auto"/>
              </w:rPr>
            </w:pPr>
          </w:p>
        </w:tc>
      </w:tr>
      <w:tr>
        <w:trPr>
          <w:trHeight w:val="79"/>
        </w:trPr>
        <w:tc>
          <w:tcPr>
            <w:tcW w:w="1040" w:type="dxa"/>
            <w:vAlign w:val="bottom"/>
            <w:tcBorders>
              <w:left w:val="single" w:sz="8" w:color="012E6C"/>
              <w:bottom w:val="single" w:sz="8" w:color="012E6C"/>
              <w:right w:val="single" w:sz="8" w:color="012E6C"/>
            </w:tcBorders>
          </w:tcPr>
          <w:p>
            <w:pPr>
              <w:spacing w:after="0"/>
              <w:rPr>
                <w:sz w:val="6"/>
                <w:szCs w:val="6"/>
                <w:color w:val="auto"/>
              </w:rPr>
            </w:pPr>
          </w:p>
        </w:tc>
        <w:tc>
          <w:tcPr>
            <w:tcW w:w="1940" w:type="dxa"/>
            <w:vAlign w:val="bottom"/>
            <w:tcBorders>
              <w:bottom w:val="single" w:sz="8" w:color="012E6C"/>
              <w:right w:val="single" w:sz="8" w:color="012E6C"/>
            </w:tcBorders>
          </w:tcPr>
          <w:p>
            <w:pPr>
              <w:spacing w:after="0"/>
              <w:rPr>
                <w:sz w:val="6"/>
                <w:szCs w:val="6"/>
                <w:color w:val="auto"/>
              </w:rPr>
            </w:pPr>
          </w:p>
        </w:tc>
        <w:tc>
          <w:tcPr>
            <w:tcW w:w="1940" w:type="dxa"/>
            <w:vAlign w:val="bottom"/>
            <w:tcBorders>
              <w:bottom w:val="single" w:sz="8" w:color="012E6C"/>
              <w:right w:val="single" w:sz="8" w:color="012E6C"/>
            </w:tcBorders>
          </w:tcPr>
          <w:p>
            <w:pPr>
              <w:spacing w:after="0"/>
              <w:rPr>
                <w:sz w:val="6"/>
                <w:szCs w:val="6"/>
                <w:color w:val="auto"/>
              </w:rPr>
            </w:pPr>
          </w:p>
        </w:tc>
        <w:tc>
          <w:tcPr>
            <w:tcW w:w="2220" w:type="dxa"/>
            <w:vAlign w:val="bottom"/>
            <w:tcBorders>
              <w:bottom w:val="single" w:sz="8" w:color="012E6C"/>
              <w:right w:val="single" w:sz="8" w:color="012E6C"/>
            </w:tcBorders>
          </w:tcPr>
          <w:p>
            <w:pPr>
              <w:spacing w:after="0"/>
              <w:rPr>
                <w:sz w:val="6"/>
                <w:szCs w:val="6"/>
                <w:color w:val="auto"/>
              </w:rPr>
            </w:pPr>
          </w:p>
        </w:tc>
        <w:tc>
          <w:tcPr>
            <w:tcW w:w="2060" w:type="dxa"/>
            <w:vAlign w:val="bottom"/>
            <w:tcBorders>
              <w:bottom w:val="single" w:sz="8" w:color="012E6C"/>
              <w:right w:val="single" w:sz="8" w:color="012E6C"/>
            </w:tcBorders>
          </w:tcPr>
          <w:p>
            <w:pPr>
              <w:spacing w:after="0"/>
              <w:rPr>
                <w:sz w:val="6"/>
                <w:szCs w:val="6"/>
                <w:color w:val="auto"/>
              </w:rPr>
            </w:pPr>
          </w:p>
        </w:tc>
        <w:tc>
          <w:tcPr>
            <w:tcW w:w="2060" w:type="dxa"/>
            <w:vAlign w:val="bottom"/>
            <w:tcBorders>
              <w:bottom w:val="single" w:sz="8" w:color="012E6C"/>
              <w:right w:val="single" w:sz="8" w:color="012E6C"/>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40" w:right="160" w:hanging="233"/>
        <w:spacing w:after="0" w:line="231" w:lineRule="auto"/>
        <w:tabs>
          <w:tab w:leader="none" w:pos="246" w:val="left"/>
        </w:tabs>
        <w:numPr>
          <w:ilvl w:val="0"/>
          <w:numId w:val="108"/>
        </w:numPr>
        <w:rPr>
          <w:rFonts w:ascii="Arial" w:cs="Arial" w:eastAsia="Arial" w:hAnsi="Arial"/>
          <w:sz w:val="19"/>
          <w:szCs w:val="19"/>
          <w:color w:val="auto"/>
          <w:vertAlign w:val="superscript"/>
        </w:rPr>
      </w:pPr>
      <w:r>
        <w:rPr>
          <w:rFonts w:ascii="Arial" w:cs="Arial" w:eastAsia="Arial" w:hAnsi="Arial"/>
          <w:sz w:val="14"/>
          <w:szCs w:val="14"/>
          <w:color w:val="auto"/>
        </w:rPr>
        <w:t>Divestiture is defined as a transaction which results in the transfer of control of a business operation to any person, corporation, association, partnership, joint venture, or other business entity of which less than 50 percent of the voting stock or other equity interests (in the case of entities other than corporations) is owned or controlled directly or indirectly by us, one or more of our subsidiaries, or by a combination thereof following the transaction.</w:t>
      </w:r>
    </w:p>
    <w:p>
      <w:pPr>
        <w:spacing w:after="0" w:line="10" w:lineRule="exact"/>
        <w:rPr>
          <w:rFonts w:ascii="Arial" w:cs="Arial" w:eastAsia="Arial" w:hAnsi="Arial"/>
          <w:sz w:val="19"/>
          <w:szCs w:val="19"/>
          <w:color w:val="auto"/>
          <w:vertAlign w:val="superscript"/>
        </w:rPr>
      </w:pPr>
    </w:p>
    <w:p>
      <w:pPr>
        <w:ind w:left="260" w:hanging="253"/>
        <w:spacing w:after="0"/>
        <w:tabs>
          <w:tab w:leader="none" w:pos="260" w:val="left"/>
        </w:tabs>
        <w:numPr>
          <w:ilvl w:val="0"/>
          <w:numId w:val="108"/>
        </w:numPr>
        <w:rPr>
          <w:rFonts w:ascii="Arial" w:cs="Arial" w:eastAsia="Arial" w:hAnsi="Arial"/>
          <w:sz w:val="19"/>
          <w:szCs w:val="19"/>
          <w:color w:val="auto"/>
          <w:vertAlign w:val="superscript"/>
        </w:rPr>
      </w:pPr>
      <w:r>
        <w:rPr>
          <w:rFonts w:ascii="Arial" w:cs="Arial" w:eastAsia="Arial" w:hAnsi="Arial"/>
          <w:sz w:val="14"/>
          <w:szCs w:val="14"/>
          <w:color w:val="auto"/>
        </w:rPr>
        <w:t>See “Compensation Discussion and Analysis” for discussion of annual incentive bonus payment calculation.</w:t>
      </w:r>
    </w:p>
    <w:p>
      <w:pPr>
        <w:spacing w:after="0" w:line="56" w:lineRule="exact"/>
        <w:rPr>
          <w:rFonts w:ascii="Arial" w:cs="Arial" w:eastAsia="Arial" w:hAnsi="Arial"/>
          <w:sz w:val="19"/>
          <w:szCs w:val="19"/>
          <w:color w:val="auto"/>
          <w:vertAlign w:val="superscript"/>
        </w:rPr>
      </w:pPr>
    </w:p>
    <w:p>
      <w:pPr>
        <w:ind w:left="240" w:right="220" w:hanging="233"/>
        <w:spacing w:after="0" w:line="231" w:lineRule="auto"/>
        <w:tabs>
          <w:tab w:leader="none" w:pos="246" w:val="left"/>
        </w:tabs>
        <w:numPr>
          <w:ilvl w:val="0"/>
          <w:numId w:val="108"/>
        </w:numPr>
        <w:rPr>
          <w:rFonts w:ascii="Arial" w:cs="Arial" w:eastAsia="Arial" w:hAnsi="Arial"/>
          <w:sz w:val="19"/>
          <w:szCs w:val="19"/>
          <w:color w:val="auto"/>
          <w:vertAlign w:val="superscript"/>
        </w:rPr>
      </w:pPr>
      <w:r>
        <w:rPr>
          <w:rFonts w:ascii="Arial" w:cs="Arial" w:eastAsia="Arial" w:hAnsi="Arial"/>
          <w:sz w:val="14"/>
          <w:szCs w:val="14"/>
          <w:color w:val="auto"/>
        </w:rPr>
        <w:t>Mr. Taiclet’s July 2020 equity replacement award is subject to the same provisions on termination as the other RSUs except in the event of retirement or layoff. For his July 2020 equity replacement award, Mr. Taiclet would forfeit all unvested RSUs upon retirement or resignation and, in the event of a layoff before July 27, 2022, all remaining unvested RSUs will immediately vest.</w:t>
      </w:r>
    </w:p>
    <w:p>
      <w:pPr>
        <w:spacing w:after="0" w:line="57" w:lineRule="exact"/>
        <w:rPr>
          <w:rFonts w:ascii="Arial" w:cs="Arial" w:eastAsia="Arial" w:hAnsi="Arial"/>
          <w:sz w:val="19"/>
          <w:szCs w:val="19"/>
          <w:color w:val="auto"/>
          <w:vertAlign w:val="superscript"/>
        </w:rPr>
      </w:pPr>
    </w:p>
    <w:p>
      <w:pPr>
        <w:ind w:left="240" w:right="120" w:hanging="233"/>
        <w:spacing w:after="0" w:line="245" w:lineRule="auto"/>
        <w:tabs>
          <w:tab w:leader="none" w:pos="246" w:val="left"/>
        </w:tabs>
        <w:numPr>
          <w:ilvl w:val="0"/>
          <w:numId w:val="108"/>
        </w:numPr>
        <w:rPr>
          <w:rFonts w:ascii="Arial" w:cs="Arial" w:eastAsia="Arial" w:hAnsi="Arial"/>
          <w:sz w:val="19"/>
          <w:szCs w:val="19"/>
          <w:color w:val="auto"/>
          <w:vertAlign w:val="superscript"/>
        </w:rPr>
      </w:pPr>
      <w:r>
        <w:rPr>
          <w:rFonts w:ascii="Arial" w:cs="Arial" w:eastAsia="Arial" w:hAnsi="Arial"/>
          <w:sz w:val="14"/>
          <w:szCs w:val="14"/>
          <w:color w:val="auto"/>
        </w:rPr>
        <w:t>See “Pension Benefits Table” for present value of accumulated benefit. Amounts paid under the Pension and Supplemental Pension use assumptions set forth in the plans and are different than the assumptions used to calculate the accrued benefit reported in the “Pension Benefits Table” or “Summary Compensation Table” or for financial reporting; therefore actual payouts would be different from those disclosed in such tables. Payments under the Supplemental Pension would be payable to eligible NEOs in accordance with their individual elections and would not commence prior to age 55, except in the case of a change in control, in which case benefits would be paid in a lump sum payment shortly following the change in control regardless of age. All forms of payment, whether lump sum or annuities and regardless of the payment triggering event, would be calculated using the plan assumptions to be actuarially equivalent so that there is no incremental benefit associated with any of the events or payment forms.</w:t>
      </w:r>
    </w:p>
    <w:p>
      <w:pPr>
        <w:spacing w:after="0" w:line="10" w:lineRule="exact"/>
        <w:rPr>
          <w:rFonts w:ascii="Arial" w:cs="Arial" w:eastAsia="Arial" w:hAnsi="Arial"/>
          <w:sz w:val="19"/>
          <w:szCs w:val="19"/>
          <w:color w:val="auto"/>
          <w:vertAlign w:val="superscript"/>
        </w:rPr>
      </w:pPr>
    </w:p>
    <w:p>
      <w:pPr>
        <w:ind w:left="260" w:hanging="253"/>
        <w:spacing w:after="0"/>
        <w:tabs>
          <w:tab w:leader="none" w:pos="260" w:val="left"/>
        </w:tabs>
        <w:numPr>
          <w:ilvl w:val="0"/>
          <w:numId w:val="108"/>
        </w:numPr>
        <w:rPr>
          <w:rFonts w:ascii="Arial" w:cs="Arial" w:eastAsia="Arial" w:hAnsi="Arial"/>
          <w:sz w:val="19"/>
          <w:szCs w:val="19"/>
          <w:color w:val="auto"/>
          <w:vertAlign w:val="superscript"/>
        </w:rPr>
      </w:pPr>
      <w:r>
        <w:rPr>
          <w:rFonts w:ascii="Arial" w:cs="Arial" w:eastAsia="Arial" w:hAnsi="Arial"/>
          <w:sz w:val="14"/>
          <w:szCs w:val="14"/>
          <w:color w:val="auto"/>
        </w:rPr>
        <w:t>See “Aggregate Balance at Last FYE” column in “Nonqualified Deferred Compensation Table” for amounts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66</w:t>
      </w:r>
    </w:p>
    <w:p>
      <w:pPr>
        <w:sectPr>
          <w:pgSz w:w="11900" w:h="16838" w:orient="portrait"/>
          <w:cols w:equalWidth="0" w:num="1">
            <w:col w:w="11260"/>
          </w:cols>
          <w:pgMar w:left="320" w:top="254" w:right="319" w:bottom="1440" w:gutter="0" w:footer="0" w:header="0"/>
        </w:sectPr>
      </w:pPr>
    </w:p>
    <w:bookmarkStart w:id="72" w:name="page73"/>
    <w:bookmarkEnd w:id="72"/>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77"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The following table quantifies the payments under our executive compensation programs in RSU, LTIP and PSU awards and the Executive Severance Plan that would be made for each NEO (other than Mr. Possenriede and Ms. Hewson) assuming a termination event occurred on December 31, 2021. Payments under other plans do not change as a result of the termination event, and quantification of those payments is found elsewhere in this Proxy Statement; benefits under plans available generally to salaried employees also are not included. The table shows amounts that would actually be paid on or shortly after December 31, 2021 on account of the trigger event. Amounts that are contingent upon future performance, continued vesting or already earned as of December 31, 2021 are described and quantified in the footnotes following the table. Award agreements for the NEOs contain clawback provisions and post-employment restrictive covenants. To receive a supplemental severance benefit or favorable vesting of 2020-22 and 2021-23 RSU, LTIP and PSU awards on layoff, an executive must execute a release of claims and, for the supplemental severance benefit, an agreement containing two-year post-employment non-compete and non-solicitation covenants.</w:t>
      </w:r>
    </w:p>
    <w:p>
      <w:pPr>
        <w:spacing w:after="0" w:line="88" w:lineRule="exact"/>
        <w:rPr>
          <w:sz w:val="20"/>
          <w:szCs w:val="20"/>
          <w:color w:val="auto"/>
        </w:rPr>
      </w:pPr>
    </w:p>
    <w:p>
      <w:pPr>
        <w:spacing w:after="0"/>
        <w:rPr>
          <w:sz w:val="20"/>
          <w:szCs w:val="20"/>
          <w:color w:val="auto"/>
        </w:rPr>
      </w:pPr>
      <w:r>
        <w:rPr>
          <w:rFonts w:ascii="Arial" w:cs="Arial" w:eastAsia="Arial" w:hAnsi="Arial"/>
          <w:sz w:val="29"/>
          <w:szCs w:val="29"/>
          <w:color w:val="003478"/>
        </w:rPr>
        <w:t>Potential Payments Upon Termination or Change in Control Table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760" w:type="dxa"/>
            <w:vAlign w:val="bottom"/>
            <w:shd w:val="clear" w:color="auto" w:fill="E5E7EF"/>
          </w:tcPr>
          <w:p>
            <w:pPr>
              <w:spacing w:after="0"/>
              <w:rPr>
                <w:sz w:val="14"/>
                <w:szCs w:val="14"/>
                <w:color w:val="auto"/>
              </w:rPr>
            </w:pPr>
          </w:p>
        </w:tc>
        <w:tc>
          <w:tcPr>
            <w:tcW w:w="1820" w:type="dxa"/>
            <w:vAlign w:val="bottom"/>
            <w:shd w:val="clear" w:color="auto" w:fill="E5E7EF"/>
          </w:tcPr>
          <w:p>
            <w:pPr>
              <w:spacing w:after="0"/>
              <w:rPr>
                <w:sz w:val="14"/>
                <w:szCs w:val="14"/>
                <w:color w:val="auto"/>
              </w:rPr>
            </w:pPr>
          </w:p>
        </w:tc>
        <w:tc>
          <w:tcPr>
            <w:tcW w:w="1260" w:type="dxa"/>
            <w:vAlign w:val="bottom"/>
            <w:shd w:val="clear" w:color="auto" w:fill="E5E7EF"/>
          </w:tcPr>
          <w:p>
            <w:pPr>
              <w:spacing w:after="0"/>
              <w:rPr>
                <w:sz w:val="14"/>
                <w:szCs w:val="14"/>
                <w:color w:val="auto"/>
              </w:rPr>
            </w:pPr>
          </w:p>
        </w:tc>
        <w:tc>
          <w:tcPr>
            <w:tcW w:w="1120" w:type="dxa"/>
            <w:vAlign w:val="bottom"/>
            <w:shd w:val="clear" w:color="auto" w:fill="E5E7EF"/>
          </w:tcPr>
          <w:p>
            <w:pPr>
              <w:jc w:val="right"/>
              <w:ind w:right="109"/>
              <w:spacing w:after="0"/>
              <w:rPr>
                <w:sz w:val="20"/>
                <w:szCs w:val="20"/>
                <w:color w:val="auto"/>
              </w:rPr>
            </w:pPr>
            <w:r>
              <w:rPr>
                <w:rFonts w:ascii="Arial" w:cs="Arial" w:eastAsia="Arial" w:hAnsi="Arial"/>
                <w:sz w:val="13"/>
                <w:szCs w:val="13"/>
                <w:color w:val="auto"/>
              </w:rPr>
              <w:t>Change</w:t>
            </w:r>
          </w:p>
        </w:tc>
        <w:tc>
          <w:tcPr>
            <w:tcW w:w="1100" w:type="dxa"/>
            <w:vAlign w:val="bottom"/>
            <w:shd w:val="clear" w:color="auto" w:fill="E5E7EF"/>
          </w:tcPr>
          <w:p>
            <w:pPr>
              <w:jc w:val="right"/>
              <w:ind w:right="89"/>
              <w:spacing w:after="0"/>
              <w:rPr>
                <w:sz w:val="20"/>
                <w:szCs w:val="20"/>
                <w:color w:val="auto"/>
              </w:rPr>
            </w:pPr>
            <w:r>
              <w:rPr>
                <w:rFonts w:ascii="Arial" w:cs="Arial" w:eastAsia="Arial" w:hAnsi="Arial"/>
                <w:sz w:val="13"/>
                <w:szCs w:val="13"/>
                <w:color w:val="auto"/>
              </w:rPr>
              <w:t>Death/</w:t>
            </w:r>
          </w:p>
        </w:tc>
        <w:tc>
          <w:tcPr>
            <w:tcW w:w="1140" w:type="dxa"/>
            <w:vAlign w:val="bottom"/>
            <w:shd w:val="clear" w:color="auto" w:fill="E5E7EF"/>
          </w:tcPr>
          <w:p>
            <w:pPr>
              <w:spacing w:after="0"/>
              <w:rPr>
                <w:sz w:val="14"/>
                <w:szCs w:val="14"/>
                <w:color w:val="auto"/>
              </w:rPr>
            </w:pPr>
          </w:p>
        </w:tc>
        <w:tc>
          <w:tcPr>
            <w:tcW w:w="1080" w:type="dxa"/>
            <w:vAlign w:val="bottom"/>
            <w:shd w:val="clear" w:color="auto" w:fill="E5E7EF"/>
          </w:tcPr>
          <w:p>
            <w:pPr>
              <w:spacing w:after="0"/>
              <w:rPr>
                <w:sz w:val="14"/>
                <w:szCs w:val="14"/>
                <w:color w:val="auto"/>
              </w:rPr>
            </w:pPr>
          </w:p>
        </w:tc>
        <w:tc>
          <w:tcPr>
            <w:tcW w:w="9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Termination/</w:t>
            </w:r>
          </w:p>
        </w:tc>
      </w:tr>
      <w:tr>
        <w:trPr>
          <w:trHeight w:val="181"/>
        </w:trPr>
        <w:tc>
          <w:tcPr>
            <w:tcW w:w="2760" w:type="dxa"/>
            <w:vAlign w:val="bottom"/>
            <w:shd w:val="clear" w:color="auto" w:fill="E5E7EF"/>
          </w:tcPr>
          <w:p>
            <w:pPr>
              <w:spacing w:after="0"/>
              <w:rPr>
                <w:sz w:val="15"/>
                <w:szCs w:val="15"/>
                <w:color w:val="auto"/>
              </w:rPr>
            </w:pPr>
          </w:p>
        </w:tc>
        <w:tc>
          <w:tcPr>
            <w:tcW w:w="1820" w:type="dxa"/>
            <w:vAlign w:val="bottom"/>
            <w:shd w:val="clear" w:color="auto" w:fill="E5E7EF"/>
          </w:tcPr>
          <w:p>
            <w:pPr>
              <w:spacing w:after="0"/>
              <w:rPr>
                <w:sz w:val="15"/>
                <w:szCs w:val="15"/>
                <w:color w:val="auto"/>
              </w:rPr>
            </w:pPr>
          </w:p>
        </w:tc>
        <w:tc>
          <w:tcPr>
            <w:tcW w:w="1260" w:type="dxa"/>
            <w:vAlign w:val="bottom"/>
            <w:shd w:val="clear" w:color="auto" w:fill="E5E7EF"/>
          </w:tcPr>
          <w:p>
            <w:pPr>
              <w:jc w:val="right"/>
              <w:ind w:right="109"/>
              <w:spacing w:after="0"/>
              <w:rPr>
                <w:sz w:val="20"/>
                <w:szCs w:val="20"/>
                <w:color w:val="auto"/>
              </w:rPr>
            </w:pPr>
            <w:r>
              <w:rPr>
                <w:rFonts w:ascii="Arial" w:cs="Arial" w:eastAsia="Arial" w:hAnsi="Arial"/>
                <w:sz w:val="13"/>
                <w:szCs w:val="13"/>
                <w:color w:val="auto"/>
              </w:rPr>
              <w:t>Retirement</w:t>
            </w:r>
          </w:p>
        </w:tc>
        <w:tc>
          <w:tcPr>
            <w:tcW w:w="1120" w:type="dxa"/>
            <w:vAlign w:val="bottom"/>
            <w:shd w:val="clear" w:color="auto" w:fill="E5E7EF"/>
          </w:tcPr>
          <w:p>
            <w:pPr>
              <w:jc w:val="right"/>
              <w:ind w:right="109"/>
              <w:spacing w:after="0"/>
              <w:rPr>
                <w:sz w:val="20"/>
                <w:szCs w:val="20"/>
                <w:color w:val="auto"/>
              </w:rPr>
            </w:pPr>
            <w:r>
              <w:rPr>
                <w:rFonts w:ascii="Arial" w:cs="Arial" w:eastAsia="Arial" w:hAnsi="Arial"/>
                <w:sz w:val="13"/>
                <w:szCs w:val="13"/>
                <w:color w:val="auto"/>
              </w:rPr>
              <w:t>In Control</w:t>
            </w:r>
          </w:p>
        </w:tc>
        <w:tc>
          <w:tcPr>
            <w:tcW w:w="1100" w:type="dxa"/>
            <w:vAlign w:val="bottom"/>
            <w:shd w:val="clear" w:color="auto" w:fill="E5E7EF"/>
          </w:tcPr>
          <w:p>
            <w:pPr>
              <w:jc w:val="right"/>
              <w:ind w:right="89"/>
              <w:spacing w:after="0"/>
              <w:rPr>
                <w:sz w:val="20"/>
                <w:szCs w:val="20"/>
                <w:color w:val="auto"/>
              </w:rPr>
            </w:pPr>
            <w:r>
              <w:rPr>
                <w:rFonts w:ascii="Arial" w:cs="Arial" w:eastAsia="Arial" w:hAnsi="Arial"/>
                <w:sz w:val="13"/>
                <w:szCs w:val="13"/>
                <w:color w:val="auto"/>
              </w:rPr>
              <w:t>Disability</w:t>
            </w:r>
          </w:p>
        </w:tc>
        <w:tc>
          <w:tcPr>
            <w:tcW w:w="1140" w:type="dxa"/>
            <w:vAlign w:val="bottom"/>
            <w:shd w:val="clear" w:color="auto" w:fill="E5E7EF"/>
          </w:tcPr>
          <w:p>
            <w:pPr>
              <w:jc w:val="right"/>
              <w:ind w:right="129"/>
              <w:spacing w:after="0"/>
              <w:rPr>
                <w:sz w:val="20"/>
                <w:szCs w:val="20"/>
                <w:color w:val="auto"/>
              </w:rPr>
            </w:pPr>
            <w:r>
              <w:rPr>
                <w:rFonts w:ascii="Arial" w:cs="Arial" w:eastAsia="Arial" w:hAnsi="Arial"/>
                <w:sz w:val="13"/>
                <w:szCs w:val="13"/>
                <w:color w:val="auto"/>
              </w:rPr>
              <w:t>Layoff</w:t>
            </w:r>
          </w:p>
        </w:tc>
        <w:tc>
          <w:tcPr>
            <w:tcW w:w="1080" w:type="dxa"/>
            <w:vAlign w:val="bottom"/>
            <w:shd w:val="clear" w:color="auto" w:fill="E5E7EF"/>
          </w:tcPr>
          <w:p>
            <w:pPr>
              <w:jc w:val="right"/>
              <w:ind w:right="109"/>
              <w:spacing w:after="0"/>
              <w:rPr>
                <w:sz w:val="20"/>
                <w:szCs w:val="20"/>
                <w:color w:val="auto"/>
              </w:rPr>
            </w:pPr>
            <w:r>
              <w:rPr>
                <w:rFonts w:ascii="Arial" w:cs="Arial" w:eastAsia="Arial" w:hAnsi="Arial"/>
                <w:sz w:val="13"/>
                <w:szCs w:val="13"/>
                <w:color w:val="auto"/>
              </w:rPr>
              <w:t>Divestiture</w:t>
            </w:r>
          </w:p>
        </w:tc>
        <w:tc>
          <w:tcPr>
            <w:tcW w:w="960" w:type="dxa"/>
            <w:vAlign w:val="bottom"/>
            <w:shd w:val="clear" w:color="auto" w:fill="E5E7EF"/>
          </w:tcPr>
          <w:p>
            <w:pPr>
              <w:jc w:val="right"/>
              <w:spacing w:after="0" w:line="181" w:lineRule="exact"/>
              <w:rPr>
                <w:sz w:val="20"/>
                <w:szCs w:val="20"/>
                <w:color w:val="auto"/>
              </w:rPr>
            </w:pPr>
            <w:r>
              <w:rPr>
                <w:rFonts w:ascii="Arial" w:cs="Arial" w:eastAsia="Arial" w:hAnsi="Arial"/>
                <w:sz w:val="13"/>
                <w:szCs w:val="13"/>
                <w:color w:val="auto"/>
              </w:rPr>
              <w:t>Resignation</w:t>
            </w:r>
            <w:r>
              <w:rPr>
                <w:rFonts w:ascii="Arial" w:cs="Arial" w:eastAsia="Arial" w:hAnsi="Arial"/>
                <w:sz w:val="16"/>
                <w:szCs w:val="16"/>
                <w:color w:val="auto"/>
                <w:vertAlign w:val="superscript"/>
              </w:rPr>
              <w:t>(1)</w:t>
            </w:r>
          </w:p>
        </w:tc>
      </w:tr>
      <w:tr>
        <w:trPr>
          <w:trHeight w:val="207"/>
        </w:trPr>
        <w:tc>
          <w:tcPr>
            <w:tcW w:w="276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Name</w:t>
            </w:r>
          </w:p>
        </w:tc>
        <w:tc>
          <w:tcPr>
            <w:tcW w:w="1820" w:type="dxa"/>
            <w:vAlign w:val="bottom"/>
            <w:tcBorders>
              <w:bottom w:val="single" w:sz="8" w:color="E5E7EF"/>
            </w:tcBorders>
            <w:shd w:val="clear" w:color="auto" w:fill="E5E7EF"/>
          </w:tcPr>
          <w:p>
            <w:pPr>
              <w:spacing w:after="0"/>
              <w:rPr>
                <w:sz w:val="17"/>
                <w:szCs w:val="17"/>
                <w:color w:val="auto"/>
              </w:rPr>
            </w:pPr>
          </w:p>
        </w:tc>
        <w:tc>
          <w:tcPr>
            <w:tcW w:w="1260" w:type="dxa"/>
            <w:vAlign w:val="bottom"/>
            <w:tcBorders>
              <w:bottom w:val="single" w:sz="8" w:color="E5E7EF"/>
            </w:tcBorders>
            <w:shd w:val="clear" w:color="auto" w:fill="E5E7EF"/>
          </w:tcPr>
          <w:p>
            <w:pPr>
              <w:jc w:val="right"/>
              <w:ind w:right="109"/>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E5E7EF"/>
            </w:tcBorders>
            <w:shd w:val="clear" w:color="auto" w:fill="E5E7EF"/>
          </w:tcPr>
          <w:p>
            <w:pPr>
              <w:jc w:val="right"/>
              <w:ind w:right="109"/>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E5E7EF"/>
            </w:tcBorders>
            <w:shd w:val="clear" w:color="auto" w:fill="E5E7EF"/>
          </w:tcPr>
          <w:p>
            <w:pPr>
              <w:jc w:val="right"/>
              <w:ind w:right="89"/>
              <w:spacing w:after="0"/>
              <w:rPr>
                <w:sz w:val="20"/>
                <w:szCs w:val="20"/>
                <w:color w:val="auto"/>
              </w:rPr>
            </w:pPr>
            <w:r>
              <w:rPr>
                <w:rFonts w:ascii="Arial" w:cs="Arial" w:eastAsia="Arial" w:hAnsi="Arial"/>
                <w:sz w:val="13"/>
                <w:szCs w:val="13"/>
                <w:color w:val="auto"/>
              </w:rPr>
              <w:t>($)</w:t>
            </w:r>
          </w:p>
        </w:tc>
        <w:tc>
          <w:tcPr>
            <w:tcW w:w="1140" w:type="dxa"/>
            <w:vAlign w:val="bottom"/>
            <w:tcBorders>
              <w:bottom w:val="single" w:sz="8" w:color="E5E7EF"/>
            </w:tcBorders>
            <w:shd w:val="clear" w:color="auto" w:fill="E5E7EF"/>
          </w:tcPr>
          <w:p>
            <w:pPr>
              <w:jc w:val="right"/>
              <w:ind w:right="129"/>
              <w:spacing w:after="0"/>
              <w:rPr>
                <w:sz w:val="20"/>
                <w:szCs w:val="20"/>
                <w:color w:val="auto"/>
              </w:rPr>
            </w:pPr>
            <w:r>
              <w:rPr>
                <w:rFonts w:ascii="Arial" w:cs="Arial" w:eastAsia="Arial" w:hAnsi="Arial"/>
                <w:sz w:val="13"/>
                <w:szCs w:val="13"/>
                <w:color w:val="auto"/>
              </w:rPr>
              <w:t>($)</w:t>
            </w:r>
          </w:p>
        </w:tc>
        <w:tc>
          <w:tcPr>
            <w:tcW w:w="1080" w:type="dxa"/>
            <w:vAlign w:val="bottom"/>
            <w:tcBorders>
              <w:bottom w:val="single" w:sz="8" w:color="E5E7EF"/>
            </w:tcBorders>
            <w:shd w:val="clear" w:color="auto" w:fill="E5E7EF"/>
          </w:tcPr>
          <w:p>
            <w:pPr>
              <w:jc w:val="right"/>
              <w:ind w:right="109"/>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182"/>
        </w:trPr>
        <w:tc>
          <w:tcPr>
            <w:tcW w:w="2760" w:type="dxa"/>
            <w:vAlign w:val="bottom"/>
            <w:tcBorders>
              <w:top w:val="single" w:sz="8" w:color="003478"/>
            </w:tcBorders>
          </w:tcPr>
          <w:p>
            <w:pPr>
              <w:ind w:left="20"/>
              <w:spacing w:after="0"/>
              <w:rPr>
                <w:sz w:val="20"/>
                <w:szCs w:val="20"/>
                <w:color w:val="auto"/>
              </w:rPr>
            </w:pPr>
            <w:r>
              <w:rPr>
                <w:rFonts w:ascii="Arial" w:cs="Arial" w:eastAsia="Arial" w:hAnsi="Arial"/>
                <w:sz w:val="14"/>
                <w:szCs w:val="14"/>
                <w:b w:val="1"/>
                <w:bCs w:val="1"/>
                <w:color w:val="003478"/>
              </w:rPr>
              <w:t>James D. Taiclet</w:t>
            </w:r>
          </w:p>
        </w:tc>
        <w:tc>
          <w:tcPr>
            <w:tcW w:w="1820" w:type="dxa"/>
            <w:vAlign w:val="bottom"/>
            <w:tcBorders>
              <w:top w:val="single" w:sz="8" w:color="003478"/>
            </w:tcBorders>
          </w:tcPr>
          <w:p>
            <w:pPr>
              <w:ind w:left="20"/>
              <w:spacing w:after="0" w:line="182" w:lineRule="exact"/>
              <w:rPr>
                <w:sz w:val="20"/>
                <w:szCs w:val="20"/>
                <w:color w:val="auto"/>
              </w:rPr>
            </w:pPr>
            <w:r>
              <w:rPr>
                <w:rFonts w:ascii="Arial" w:cs="Arial" w:eastAsia="Arial" w:hAnsi="Arial"/>
                <w:sz w:val="14"/>
                <w:szCs w:val="14"/>
                <w:color w:val="auto"/>
              </w:rPr>
              <w:t>LTIP</w:t>
            </w:r>
            <w:r>
              <w:rPr>
                <w:rFonts w:ascii="Arial" w:cs="Arial" w:eastAsia="Arial" w:hAnsi="Arial"/>
                <w:sz w:val="18"/>
                <w:szCs w:val="18"/>
                <w:color w:val="auto"/>
                <w:vertAlign w:val="superscript"/>
              </w:rPr>
              <w:t>(2)</w:t>
            </w:r>
          </w:p>
        </w:tc>
        <w:tc>
          <w:tcPr>
            <w:tcW w:w="1260" w:type="dxa"/>
            <w:vAlign w:val="bottom"/>
            <w:tcBorders>
              <w:top w:val="single" w:sz="8" w:color="003478"/>
            </w:tcBorders>
          </w:tcPr>
          <w:p>
            <w:pPr>
              <w:ind w:left="880"/>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003478"/>
            </w:tcBorders>
          </w:tcPr>
          <w:p>
            <w:pPr>
              <w:jc w:val="right"/>
              <w:ind w:right="169"/>
              <w:spacing w:after="0"/>
              <w:rPr>
                <w:sz w:val="20"/>
                <w:szCs w:val="20"/>
                <w:color w:val="auto"/>
              </w:rPr>
            </w:pPr>
            <w:r>
              <w:rPr>
                <w:rFonts w:ascii="Arial" w:cs="Arial" w:eastAsia="Arial" w:hAnsi="Arial"/>
                <w:sz w:val="14"/>
                <w:szCs w:val="14"/>
                <w:color w:val="auto"/>
              </w:rPr>
              <w:t>5,600,000</w:t>
            </w:r>
          </w:p>
        </w:tc>
        <w:tc>
          <w:tcPr>
            <w:tcW w:w="1100" w:type="dxa"/>
            <w:vAlign w:val="bottom"/>
            <w:tcBorders>
              <w:top w:val="single" w:sz="8" w:color="003478"/>
            </w:tcBorders>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003478"/>
            </w:tcBorders>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003478"/>
            </w:tcBorders>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003478"/>
            </w:tcBorders>
          </w:tcPr>
          <w:p>
            <w:pPr>
              <w:ind w:left="760"/>
              <w:spacing w:after="0"/>
              <w:rPr>
                <w:sz w:val="20"/>
                <w:szCs w:val="20"/>
                <w:color w:val="auto"/>
              </w:rPr>
            </w:pPr>
            <w:r>
              <w:rPr>
                <w:rFonts w:ascii="Arial" w:cs="Arial" w:eastAsia="Arial" w:hAnsi="Arial"/>
                <w:sz w:val="14"/>
                <w:szCs w:val="14"/>
                <w:color w:val="auto"/>
              </w:rPr>
              <w:t>—</w:t>
            </w:r>
          </w:p>
        </w:tc>
      </w:tr>
      <w:tr>
        <w:trPr>
          <w:trHeight w:val="188"/>
        </w:trPr>
        <w:tc>
          <w:tcPr>
            <w:tcW w:w="2760" w:type="dxa"/>
            <w:vAlign w:val="bottom"/>
          </w:tcPr>
          <w:p>
            <w:pPr>
              <w:spacing w:after="0"/>
              <w:rPr>
                <w:sz w:val="16"/>
                <w:szCs w:val="16"/>
                <w:color w:val="auto"/>
              </w:rPr>
            </w:pPr>
          </w:p>
        </w:tc>
        <w:tc>
          <w:tcPr>
            <w:tcW w:w="1820" w:type="dxa"/>
            <w:vAlign w:val="bottom"/>
            <w:shd w:val="clear" w:color="auto" w:fill="E5E7EF"/>
          </w:tcPr>
          <w:p>
            <w:pPr>
              <w:ind w:left="20"/>
              <w:spacing w:after="0" w:line="189" w:lineRule="exact"/>
              <w:rPr>
                <w:sz w:val="20"/>
                <w:szCs w:val="20"/>
                <w:color w:val="auto"/>
              </w:rPr>
            </w:pPr>
            <w:r>
              <w:rPr>
                <w:rFonts w:ascii="Arial" w:cs="Arial" w:eastAsia="Arial" w:hAnsi="Arial"/>
                <w:sz w:val="14"/>
                <w:szCs w:val="14"/>
                <w:color w:val="auto"/>
              </w:rPr>
              <w:t>RSUs</w:t>
            </w:r>
            <w:r>
              <w:rPr>
                <w:rFonts w:ascii="Arial" w:cs="Arial" w:eastAsia="Arial" w:hAnsi="Arial"/>
                <w:sz w:val="18"/>
                <w:szCs w:val="18"/>
                <w:color w:val="auto"/>
                <w:vertAlign w:val="superscript"/>
              </w:rPr>
              <w:t>(3)</w:t>
            </w:r>
          </w:p>
        </w:tc>
        <w:tc>
          <w:tcPr>
            <w:tcW w:w="1260" w:type="dxa"/>
            <w:vAlign w:val="bottom"/>
            <w:shd w:val="clear" w:color="auto" w:fill="E5E7EF"/>
          </w:tcPr>
          <w:p>
            <w:pPr>
              <w:ind w:left="880"/>
              <w:spacing w:after="0"/>
              <w:rPr>
                <w:sz w:val="20"/>
                <w:szCs w:val="20"/>
                <w:color w:val="auto"/>
              </w:rPr>
            </w:pPr>
            <w:r>
              <w:rPr>
                <w:rFonts w:ascii="Arial" w:cs="Arial" w:eastAsia="Arial" w:hAnsi="Arial"/>
                <w:sz w:val="14"/>
                <w:szCs w:val="14"/>
                <w:color w:val="auto"/>
              </w:rPr>
              <w:t>—</w:t>
            </w:r>
          </w:p>
        </w:tc>
        <w:tc>
          <w:tcPr>
            <w:tcW w:w="1120" w:type="dxa"/>
            <w:vAlign w:val="bottom"/>
            <w:shd w:val="clear" w:color="auto" w:fill="E5E7EF"/>
          </w:tcPr>
          <w:p>
            <w:pPr>
              <w:jc w:val="right"/>
              <w:ind w:right="169"/>
              <w:spacing w:after="0"/>
              <w:rPr>
                <w:sz w:val="20"/>
                <w:szCs w:val="20"/>
                <w:color w:val="auto"/>
              </w:rPr>
            </w:pPr>
            <w:r>
              <w:rPr>
                <w:rFonts w:ascii="Arial" w:cs="Arial" w:eastAsia="Arial" w:hAnsi="Arial"/>
                <w:sz w:val="14"/>
                <w:szCs w:val="14"/>
                <w:color w:val="auto"/>
              </w:rPr>
              <w:t>11,240,623</w:t>
            </w:r>
          </w:p>
        </w:tc>
        <w:tc>
          <w:tcPr>
            <w:tcW w:w="110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11,240,623</w:t>
            </w:r>
          </w:p>
        </w:tc>
        <w:tc>
          <w:tcPr>
            <w:tcW w:w="1140" w:type="dxa"/>
            <w:vAlign w:val="bottom"/>
            <w:shd w:val="clear" w:color="auto" w:fill="E5E7EF"/>
          </w:tcPr>
          <w:p>
            <w:pPr>
              <w:jc w:val="right"/>
              <w:ind w:right="189"/>
              <w:spacing w:after="0"/>
              <w:rPr>
                <w:sz w:val="20"/>
                <w:szCs w:val="20"/>
                <w:color w:val="auto"/>
              </w:rPr>
            </w:pPr>
            <w:r>
              <w:rPr>
                <w:rFonts w:ascii="Arial" w:cs="Arial" w:eastAsia="Arial" w:hAnsi="Arial"/>
                <w:sz w:val="14"/>
                <w:szCs w:val="14"/>
                <w:color w:val="auto"/>
              </w:rPr>
              <w:t>2,663,852</w:t>
            </w:r>
          </w:p>
        </w:tc>
        <w:tc>
          <w:tcPr>
            <w:tcW w:w="108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2,753,788</w:t>
            </w:r>
          </w:p>
        </w:tc>
        <w:tc>
          <w:tcPr>
            <w:tcW w:w="960" w:type="dxa"/>
            <w:vAlign w:val="bottom"/>
            <w:shd w:val="clear" w:color="auto" w:fill="E5E7EF"/>
          </w:tcPr>
          <w:p>
            <w:pPr>
              <w:ind w:left="760"/>
              <w:spacing w:after="0"/>
              <w:rPr>
                <w:sz w:val="20"/>
                <w:szCs w:val="20"/>
                <w:color w:val="auto"/>
              </w:rPr>
            </w:pPr>
            <w:r>
              <w:rPr>
                <w:rFonts w:ascii="Arial" w:cs="Arial" w:eastAsia="Arial" w:hAnsi="Arial"/>
                <w:sz w:val="14"/>
                <w:szCs w:val="14"/>
                <w:color w:val="auto"/>
              </w:rPr>
              <w:t>—</w:t>
            </w:r>
          </w:p>
        </w:tc>
      </w:tr>
      <w:tr>
        <w:trPr>
          <w:trHeight w:val="188"/>
        </w:trPr>
        <w:tc>
          <w:tcPr>
            <w:tcW w:w="2760" w:type="dxa"/>
            <w:vAlign w:val="bottom"/>
          </w:tcPr>
          <w:p>
            <w:pPr>
              <w:spacing w:after="0"/>
              <w:rPr>
                <w:sz w:val="16"/>
                <w:szCs w:val="16"/>
                <w:color w:val="auto"/>
              </w:rPr>
            </w:pPr>
          </w:p>
        </w:tc>
        <w:tc>
          <w:tcPr>
            <w:tcW w:w="1820" w:type="dxa"/>
            <w:vAlign w:val="bottom"/>
          </w:tcPr>
          <w:p>
            <w:pPr>
              <w:ind w:left="20"/>
              <w:spacing w:after="0" w:line="189" w:lineRule="exact"/>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(4)</w:t>
            </w:r>
          </w:p>
        </w:tc>
        <w:tc>
          <w:tcPr>
            <w:tcW w:w="1260" w:type="dxa"/>
            <w:vAlign w:val="bottom"/>
          </w:tcPr>
          <w:p>
            <w:pPr>
              <w:ind w:left="8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14,296,088</w:t>
            </w:r>
          </w:p>
        </w:tc>
        <w:tc>
          <w:tcPr>
            <w:tcW w:w="11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tcPr>
          <w:p>
            <w:pPr>
              <w:ind w:left="760"/>
              <w:spacing w:after="0"/>
              <w:rPr>
                <w:sz w:val="20"/>
                <w:szCs w:val="20"/>
                <w:color w:val="auto"/>
              </w:rPr>
            </w:pPr>
            <w:r>
              <w:rPr>
                <w:rFonts w:ascii="Arial" w:cs="Arial" w:eastAsia="Arial" w:hAnsi="Arial"/>
                <w:sz w:val="14"/>
                <w:szCs w:val="14"/>
                <w:color w:val="auto"/>
              </w:rPr>
              <w:t>—</w:t>
            </w:r>
          </w:p>
        </w:tc>
      </w:tr>
      <w:tr>
        <w:trPr>
          <w:trHeight w:val="188"/>
        </w:trPr>
        <w:tc>
          <w:tcPr>
            <w:tcW w:w="2760" w:type="dxa"/>
            <w:vAlign w:val="bottom"/>
          </w:tcPr>
          <w:p>
            <w:pPr>
              <w:spacing w:after="0"/>
              <w:rPr>
                <w:sz w:val="16"/>
                <w:szCs w:val="16"/>
                <w:color w:val="auto"/>
              </w:rPr>
            </w:pPr>
          </w:p>
        </w:tc>
        <w:tc>
          <w:tcPr>
            <w:tcW w:w="1820" w:type="dxa"/>
            <w:vAlign w:val="bottom"/>
            <w:tcBorders>
              <w:bottom w:val="single" w:sz="8" w:color="959595"/>
            </w:tcBorders>
            <w:shd w:val="clear" w:color="auto" w:fill="E5E7EF"/>
          </w:tcPr>
          <w:p>
            <w:pPr>
              <w:ind w:left="20"/>
              <w:spacing w:after="0" w:line="189" w:lineRule="exact"/>
              <w:rPr>
                <w:sz w:val="20"/>
                <w:szCs w:val="20"/>
                <w:color w:val="auto"/>
              </w:rPr>
            </w:pPr>
            <w:r>
              <w:rPr>
                <w:rFonts w:ascii="Arial" w:cs="Arial" w:eastAsia="Arial" w:hAnsi="Arial"/>
                <w:sz w:val="14"/>
                <w:szCs w:val="14"/>
                <w:color w:val="auto"/>
              </w:rPr>
              <w:t>Executive Severance</w:t>
            </w:r>
            <w:r>
              <w:rPr>
                <w:rFonts w:ascii="Arial" w:cs="Arial" w:eastAsia="Arial" w:hAnsi="Arial"/>
                <w:sz w:val="18"/>
                <w:szCs w:val="18"/>
                <w:color w:val="auto"/>
                <w:vertAlign w:val="superscript"/>
              </w:rPr>
              <w:t>(5)</w:t>
            </w:r>
          </w:p>
        </w:tc>
        <w:tc>
          <w:tcPr>
            <w:tcW w:w="1260" w:type="dxa"/>
            <w:vAlign w:val="bottom"/>
            <w:tcBorders>
              <w:bottom w:val="single" w:sz="8" w:color="959595"/>
            </w:tcBorders>
            <w:shd w:val="clear" w:color="auto" w:fill="E5E7EF"/>
          </w:tcPr>
          <w:p>
            <w:pPr>
              <w:ind w:left="88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959595"/>
            </w:tcBorders>
            <w:shd w:val="clear" w:color="auto" w:fill="E5E7E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959595"/>
            </w:tcBorders>
            <w:shd w:val="clear" w:color="auto" w:fill="E5E7EF"/>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959595"/>
            </w:tcBorders>
            <w:shd w:val="clear" w:color="auto" w:fill="E5E7EF"/>
          </w:tcPr>
          <w:p>
            <w:pPr>
              <w:jc w:val="right"/>
              <w:ind w:right="189"/>
              <w:spacing w:after="0"/>
              <w:rPr>
                <w:sz w:val="20"/>
                <w:szCs w:val="20"/>
                <w:color w:val="auto"/>
              </w:rPr>
            </w:pPr>
            <w:r>
              <w:rPr>
                <w:rFonts w:ascii="Arial" w:cs="Arial" w:eastAsia="Arial" w:hAnsi="Arial"/>
                <w:sz w:val="14"/>
                <w:szCs w:val="14"/>
                <w:color w:val="auto"/>
              </w:rPr>
              <w:t>15,017,136</w:t>
            </w:r>
          </w:p>
        </w:tc>
        <w:tc>
          <w:tcPr>
            <w:tcW w:w="1080" w:type="dxa"/>
            <w:vAlign w:val="bottom"/>
            <w:tcBorders>
              <w:bottom w:val="single" w:sz="8" w:color="959595"/>
            </w:tcBorders>
            <w:shd w:val="clear" w:color="auto" w:fill="E5E7EF"/>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959595"/>
            </w:tcBorders>
            <w:shd w:val="clear" w:color="auto" w:fill="E5E7EF"/>
          </w:tcPr>
          <w:p>
            <w:pPr>
              <w:ind w:left="760"/>
              <w:spacing w:after="0"/>
              <w:rPr>
                <w:sz w:val="20"/>
                <w:szCs w:val="20"/>
                <w:color w:val="auto"/>
              </w:rPr>
            </w:pPr>
            <w:r>
              <w:rPr>
                <w:rFonts w:ascii="Arial" w:cs="Arial" w:eastAsia="Arial" w:hAnsi="Arial"/>
                <w:sz w:val="14"/>
                <w:szCs w:val="14"/>
                <w:color w:val="auto"/>
              </w:rPr>
              <w:t>—</w:t>
            </w:r>
          </w:p>
        </w:tc>
      </w:tr>
      <w:tr>
        <w:trPr>
          <w:trHeight w:val="182"/>
        </w:trPr>
        <w:tc>
          <w:tcPr>
            <w:tcW w:w="2760" w:type="dxa"/>
            <w:vAlign w:val="bottom"/>
            <w:tcBorders>
              <w:bottom w:val="single" w:sz="8" w:color="959595"/>
            </w:tcBorders>
          </w:tcPr>
          <w:p>
            <w:pPr>
              <w:spacing w:after="0"/>
              <w:rPr>
                <w:sz w:val="15"/>
                <w:szCs w:val="15"/>
                <w:color w:val="auto"/>
              </w:rPr>
            </w:pPr>
          </w:p>
        </w:tc>
        <w:tc>
          <w:tcPr>
            <w:tcW w:w="1820" w:type="dxa"/>
            <w:vAlign w:val="bottom"/>
            <w:tcBorders>
              <w:bottom w:val="single" w:sz="8" w:color="9D9D9C"/>
            </w:tcBorders>
          </w:tcPr>
          <w:p>
            <w:pPr>
              <w:ind w:left="20"/>
              <w:spacing w:after="0"/>
              <w:rPr>
                <w:sz w:val="20"/>
                <w:szCs w:val="20"/>
                <w:color w:val="auto"/>
              </w:rPr>
            </w:pPr>
            <w:r>
              <w:rPr>
                <w:rFonts w:ascii="Arial" w:cs="Arial" w:eastAsia="Arial" w:hAnsi="Arial"/>
                <w:sz w:val="14"/>
                <w:szCs w:val="14"/>
                <w:b w:val="1"/>
                <w:bCs w:val="1"/>
                <w:color w:val="auto"/>
              </w:rPr>
              <w:t>TOTAL</w:t>
            </w:r>
          </w:p>
        </w:tc>
        <w:tc>
          <w:tcPr>
            <w:tcW w:w="1260" w:type="dxa"/>
            <w:vAlign w:val="bottom"/>
            <w:tcBorders>
              <w:bottom w:val="single" w:sz="8" w:color="959595"/>
            </w:tcBorders>
          </w:tcPr>
          <w:p>
            <w:pPr>
              <w:ind w:left="880"/>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959595"/>
            </w:tcBorders>
          </w:tcPr>
          <w:p>
            <w:pPr>
              <w:jc w:val="right"/>
              <w:ind w:right="169"/>
              <w:spacing w:after="0"/>
              <w:rPr>
                <w:sz w:val="20"/>
                <w:szCs w:val="20"/>
                <w:color w:val="auto"/>
              </w:rPr>
            </w:pPr>
            <w:r>
              <w:rPr>
                <w:rFonts w:ascii="Arial" w:cs="Arial" w:eastAsia="Arial" w:hAnsi="Arial"/>
                <w:sz w:val="14"/>
                <w:szCs w:val="14"/>
                <w:b w:val="1"/>
                <w:bCs w:val="1"/>
                <w:color w:val="auto"/>
              </w:rPr>
              <w:t>31,136,711</w:t>
            </w:r>
          </w:p>
        </w:tc>
        <w:tc>
          <w:tcPr>
            <w:tcW w:w="110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11,240,623</w:t>
            </w:r>
          </w:p>
        </w:tc>
        <w:tc>
          <w:tcPr>
            <w:tcW w:w="1140" w:type="dxa"/>
            <w:vAlign w:val="bottom"/>
            <w:tcBorders>
              <w:bottom w:val="single" w:sz="8" w:color="959595"/>
            </w:tcBorders>
          </w:tcPr>
          <w:p>
            <w:pPr>
              <w:jc w:val="right"/>
              <w:ind w:right="189"/>
              <w:spacing w:after="0"/>
              <w:rPr>
                <w:sz w:val="20"/>
                <w:szCs w:val="20"/>
                <w:color w:val="auto"/>
              </w:rPr>
            </w:pPr>
            <w:r>
              <w:rPr>
                <w:rFonts w:ascii="Arial" w:cs="Arial" w:eastAsia="Arial" w:hAnsi="Arial"/>
                <w:sz w:val="14"/>
                <w:szCs w:val="14"/>
                <w:b w:val="1"/>
                <w:bCs w:val="1"/>
                <w:color w:val="auto"/>
              </w:rPr>
              <w:t>17,680,988</w:t>
            </w:r>
          </w:p>
        </w:tc>
        <w:tc>
          <w:tcPr>
            <w:tcW w:w="1080" w:type="dxa"/>
            <w:vAlign w:val="bottom"/>
            <w:tcBorders>
              <w:bottom w:val="single" w:sz="8" w:color="959595"/>
            </w:tcBorders>
          </w:tcPr>
          <w:p>
            <w:pPr>
              <w:jc w:val="right"/>
              <w:ind w:right="149"/>
              <w:spacing w:after="0"/>
              <w:rPr>
                <w:sz w:val="20"/>
                <w:szCs w:val="20"/>
                <w:color w:val="auto"/>
              </w:rPr>
            </w:pPr>
            <w:r>
              <w:rPr>
                <w:rFonts w:ascii="Arial" w:cs="Arial" w:eastAsia="Arial" w:hAnsi="Arial"/>
                <w:sz w:val="14"/>
                <w:szCs w:val="14"/>
                <w:b w:val="1"/>
                <w:bCs w:val="1"/>
                <w:color w:val="auto"/>
              </w:rPr>
              <w:t>2,753,788</w:t>
            </w:r>
          </w:p>
        </w:tc>
        <w:tc>
          <w:tcPr>
            <w:tcW w:w="960" w:type="dxa"/>
            <w:vAlign w:val="bottom"/>
            <w:tcBorders>
              <w:bottom w:val="single" w:sz="8" w:color="959595"/>
            </w:tcBorders>
          </w:tcPr>
          <w:p>
            <w:pPr>
              <w:ind w:left="760"/>
              <w:spacing w:after="0"/>
              <w:rPr>
                <w:sz w:val="20"/>
                <w:szCs w:val="20"/>
                <w:color w:val="auto"/>
              </w:rPr>
            </w:pPr>
            <w:r>
              <w:rPr>
                <w:rFonts w:ascii="Arial" w:cs="Arial" w:eastAsia="Arial" w:hAnsi="Arial"/>
                <w:sz w:val="14"/>
                <w:szCs w:val="14"/>
                <w:b w:val="1"/>
                <w:bCs w:val="1"/>
                <w:color w:val="auto"/>
              </w:rPr>
              <w:t>—</w:t>
            </w:r>
          </w:p>
        </w:tc>
      </w:tr>
      <w:tr>
        <w:trPr>
          <w:trHeight w:val="182"/>
        </w:trPr>
        <w:tc>
          <w:tcPr>
            <w:tcW w:w="2760" w:type="dxa"/>
            <w:vAlign w:val="bottom"/>
          </w:tcPr>
          <w:p>
            <w:pPr>
              <w:ind w:left="20"/>
              <w:spacing w:after="0"/>
              <w:rPr>
                <w:sz w:val="20"/>
                <w:szCs w:val="20"/>
                <w:color w:val="auto"/>
              </w:rPr>
            </w:pPr>
            <w:r>
              <w:rPr>
                <w:rFonts w:ascii="Arial" w:cs="Arial" w:eastAsia="Arial" w:hAnsi="Arial"/>
                <w:sz w:val="14"/>
                <w:szCs w:val="14"/>
                <w:b w:val="1"/>
                <w:bCs w:val="1"/>
                <w:color w:val="003478"/>
              </w:rPr>
              <w:t>John W. Mollard</w:t>
            </w:r>
          </w:p>
        </w:tc>
        <w:tc>
          <w:tcPr>
            <w:tcW w:w="1820" w:type="dxa"/>
            <w:vAlign w:val="bottom"/>
          </w:tcPr>
          <w:p>
            <w:pPr>
              <w:ind w:left="20"/>
              <w:spacing w:after="0" w:line="182" w:lineRule="exact"/>
              <w:rPr>
                <w:sz w:val="20"/>
                <w:szCs w:val="20"/>
                <w:color w:val="auto"/>
              </w:rPr>
            </w:pPr>
            <w:r>
              <w:rPr>
                <w:rFonts w:ascii="Arial" w:cs="Arial" w:eastAsia="Arial" w:hAnsi="Arial"/>
                <w:sz w:val="14"/>
                <w:szCs w:val="14"/>
                <w:color w:val="auto"/>
              </w:rPr>
              <w:t>LTIP</w:t>
            </w:r>
            <w:r>
              <w:rPr>
                <w:rFonts w:ascii="Arial" w:cs="Arial" w:eastAsia="Arial" w:hAnsi="Arial"/>
                <w:sz w:val="18"/>
                <w:szCs w:val="18"/>
                <w:color w:val="auto"/>
                <w:vertAlign w:val="superscript"/>
              </w:rPr>
              <w:t>(2)</w:t>
            </w:r>
          </w:p>
        </w:tc>
        <w:tc>
          <w:tcPr>
            <w:tcW w:w="1260" w:type="dxa"/>
            <w:vAlign w:val="bottom"/>
          </w:tcPr>
          <w:p>
            <w:pPr>
              <w:ind w:left="8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620,000</w:t>
            </w:r>
          </w:p>
        </w:tc>
        <w:tc>
          <w:tcPr>
            <w:tcW w:w="11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tcPr>
          <w:p>
            <w:pPr>
              <w:ind w:left="760"/>
              <w:spacing w:after="0"/>
              <w:rPr>
                <w:sz w:val="20"/>
                <w:szCs w:val="20"/>
                <w:color w:val="auto"/>
              </w:rPr>
            </w:pPr>
            <w:r>
              <w:rPr>
                <w:rFonts w:ascii="Arial" w:cs="Arial" w:eastAsia="Arial" w:hAnsi="Arial"/>
                <w:sz w:val="14"/>
                <w:szCs w:val="14"/>
                <w:color w:val="auto"/>
              </w:rPr>
              <w:t>—</w:t>
            </w:r>
          </w:p>
        </w:tc>
      </w:tr>
      <w:tr>
        <w:trPr>
          <w:trHeight w:val="188"/>
        </w:trPr>
        <w:tc>
          <w:tcPr>
            <w:tcW w:w="2760" w:type="dxa"/>
            <w:vAlign w:val="bottom"/>
          </w:tcPr>
          <w:p>
            <w:pPr>
              <w:spacing w:after="0"/>
              <w:rPr>
                <w:sz w:val="16"/>
                <w:szCs w:val="16"/>
                <w:color w:val="auto"/>
              </w:rPr>
            </w:pPr>
          </w:p>
        </w:tc>
        <w:tc>
          <w:tcPr>
            <w:tcW w:w="1820" w:type="dxa"/>
            <w:vAlign w:val="bottom"/>
            <w:shd w:val="clear" w:color="auto" w:fill="E5E7EF"/>
          </w:tcPr>
          <w:p>
            <w:pPr>
              <w:ind w:left="20"/>
              <w:spacing w:after="0" w:line="189" w:lineRule="exact"/>
              <w:rPr>
                <w:sz w:val="20"/>
                <w:szCs w:val="20"/>
                <w:color w:val="auto"/>
              </w:rPr>
            </w:pPr>
            <w:r>
              <w:rPr>
                <w:rFonts w:ascii="Arial" w:cs="Arial" w:eastAsia="Arial" w:hAnsi="Arial"/>
                <w:sz w:val="14"/>
                <w:szCs w:val="14"/>
                <w:color w:val="auto"/>
              </w:rPr>
              <w:t>RSUs</w:t>
            </w:r>
            <w:r>
              <w:rPr>
                <w:rFonts w:ascii="Arial" w:cs="Arial" w:eastAsia="Arial" w:hAnsi="Arial"/>
                <w:sz w:val="18"/>
                <w:szCs w:val="18"/>
                <w:color w:val="auto"/>
                <w:vertAlign w:val="superscript"/>
              </w:rPr>
              <w:t>(3)</w:t>
            </w:r>
          </w:p>
        </w:tc>
        <w:tc>
          <w:tcPr>
            <w:tcW w:w="1260" w:type="dxa"/>
            <w:vAlign w:val="bottom"/>
            <w:shd w:val="clear" w:color="auto" w:fill="E5E7EF"/>
          </w:tcPr>
          <w:p>
            <w:pPr>
              <w:ind w:left="880"/>
              <w:spacing w:after="0"/>
              <w:rPr>
                <w:sz w:val="20"/>
                <w:szCs w:val="20"/>
                <w:color w:val="auto"/>
              </w:rPr>
            </w:pPr>
            <w:r>
              <w:rPr>
                <w:rFonts w:ascii="Arial" w:cs="Arial" w:eastAsia="Arial" w:hAnsi="Arial"/>
                <w:sz w:val="14"/>
                <w:szCs w:val="14"/>
                <w:color w:val="auto"/>
              </w:rPr>
              <w:t>—</w:t>
            </w:r>
          </w:p>
        </w:tc>
        <w:tc>
          <w:tcPr>
            <w:tcW w:w="1120" w:type="dxa"/>
            <w:vAlign w:val="bottom"/>
            <w:shd w:val="clear" w:color="auto" w:fill="E5E7EF"/>
          </w:tcPr>
          <w:p>
            <w:pPr>
              <w:jc w:val="right"/>
              <w:ind w:right="169"/>
              <w:spacing w:after="0"/>
              <w:rPr>
                <w:sz w:val="20"/>
                <w:szCs w:val="20"/>
                <w:color w:val="auto"/>
              </w:rPr>
            </w:pPr>
            <w:r>
              <w:rPr>
                <w:rFonts w:ascii="Arial" w:cs="Arial" w:eastAsia="Arial" w:hAnsi="Arial"/>
                <w:sz w:val="14"/>
                <w:szCs w:val="14"/>
                <w:color w:val="auto"/>
              </w:rPr>
              <w:t>1,226,280</w:t>
            </w:r>
          </w:p>
        </w:tc>
        <w:tc>
          <w:tcPr>
            <w:tcW w:w="110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1,226,280</w:t>
            </w:r>
          </w:p>
        </w:tc>
        <w:tc>
          <w:tcPr>
            <w:tcW w:w="1140" w:type="dxa"/>
            <w:vAlign w:val="bottom"/>
            <w:shd w:val="clear" w:color="auto" w:fill="E5E7E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7EF"/>
          </w:tcPr>
          <w:p>
            <w:pPr>
              <w:ind w:left="760"/>
              <w:spacing w:after="0"/>
              <w:rPr>
                <w:sz w:val="20"/>
                <w:szCs w:val="20"/>
                <w:color w:val="auto"/>
              </w:rPr>
            </w:pPr>
            <w:r>
              <w:rPr>
                <w:rFonts w:ascii="Arial" w:cs="Arial" w:eastAsia="Arial" w:hAnsi="Arial"/>
                <w:sz w:val="14"/>
                <w:szCs w:val="14"/>
                <w:color w:val="auto"/>
              </w:rPr>
              <w:t>—</w:t>
            </w:r>
          </w:p>
        </w:tc>
      </w:tr>
      <w:tr>
        <w:trPr>
          <w:trHeight w:val="188"/>
        </w:trPr>
        <w:tc>
          <w:tcPr>
            <w:tcW w:w="2760" w:type="dxa"/>
            <w:vAlign w:val="bottom"/>
          </w:tcPr>
          <w:p>
            <w:pPr>
              <w:spacing w:after="0"/>
              <w:rPr>
                <w:sz w:val="16"/>
                <w:szCs w:val="16"/>
                <w:color w:val="auto"/>
              </w:rPr>
            </w:pPr>
          </w:p>
        </w:tc>
        <w:tc>
          <w:tcPr>
            <w:tcW w:w="1820" w:type="dxa"/>
            <w:vAlign w:val="bottom"/>
          </w:tcPr>
          <w:p>
            <w:pPr>
              <w:ind w:left="20"/>
              <w:spacing w:after="0" w:line="189" w:lineRule="exact"/>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(4)</w:t>
            </w:r>
          </w:p>
        </w:tc>
        <w:tc>
          <w:tcPr>
            <w:tcW w:w="1260" w:type="dxa"/>
            <w:vAlign w:val="bottom"/>
          </w:tcPr>
          <w:p>
            <w:pPr>
              <w:ind w:left="8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254,718</w:t>
            </w:r>
          </w:p>
        </w:tc>
        <w:tc>
          <w:tcPr>
            <w:tcW w:w="11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tcPr>
          <w:p>
            <w:pPr>
              <w:ind w:left="760"/>
              <w:spacing w:after="0"/>
              <w:rPr>
                <w:sz w:val="20"/>
                <w:szCs w:val="20"/>
                <w:color w:val="auto"/>
              </w:rPr>
            </w:pPr>
            <w:r>
              <w:rPr>
                <w:rFonts w:ascii="Arial" w:cs="Arial" w:eastAsia="Arial" w:hAnsi="Arial"/>
                <w:sz w:val="14"/>
                <w:szCs w:val="14"/>
                <w:color w:val="auto"/>
              </w:rPr>
              <w:t>—</w:t>
            </w:r>
          </w:p>
        </w:tc>
      </w:tr>
      <w:tr>
        <w:trPr>
          <w:trHeight w:val="188"/>
        </w:trPr>
        <w:tc>
          <w:tcPr>
            <w:tcW w:w="2760" w:type="dxa"/>
            <w:vAlign w:val="bottom"/>
          </w:tcPr>
          <w:p>
            <w:pPr>
              <w:spacing w:after="0"/>
              <w:rPr>
                <w:sz w:val="16"/>
                <w:szCs w:val="16"/>
                <w:color w:val="auto"/>
              </w:rPr>
            </w:pPr>
          </w:p>
        </w:tc>
        <w:tc>
          <w:tcPr>
            <w:tcW w:w="1820" w:type="dxa"/>
            <w:vAlign w:val="bottom"/>
            <w:tcBorders>
              <w:bottom w:val="single" w:sz="8" w:color="959595"/>
            </w:tcBorders>
            <w:shd w:val="clear" w:color="auto" w:fill="E5E7EF"/>
          </w:tcPr>
          <w:p>
            <w:pPr>
              <w:ind w:left="20"/>
              <w:spacing w:after="0" w:line="189" w:lineRule="exact"/>
              <w:rPr>
                <w:sz w:val="20"/>
                <w:szCs w:val="20"/>
                <w:color w:val="auto"/>
              </w:rPr>
            </w:pPr>
            <w:r>
              <w:rPr>
                <w:rFonts w:ascii="Arial" w:cs="Arial" w:eastAsia="Arial" w:hAnsi="Arial"/>
                <w:sz w:val="14"/>
                <w:szCs w:val="14"/>
                <w:color w:val="auto"/>
              </w:rPr>
              <w:t>Executive Severance</w:t>
            </w:r>
            <w:r>
              <w:rPr>
                <w:rFonts w:ascii="Arial" w:cs="Arial" w:eastAsia="Arial" w:hAnsi="Arial"/>
                <w:sz w:val="18"/>
                <w:szCs w:val="18"/>
                <w:color w:val="auto"/>
                <w:vertAlign w:val="superscript"/>
              </w:rPr>
              <w:t>(5)</w:t>
            </w:r>
          </w:p>
        </w:tc>
        <w:tc>
          <w:tcPr>
            <w:tcW w:w="1260" w:type="dxa"/>
            <w:vAlign w:val="bottom"/>
            <w:tcBorders>
              <w:bottom w:val="single" w:sz="8" w:color="929292"/>
            </w:tcBorders>
            <w:shd w:val="clear" w:color="auto" w:fill="E5E7EF"/>
          </w:tcPr>
          <w:p>
            <w:pPr>
              <w:ind w:left="88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929292"/>
            </w:tcBorders>
            <w:shd w:val="clear" w:color="auto" w:fill="E5E7E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929292"/>
            </w:tcBorders>
            <w:shd w:val="clear" w:color="auto" w:fill="E5E7EF"/>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929292"/>
            </w:tcBorders>
            <w:shd w:val="clear" w:color="auto" w:fill="E5E7EF"/>
          </w:tcPr>
          <w:p>
            <w:pPr>
              <w:jc w:val="right"/>
              <w:ind w:right="189"/>
              <w:spacing w:after="0"/>
              <w:rPr>
                <w:sz w:val="20"/>
                <w:szCs w:val="20"/>
                <w:color w:val="auto"/>
              </w:rPr>
            </w:pPr>
            <w:r>
              <w:rPr>
                <w:rFonts w:ascii="Arial" w:cs="Arial" w:eastAsia="Arial" w:hAnsi="Arial"/>
                <w:sz w:val="14"/>
                <w:szCs w:val="14"/>
                <w:color w:val="auto"/>
              </w:rPr>
              <w:t>875,522</w:t>
            </w:r>
          </w:p>
        </w:tc>
        <w:tc>
          <w:tcPr>
            <w:tcW w:w="1080" w:type="dxa"/>
            <w:vAlign w:val="bottom"/>
            <w:tcBorders>
              <w:bottom w:val="single" w:sz="8" w:color="929292"/>
            </w:tcBorders>
            <w:shd w:val="clear" w:color="auto" w:fill="E5E7EF"/>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929292"/>
            </w:tcBorders>
            <w:shd w:val="clear" w:color="auto" w:fill="E5E7EF"/>
          </w:tcPr>
          <w:p>
            <w:pPr>
              <w:ind w:left="760"/>
              <w:spacing w:after="0"/>
              <w:rPr>
                <w:sz w:val="20"/>
                <w:szCs w:val="20"/>
                <w:color w:val="auto"/>
              </w:rPr>
            </w:pPr>
            <w:r>
              <w:rPr>
                <w:rFonts w:ascii="Arial" w:cs="Arial" w:eastAsia="Arial" w:hAnsi="Arial"/>
                <w:sz w:val="14"/>
                <w:szCs w:val="14"/>
                <w:color w:val="auto"/>
              </w:rPr>
              <w:t>—</w:t>
            </w:r>
          </w:p>
        </w:tc>
      </w:tr>
      <w:tr>
        <w:trPr>
          <w:trHeight w:val="182"/>
        </w:trPr>
        <w:tc>
          <w:tcPr>
            <w:tcW w:w="2760" w:type="dxa"/>
            <w:vAlign w:val="bottom"/>
            <w:tcBorders>
              <w:bottom w:val="single" w:sz="8" w:color="9D9D9C"/>
            </w:tcBorders>
          </w:tcPr>
          <w:p>
            <w:pPr>
              <w:spacing w:after="0"/>
              <w:rPr>
                <w:sz w:val="15"/>
                <w:szCs w:val="15"/>
                <w:color w:val="auto"/>
              </w:rPr>
            </w:pPr>
          </w:p>
        </w:tc>
        <w:tc>
          <w:tcPr>
            <w:tcW w:w="1820" w:type="dxa"/>
            <w:vAlign w:val="bottom"/>
            <w:tcBorders>
              <w:bottom w:val="single" w:sz="8" w:color="929292"/>
            </w:tcBorders>
          </w:tcPr>
          <w:p>
            <w:pPr>
              <w:ind w:left="20"/>
              <w:spacing w:after="0"/>
              <w:rPr>
                <w:sz w:val="20"/>
                <w:szCs w:val="20"/>
                <w:color w:val="auto"/>
              </w:rPr>
            </w:pPr>
            <w:r>
              <w:rPr>
                <w:rFonts w:ascii="Arial" w:cs="Arial" w:eastAsia="Arial" w:hAnsi="Arial"/>
                <w:sz w:val="14"/>
                <w:szCs w:val="14"/>
                <w:b w:val="1"/>
                <w:bCs w:val="1"/>
                <w:color w:val="auto"/>
              </w:rPr>
              <w:t>TOTAL</w:t>
            </w:r>
          </w:p>
        </w:tc>
        <w:tc>
          <w:tcPr>
            <w:tcW w:w="1260" w:type="dxa"/>
            <w:vAlign w:val="bottom"/>
            <w:tcBorders>
              <w:bottom w:val="single" w:sz="8" w:color="929292"/>
            </w:tcBorders>
          </w:tcPr>
          <w:p>
            <w:pPr>
              <w:ind w:left="880"/>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929292"/>
            </w:tcBorders>
          </w:tcPr>
          <w:p>
            <w:pPr>
              <w:jc w:val="right"/>
              <w:ind w:right="169"/>
              <w:spacing w:after="0"/>
              <w:rPr>
                <w:sz w:val="20"/>
                <w:szCs w:val="20"/>
                <w:color w:val="auto"/>
              </w:rPr>
            </w:pPr>
            <w:r>
              <w:rPr>
                <w:rFonts w:ascii="Arial" w:cs="Arial" w:eastAsia="Arial" w:hAnsi="Arial"/>
                <w:sz w:val="14"/>
                <w:szCs w:val="14"/>
                <w:b w:val="1"/>
                <w:bCs w:val="1"/>
                <w:color w:val="auto"/>
              </w:rPr>
              <w:t>2,100,998</w:t>
            </w:r>
          </w:p>
        </w:tc>
        <w:tc>
          <w:tcPr>
            <w:tcW w:w="1100" w:type="dxa"/>
            <w:vAlign w:val="bottom"/>
            <w:tcBorders>
              <w:bottom w:val="single" w:sz="8" w:color="929292"/>
            </w:tcBorders>
          </w:tcPr>
          <w:p>
            <w:pPr>
              <w:jc w:val="right"/>
              <w:ind w:right="149"/>
              <w:spacing w:after="0"/>
              <w:rPr>
                <w:sz w:val="20"/>
                <w:szCs w:val="20"/>
                <w:color w:val="auto"/>
              </w:rPr>
            </w:pPr>
            <w:r>
              <w:rPr>
                <w:rFonts w:ascii="Arial" w:cs="Arial" w:eastAsia="Arial" w:hAnsi="Arial"/>
                <w:sz w:val="14"/>
                <w:szCs w:val="14"/>
                <w:b w:val="1"/>
                <w:bCs w:val="1"/>
                <w:color w:val="auto"/>
              </w:rPr>
              <w:t>1,226,280</w:t>
            </w:r>
          </w:p>
        </w:tc>
        <w:tc>
          <w:tcPr>
            <w:tcW w:w="1140" w:type="dxa"/>
            <w:vAlign w:val="bottom"/>
            <w:tcBorders>
              <w:bottom w:val="single" w:sz="8" w:color="929292"/>
            </w:tcBorders>
          </w:tcPr>
          <w:p>
            <w:pPr>
              <w:jc w:val="right"/>
              <w:ind w:right="189"/>
              <w:spacing w:after="0"/>
              <w:rPr>
                <w:sz w:val="20"/>
                <w:szCs w:val="20"/>
                <w:color w:val="auto"/>
              </w:rPr>
            </w:pPr>
            <w:r>
              <w:rPr>
                <w:rFonts w:ascii="Arial" w:cs="Arial" w:eastAsia="Arial" w:hAnsi="Arial"/>
                <w:sz w:val="14"/>
                <w:szCs w:val="14"/>
                <w:b w:val="1"/>
                <w:bCs w:val="1"/>
                <w:color w:val="auto"/>
              </w:rPr>
              <w:t>875,522</w:t>
            </w:r>
          </w:p>
        </w:tc>
        <w:tc>
          <w:tcPr>
            <w:tcW w:w="1080" w:type="dxa"/>
            <w:vAlign w:val="bottom"/>
            <w:tcBorders>
              <w:bottom w:val="single" w:sz="8" w:color="929292"/>
            </w:tcBorders>
          </w:tcPr>
          <w:p>
            <w:pPr>
              <w:jc w:val="right"/>
              <w:ind w:right="149"/>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929292"/>
            </w:tcBorders>
          </w:tcPr>
          <w:p>
            <w:pPr>
              <w:ind w:left="760"/>
              <w:spacing w:after="0"/>
              <w:rPr>
                <w:sz w:val="20"/>
                <w:szCs w:val="20"/>
                <w:color w:val="auto"/>
              </w:rPr>
            </w:pPr>
            <w:r>
              <w:rPr>
                <w:rFonts w:ascii="Arial" w:cs="Arial" w:eastAsia="Arial" w:hAnsi="Arial"/>
                <w:sz w:val="14"/>
                <w:szCs w:val="14"/>
                <w:b w:val="1"/>
                <w:bCs w:val="1"/>
                <w:color w:val="auto"/>
              </w:rPr>
              <w:t>—</w:t>
            </w:r>
          </w:p>
        </w:tc>
      </w:tr>
      <w:tr>
        <w:trPr>
          <w:trHeight w:val="182"/>
        </w:trPr>
        <w:tc>
          <w:tcPr>
            <w:tcW w:w="2760" w:type="dxa"/>
            <w:vAlign w:val="bottom"/>
          </w:tcPr>
          <w:p>
            <w:pPr>
              <w:ind w:left="20"/>
              <w:spacing w:after="0"/>
              <w:rPr>
                <w:sz w:val="20"/>
                <w:szCs w:val="20"/>
                <w:color w:val="auto"/>
              </w:rPr>
            </w:pPr>
            <w:r>
              <w:rPr>
                <w:rFonts w:ascii="Arial" w:cs="Arial" w:eastAsia="Arial" w:hAnsi="Arial"/>
                <w:sz w:val="14"/>
                <w:szCs w:val="14"/>
                <w:b w:val="1"/>
                <w:bCs w:val="1"/>
                <w:color w:val="003478"/>
              </w:rPr>
              <w:t>Frank A. St. John</w:t>
            </w:r>
          </w:p>
        </w:tc>
        <w:tc>
          <w:tcPr>
            <w:tcW w:w="1820" w:type="dxa"/>
            <w:vAlign w:val="bottom"/>
          </w:tcPr>
          <w:p>
            <w:pPr>
              <w:ind w:left="20"/>
              <w:spacing w:after="0" w:line="182" w:lineRule="exact"/>
              <w:rPr>
                <w:sz w:val="20"/>
                <w:szCs w:val="20"/>
                <w:color w:val="auto"/>
              </w:rPr>
            </w:pPr>
            <w:r>
              <w:rPr>
                <w:rFonts w:ascii="Arial" w:cs="Arial" w:eastAsia="Arial" w:hAnsi="Arial"/>
                <w:sz w:val="14"/>
                <w:szCs w:val="14"/>
                <w:color w:val="auto"/>
              </w:rPr>
              <w:t>LTIP</w:t>
            </w:r>
            <w:r>
              <w:rPr>
                <w:rFonts w:ascii="Arial" w:cs="Arial" w:eastAsia="Arial" w:hAnsi="Arial"/>
                <w:sz w:val="18"/>
                <w:szCs w:val="18"/>
                <w:color w:val="auto"/>
                <w:vertAlign w:val="superscript"/>
              </w:rPr>
              <w:t>(2)</w:t>
            </w:r>
          </w:p>
        </w:tc>
        <w:tc>
          <w:tcPr>
            <w:tcW w:w="1260" w:type="dxa"/>
            <w:vAlign w:val="bottom"/>
          </w:tcPr>
          <w:p>
            <w:pPr>
              <w:ind w:left="8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2,030,000</w:t>
            </w:r>
          </w:p>
        </w:tc>
        <w:tc>
          <w:tcPr>
            <w:tcW w:w="11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tcPr>
          <w:p>
            <w:pPr>
              <w:ind w:left="760"/>
              <w:spacing w:after="0"/>
              <w:rPr>
                <w:sz w:val="20"/>
                <w:szCs w:val="20"/>
                <w:color w:val="auto"/>
              </w:rPr>
            </w:pPr>
            <w:r>
              <w:rPr>
                <w:rFonts w:ascii="Arial" w:cs="Arial" w:eastAsia="Arial" w:hAnsi="Arial"/>
                <w:sz w:val="14"/>
                <w:szCs w:val="14"/>
                <w:color w:val="auto"/>
              </w:rPr>
              <w:t>—</w:t>
            </w:r>
          </w:p>
        </w:tc>
      </w:tr>
      <w:tr>
        <w:trPr>
          <w:trHeight w:val="188"/>
        </w:trPr>
        <w:tc>
          <w:tcPr>
            <w:tcW w:w="2760" w:type="dxa"/>
            <w:vAlign w:val="bottom"/>
          </w:tcPr>
          <w:p>
            <w:pPr>
              <w:spacing w:after="0"/>
              <w:rPr>
                <w:sz w:val="16"/>
                <w:szCs w:val="16"/>
                <w:color w:val="auto"/>
              </w:rPr>
            </w:pPr>
          </w:p>
        </w:tc>
        <w:tc>
          <w:tcPr>
            <w:tcW w:w="1820" w:type="dxa"/>
            <w:vAlign w:val="bottom"/>
            <w:shd w:val="clear" w:color="auto" w:fill="E5E7EF"/>
          </w:tcPr>
          <w:p>
            <w:pPr>
              <w:ind w:left="20"/>
              <w:spacing w:after="0" w:line="189" w:lineRule="exact"/>
              <w:rPr>
                <w:sz w:val="20"/>
                <w:szCs w:val="20"/>
                <w:color w:val="auto"/>
              </w:rPr>
            </w:pPr>
            <w:r>
              <w:rPr>
                <w:rFonts w:ascii="Arial" w:cs="Arial" w:eastAsia="Arial" w:hAnsi="Arial"/>
                <w:sz w:val="14"/>
                <w:szCs w:val="14"/>
                <w:color w:val="auto"/>
              </w:rPr>
              <w:t>RSUs</w:t>
            </w:r>
            <w:r>
              <w:rPr>
                <w:rFonts w:ascii="Arial" w:cs="Arial" w:eastAsia="Arial" w:hAnsi="Arial"/>
                <w:sz w:val="18"/>
                <w:szCs w:val="18"/>
                <w:color w:val="auto"/>
                <w:vertAlign w:val="superscript"/>
              </w:rPr>
              <w:t>(3)</w:t>
            </w:r>
          </w:p>
        </w:tc>
        <w:tc>
          <w:tcPr>
            <w:tcW w:w="1260" w:type="dxa"/>
            <w:vAlign w:val="bottom"/>
            <w:shd w:val="clear" w:color="auto" w:fill="E5E7EF"/>
          </w:tcPr>
          <w:p>
            <w:pPr>
              <w:ind w:left="880"/>
              <w:spacing w:after="0"/>
              <w:rPr>
                <w:sz w:val="20"/>
                <w:szCs w:val="20"/>
                <w:color w:val="auto"/>
              </w:rPr>
            </w:pPr>
            <w:r>
              <w:rPr>
                <w:rFonts w:ascii="Arial" w:cs="Arial" w:eastAsia="Arial" w:hAnsi="Arial"/>
                <w:sz w:val="14"/>
                <w:szCs w:val="14"/>
                <w:color w:val="auto"/>
              </w:rPr>
              <w:t>—</w:t>
            </w:r>
          </w:p>
        </w:tc>
        <w:tc>
          <w:tcPr>
            <w:tcW w:w="1120" w:type="dxa"/>
            <w:vAlign w:val="bottom"/>
            <w:shd w:val="clear" w:color="auto" w:fill="E5E7EF"/>
          </w:tcPr>
          <w:p>
            <w:pPr>
              <w:jc w:val="right"/>
              <w:ind w:right="169"/>
              <w:spacing w:after="0"/>
              <w:rPr>
                <w:sz w:val="20"/>
                <w:szCs w:val="20"/>
                <w:color w:val="auto"/>
              </w:rPr>
            </w:pPr>
            <w:r>
              <w:rPr>
                <w:rFonts w:ascii="Arial" w:cs="Arial" w:eastAsia="Arial" w:hAnsi="Arial"/>
                <w:sz w:val="14"/>
                <w:szCs w:val="14"/>
                <w:color w:val="auto"/>
              </w:rPr>
              <w:t>4,426,905</w:t>
            </w:r>
          </w:p>
        </w:tc>
        <w:tc>
          <w:tcPr>
            <w:tcW w:w="110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4,426,905</w:t>
            </w:r>
          </w:p>
        </w:tc>
        <w:tc>
          <w:tcPr>
            <w:tcW w:w="1140" w:type="dxa"/>
            <w:vAlign w:val="bottom"/>
            <w:shd w:val="clear" w:color="auto" w:fill="E5E7E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7EF"/>
          </w:tcPr>
          <w:p>
            <w:pPr>
              <w:ind w:left="760"/>
              <w:spacing w:after="0"/>
              <w:rPr>
                <w:sz w:val="20"/>
                <w:szCs w:val="20"/>
                <w:color w:val="auto"/>
              </w:rPr>
            </w:pPr>
            <w:r>
              <w:rPr>
                <w:rFonts w:ascii="Arial" w:cs="Arial" w:eastAsia="Arial" w:hAnsi="Arial"/>
                <w:sz w:val="14"/>
                <w:szCs w:val="14"/>
                <w:color w:val="auto"/>
              </w:rPr>
              <w:t>—</w:t>
            </w:r>
          </w:p>
        </w:tc>
      </w:tr>
      <w:tr>
        <w:trPr>
          <w:trHeight w:val="188"/>
        </w:trPr>
        <w:tc>
          <w:tcPr>
            <w:tcW w:w="2760" w:type="dxa"/>
            <w:vAlign w:val="bottom"/>
          </w:tcPr>
          <w:p>
            <w:pPr>
              <w:spacing w:after="0"/>
              <w:rPr>
                <w:sz w:val="16"/>
                <w:szCs w:val="16"/>
                <w:color w:val="auto"/>
              </w:rPr>
            </w:pPr>
          </w:p>
        </w:tc>
        <w:tc>
          <w:tcPr>
            <w:tcW w:w="1820" w:type="dxa"/>
            <w:vAlign w:val="bottom"/>
          </w:tcPr>
          <w:p>
            <w:pPr>
              <w:ind w:left="20"/>
              <w:spacing w:after="0" w:line="189" w:lineRule="exact"/>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(4)</w:t>
            </w:r>
          </w:p>
        </w:tc>
        <w:tc>
          <w:tcPr>
            <w:tcW w:w="1260" w:type="dxa"/>
            <w:vAlign w:val="bottom"/>
          </w:tcPr>
          <w:p>
            <w:pPr>
              <w:ind w:left="8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7,699,190</w:t>
            </w:r>
          </w:p>
        </w:tc>
        <w:tc>
          <w:tcPr>
            <w:tcW w:w="11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tcPr>
          <w:p>
            <w:pPr>
              <w:ind w:left="760"/>
              <w:spacing w:after="0"/>
              <w:rPr>
                <w:sz w:val="20"/>
                <w:szCs w:val="20"/>
                <w:color w:val="auto"/>
              </w:rPr>
            </w:pPr>
            <w:r>
              <w:rPr>
                <w:rFonts w:ascii="Arial" w:cs="Arial" w:eastAsia="Arial" w:hAnsi="Arial"/>
                <w:sz w:val="14"/>
                <w:szCs w:val="14"/>
                <w:color w:val="auto"/>
              </w:rPr>
              <w:t>—</w:t>
            </w:r>
          </w:p>
        </w:tc>
      </w:tr>
      <w:tr>
        <w:trPr>
          <w:trHeight w:val="188"/>
        </w:trPr>
        <w:tc>
          <w:tcPr>
            <w:tcW w:w="2760" w:type="dxa"/>
            <w:vAlign w:val="bottom"/>
          </w:tcPr>
          <w:p>
            <w:pPr>
              <w:spacing w:after="0"/>
              <w:rPr>
                <w:sz w:val="16"/>
                <w:szCs w:val="16"/>
                <w:color w:val="auto"/>
              </w:rPr>
            </w:pPr>
          </w:p>
        </w:tc>
        <w:tc>
          <w:tcPr>
            <w:tcW w:w="1820" w:type="dxa"/>
            <w:vAlign w:val="bottom"/>
            <w:tcBorders>
              <w:bottom w:val="single" w:sz="8" w:color="959595"/>
            </w:tcBorders>
            <w:shd w:val="clear" w:color="auto" w:fill="E5E7EF"/>
          </w:tcPr>
          <w:p>
            <w:pPr>
              <w:ind w:left="20"/>
              <w:spacing w:after="0" w:line="189" w:lineRule="exact"/>
              <w:rPr>
                <w:sz w:val="20"/>
                <w:szCs w:val="20"/>
                <w:color w:val="auto"/>
              </w:rPr>
            </w:pPr>
            <w:r>
              <w:rPr>
                <w:rFonts w:ascii="Arial" w:cs="Arial" w:eastAsia="Arial" w:hAnsi="Arial"/>
                <w:sz w:val="14"/>
                <w:szCs w:val="14"/>
                <w:color w:val="auto"/>
              </w:rPr>
              <w:t>Executive Severance</w:t>
            </w:r>
            <w:r>
              <w:rPr>
                <w:rFonts w:ascii="Arial" w:cs="Arial" w:eastAsia="Arial" w:hAnsi="Arial"/>
                <w:sz w:val="18"/>
                <w:szCs w:val="18"/>
                <w:color w:val="auto"/>
                <w:vertAlign w:val="superscript"/>
              </w:rPr>
              <w:t>(5)</w:t>
            </w:r>
          </w:p>
        </w:tc>
        <w:tc>
          <w:tcPr>
            <w:tcW w:w="1260" w:type="dxa"/>
            <w:vAlign w:val="bottom"/>
            <w:tcBorders>
              <w:bottom w:val="single" w:sz="8" w:color="959595"/>
            </w:tcBorders>
            <w:shd w:val="clear" w:color="auto" w:fill="E5E7EF"/>
          </w:tcPr>
          <w:p>
            <w:pPr>
              <w:ind w:left="88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959595"/>
            </w:tcBorders>
            <w:shd w:val="clear" w:color="auto" w:fill="E5E7E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959595"/>
            </w:tcBorders>
            <w:shd w:val="clear" w:color="auto" w:fill="E5E7EF"/>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959595"/>
            </w:tcBorders>
            <w:shd w:val="clear" w:color="auto" w:fill="E5E7EF"/>
          </w:tcPr>
          <w:p>
            <w:pPr>
              <w:jc w:val="right"/>
              <w:ind w:right="189"/>
              <w:spacing w:after="0"/>
              <w:rPr>
                <w:sz w:val="20"/>
                <w:szCs w:val="20"/>
                <w:color w:val="auto"/>
              </w:rPr>
            </w:pPr>
            <w:r>
              <w:rPr>
                <w:rFonts w:ascii="Arial" w:cs="Arial" w:eastAsia="Arial" w:hAnsi="Arial"/>
                <w:sz w:val="14"/>
                <w:szCs w:val="14"/>
                <w:color w:val="auto"/>
              </w:rPr>
              <w:t>2,316,777</w:t>
            </w:r>
          </w:p>
        </w:tc>
        <w:tc>
          <w:tcPr>
            <w:tcW w:w="1080" w:type="dxa"/>
            <w:vAlign w:val="bottom"/>
            <w:tcBorders>
              <w:bottom w:val="single" w:sz="8" w:color="959595"/>
            </w:tcBorders>
            <w:shd w:val="clear" w:color="auto" w:fill="E5E7EF"/>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959595"/>
            </w:tcBorders>
            <w:shd w:val="clear" w:color="auto" w:fill="E5E7EF"/>
          </w:tcPr>
          <w:p>
            <w:pPr>
              <w:ind w:left="760"/>
              <w:spacing w:after="0"/>
              <w:rPr>
                <w:sz w:val="20"/>
                <w:szCs w:val="20"/>
                <w:color w:val="auto"/>
              </w:rPr>
            </w:pPr>
            <w:r>
              <w:rPr>
                <w:rFonts w:ascii="Arial" w:cs="Arial" w:eastAsia="Arial" w:hAnsi="Arial"/>
                <w:sz w:val="14"/>
                <w:szCs w:val="14"/>
                <w:color w:val="auto"/>
              </w:rPr>
              <w:t>—</w:t>
            </w:r>
          </w:p>
        </w:tc>
      </w:tr>
      <w:tr>
        <w:trPr>
          <w:trHeight w:val="182"/>
        </w:trPr>
        <w:tc>
          <w:tcPr>
            <w:tcW w:w="2760" w:type="dxa"/>
            <w:vAlign w:val="bottom"/>
            <w:tcBorders>
              <w:bottom w:val="single" w:sz="8" w:color="9D9D9C"/>
            </w:tcBorders>
          </w:tcPr>
          <w:p>
            <w:pPr>
              <w:spacing w:after="0"/>
              <w:rPr>
                <w:sz w:val="15"/>
                <w:szCs w:val="15"/>
                <w:color w:val="auto"/>
              </w:rPr>
            </w:pPr>
          </w:p>
        </w:tc>
        <w:tc>
          <w:tcPr>
            <w:tcW w:w="1820" w:type="dxa"/>
            <w:vAlign w:val="bottom"/>
            <w:tcBorders>
              <w:bottom w:val="single" w:sz="8" w:color="9D9D9C"/>
            </w:tcBorders>
          </w:tcPr>
          <w:p>
            <w:pPr>
              <w:ind w:left="20"/>
              <w:spacing w:after="0"/>
              <w:rPr>
                <w:sz w:val="20"/>
                <w:szCs w:val="20"/>
                <w:color w:val="auto"/>
              </w:rPr>
            </w:pPr>
            <w:r>
              <w:rPr>
                <w:rFonts w:ascii="Arial" w:cs="Arial" w:eastAsia="Arial" w:hAnsi="Arial"/>
                <w:sz w:val="14"/>
                <w:szCs w:val="14"/>
                <w:b w:val="1"/>
                <w:bCs w:val="1"/>
                <w:color w:val="auto"/>
              </w:rPr>
              <w:t>TOTAL</w:t>
            </w:r>
          </w:p>
        </w:tc>
        <w:tc>
          <w:tcPr>
            <w:tcW w:w="1260" w:type="dxa"/>
            <w:vAlign w:val="bottom"/>
            <w:tcBorders>
              <w:bottom w:val="single" w:sz="8" w:color="9D9D9C"/>
            </w:tcBorders>
          </w:tcPr>
          <w:p>
            <w:pPr>
              <w:ind w:left="880"/>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9D9D9C"/>
            </w:tcBorders>
          </w:tcPr>
          <w:p>
            <w:pPr>
              <w:jc w:val="right"/>
              <w:ind w:right="169"/>
              <w:spacing w:after="0"/>
              <w:rPr>
                <w:sz w:val="20"/>
                <w:szCs w:val="20"/>
                <w:color w:val="auto"/>
              </w:rPr>
            </w:pPr>
            <w:r>
              <w:rPr>
                <w:rFonts w:ascii="Arial" w:cs="Arial" w:eastAsia="Arial" w:hAnsi="Arial"/>
                <w:sz w:val="14"/>
                <w:szCs w:val="14"/>
                <w:b w:val="1"/>
                <w:bCs w:val="1"/>
                <w:color w:val="auto"/>
              </w:rPr>
              <w:t>14,156,095</w:t>
            </w:r>
          </w:p>
        </w:tc>
        <w:tc>
          <w:tcPr>
            <w:tcW w:w="1100" w:type="dxa"/>
            <w:vAlign w:val="bottom"/>
            <w:tcBorders>
              <w:bottom w:val="single" w:sz="8" w:color="9D9D9C"/>
            </w:tcBorders>
          </w:tcPr>
          <w:p>
            <w:pPr>
              <w:jc w:val="right"/>
              <w:ind w:right="149"/>
              <w:spacing w:after="0"/>
              <w:rPr>
                <w:sz w:val="20"/>
                <w:szCs w:val="20"/>
                <w:color w:val="auto"/>
              </w:rPr>
            </w:pPr>
            <w:r>
              <w:rPr>
                <w:rFonts w:ascii="Arial" w:cs="Arial" w:eastAsia="Arial" w:hAnsi="Arial"/>
                <w:sz w:val="14"/>
                <w:szCs w:val="14"/>
                <w:b w:val="1"/>
                <w:bCs w:val="1"/>
                <w:color w:val="auto"/>
              </w:rPr>
              <w:t>4,426,905</w:t>
            </w:r>
          </w:p>
        </w:tc>
        <w:tc>
          <w:tcPr>
            <w:tcW w:w="1140" w:type="dxa"/>
            <w:vAlign w:val="bottom"/>
            <w:tcBorders>
              <w:bottom w:val="single" w:sz="8" w:color="9D9D9C"/>
            </w:tcBorders>
          </w:tcPr>
          <w:p>
            <w:pPr>
              <w:jc w:val="right"/>
              <w:ind w:right="189"/>
              <w:spacing w:after="0"/>
              <w:rPr>
                <w:sz w:val="20"/>
                <w:szCs w:val="20"/>
                <w:color w:val="auto"/>
              </w:rPr>
            </w:pPr>
            <w:r>
              <w:rPr>
                <w:rFonts w:ascii="Arial" w:cs="Arial" w:eastAsia="Arial" w:hAnsi="Arial"/>
                <w:sz w:val="14"/>
                <w:szCs w:val="14"/>
                <w:b w:val="1"/>
                <w:bCs w:val="1"/>
                <w:color w:val="auto"/>
              </w:rPr>
              <w:t>2,316,777</w:t>
            </w:r>
          </w:p>
        </w:tc>
        <w:tc>
          <w:tcPr>
            <w:tcW w:w="1080" w:type="dxa"/>
            <w:vAlign w:val="bottom"/>
            <w:tcBorders>
              <w:bottom w:val="single" w:sz="8" w:color="9D9D9C"/>
            </w:tcBorders>
          </w:tcPr>
          <w:p>
            <w:pPr>
              <w:jc w:val="right"/>
              <w:ind w:right="149"/>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9D9D9C"/>
            </w:tcBorders>
          </w:tcPr>
          <w:p>
            <w:pPr>
              <w:ind w:left="760"/>
              <w:spacing w:after="0"/>
              <w:rPr>
                <w:sz w:val="20"/>
                <w:szCs w:val="20"/>
                <w:color w:val="auto"/>
              </w:rPr>
            </w:pPr>
            <w:r>
              <w:rPr>
                <w:rFonts w:ascii="Arial" w:cs="Arial" w:eastAsia="Arial" w:hAnsi="Arial"/>
                <w:sz w:val="14"/>
                <w:szCs w:val="14"/>
                <w:b w:val="1"/>
                <w:bCs w:val="1"/>
                <w:color w:val="auto"/>
              </w:rPr>
              <w:t>—</w:t>
            </w:r>
          </w:p>
        </w:tc>
      </w:tr>
      <w:tr>
        <w:trPr>
          <w:trHeight w:val="182"/>
        </w:trPr>
        <w:tc>
          <w:tcPr>
            <w:tcW w:w="2760" w:type="dxa"/>
            <w:vAlign w:val="bottom"/>
          </w:tcPr>
          <w:p>
            <w:pPr>
              <w:ind w:left="20"/>
              <w:spacing w:after="0"/>
              <w:rPr>
                <w:sz w:val="20"/>
                <w:szCs w:val="20"/>
                <w:color w:val="auto"/>
              </w:rPr>
            </w:pPr>
            <w:r>
              <w:rPr>
                <w:rFonts w:ascii="Arial" w:cs="Arial" w:eastAsia="Arial" w:hAnsi="Arial"/>
                <w:sz w:val="14"/>
                <w:szCs w:val="14"/>
                <w:b w:val="1"/>
                <w:bCs w:val="1"/>
                <w:color w:val="003478"/>
              </w:rPr>
              <w:t>Richard F. Ambrose</w:t>
            </w:r>
          </w:p>
        </w:tc>
        <w:tc>
          <w:tcPr>
            <w:tcW w:w="1820" w:type="dxa"/>
            <w:vAlign w:val="bottom"/>
          </w:tcPr>
          <w:p>
            <w:pPr>
              <w:ind w:left="20"/>
              <w:spacing w:after="0" w:line="182" w:lineRule="exact"/>
              <w:rPr>
                <w:sz w:val="20"/>
                <w:szCs w:val="20"/>
                <w:color w:val="auto"/>
              </w:rPr>
            </w:pPr>
            <w:r>
              <w:rPr>
                <w:rFonts w:ascii="Arial" w:cs="Arial" w:eastAsia="Arial" w:hAnsi="Arial"/>
                <w:sz w:val="14"/>
                <w:szCs w:val="14"/>
                <w:color w:val="auto"/>
              </w:rPr>
              <w:t>LTIP</w:t>
            </w:r>
            <w:r>
              <w:rPr>
                <w:rFonts w:ascii="Arial" w:cs="Arial" w:eastAsia="Arial" w:hAnsi="Arial"/>
                <w:sz w:val="18"/>
                <w:szCs w:val="18"/>
                <w:color w:val="auto"/>
                <w:vertAlign w:val="superscript"/>
              </w:rPr>
              <w:t>(2)</w:t>
            </w:r>
          </w:p>
        </w:tc>
        <w:tc>
          <w:tcPr>
            <w:tcW w:w="1260" w:type="dxa"/>
            <w:vAlign w:val="bottom"/>
          </w:tcPr>
          <w:p>
            <w:pPr>
              <w:ind w:left="8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1,600,000</w:t>
            </w:r>
          </w:p>
        </w:tc>
        <w:tc>
          <w:tcPr>
            <w:tcW w:w="11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tcPr>
          <w:p>
            <w:pPr>
              <w:ind w:left="760"/>
              <w:spacing w:after="0"/>
              <w:rPr>
                <w:sz w:val="20"/>
                <w:szCs w:val="20"/>
                <w:color w:val="auto"/>
              </w:rPr>
            </w:pPr>
            <w:r>
              <w:rPr>
                <w:rFonts w:ascii="Arial" w:cs="Arial" w:eastAsia="Arial" w:hAnsi="Arial"/>
                <w:sz w:val="14"/>
                <w:szCs w:val="14"/>
                <w:color w:val="auto"/>
              </w:rPr>
              <w:t>—</w:t>
            </w:r>
          </w:p>
        </w:tc>
      </w:tr>
      <w:tr>
        <w:trPr>
          <w:trHeight w:val="188"/>
        </w:trPr>
        <w:tc>
          <w:tcPr>
            <w:tcW w:w="2760" w:type="dxa"/>
            <w:vAlign w:val="bottom"/>
          </w:tcPr>
          <w:p>
            <w:pPr>
              <w:spacing w:after="0"/>
              <w:rPr>
                <w:sz w:val="16"/>
                <w:szCs w:val="16"/>
                <w:color w:val="auto"/>
              </w:rPr>
            </w:pPr>
          </w:p>
        </w:tc>
        <w:tc>
          <w:tcPr>
            <w:tcW w:w="1820" w:type="dxa"/>
            <w:vAlign w:val="bottom"/>
            <w:shd w:val="clear" w:color="auto" w:fill="E5E7EF"/>
          </w:tcPr>
          <w:p>
            <w:pPr>
              <w:ind w:left="20"/>
              <w:spacing w:after="0" w:line="189" w:lineRule="exact"/>
              <w:rPr>
                <w:sz w:val="20"/>
                <w:szCs w:val="20"/>
                <w:color w:val="auto"/>
              </w:rPr>
            </w:pPr>
            <w:r>
              <w:rPr>
                <w:rFonts w:ascii="Arial" w:cs="Arial" w:eastAsia="Arial" w:hAnsi="Arial"/>
                <w:sz w:val="14"/>
                <w:szCs w:val="14"/>
                <w:color w:val="auto"/>
              </w:rPr>
              <w:t>RSUs</w:t>
            </w:r>
            <w:r>
              <w:rPr>
                <w:rFonts w:ascii="Arial" w:cs="Arial" w:eastAsia="Arial" w:hAnsi="Arial"/>
                <w:sz w:val="18"/>
                <w:szCs w:val="18"/>
                <w:color w:val="auto"/>
                <w:vertAlign w:val="superscript"/>
              </w:rPr>
              <w:t>(3)</w:t>
            </w:r>
          </w:p>
        </w:tc>
        <w:tc>
          <w:tcPr>
            <w:tcW w:w="1260" w:type="dxa"/>
            <w:vAlign w:val="bottom"/>
            <w:shd w:val="clear" w:color="auto" w:fill="E5E7EF"/>
          </w:tcPr>
          <w:p>
            <w:pPr>
              <w:ind w:left="880"/>
              <w:spacing w:after="0"/>
              <w:rPr>
                <w:sz w:val="20"/>
                <w:szCs w:val="20"/>
                <w:color w:val="auto"/>
              </w:rPr>
            </w:pPr>
            <w:r>
              <w:rPr>
                <w:rFonts w:ascii="Arial" w:cs="Arial" w:eastAsia="Arial" w:hAnsi="Arial"/>
                <w:sz w:val="14"/>
                <w:szCs w:val="14"/>
                <w:color w:val="auto"/>
              </w:rPr>
              <w:t>—</w:t>
            </w:r>
          </w:p>
        </w:tc>
        <w:tc>
          <w:tcPr>
            <w:tcW w:w="1120" w:type="dxa"/>
            <w:vAlign w:val="bottom"/>
            <w:shd w:val="clear" w:color="auto" w:fill="E5E7EF"/>
          </w:tcPr>
          <w:p>
            <w:pPr>
              <w:jc w:val="right"/>
              <w:ind w:right="169"/>
              <w:spacing w:after="0"/>
              <w:rPr>
                <w:sz w:val="20"/>
                <w:szCs w:val="20"/>
                <w:color w:val="auto"/>
              </w:rPr>
            </w:pPr>
            <w:r>
              <w:rPr>
                <w:rFonts w:ascii="Arial" w:cs="Arial" w:eastAsia="Arial" w:hAnsi="Arial"/>
                <w:sz w:val="14"/>
                <w:szCs w:val="14"/>
                <w:color w:val="auto"/>
              </w:rPr>
              <w:t>3,785,909</w:t>
            </w:r>
          </w:p>
        </w:tc>
        <w:tc>
          <w:tcPr>
            <w:tcW w:w="110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3,785,909</w:t>
            </w:r>
          </w:p>
        </w:tc>
        <w:tc>
          <w:tcPr>
            <w:tcW w:w="1140" w:type="dxa"/>
            <w:vAlign w:val="bottom"/>
            <w:shd w:val="clear" w:color="auto" w:fill="E5E7E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shd w:val="clear" w:color="auto" w:fill="E5E7EF"/>
          </w:tcPr>
          <w:p>
            <w:pPr>
              <w:ind w:left="760"/>
              <w:spacing w:after="0"/>
              <w:rPr>
                <w:sz w:val="20"/>
                <w:szCs w:val="20"/>
                <w:color w:val="auto"/>
              </w:rPr>
            </w:pPr>
            <w:r>
              <w:rPr>
                <w:rFonts w:ascii="Arial" w:cs="Arial" w:eastAsia="Arial" w:hAnsi="Arial"/>
                <w:sz w:val="14"/>
                <w:szCs w:val="14"/>
                <w:color w:val="auto"/>
              </w:rPr>
              <w:t>—</w:t>
            </w:r>
          </w:p>
        </w:tc>
      </w:tr>
      <w:tr>
        <w:trPr>
          <w:trHeight w:val="188"/>
        </w:trPr>
        <w:tc>
          <w:tcPr>
            <w:tcW w:w="2760" w:type="dxa"/>
            <w:vAlign w:val="bottom"/>
          </w:tcPr>
          <w:p>
            <w:pPr>
              <w:spacing w:after="0"/>
              <w:rPr>
                <w:sz w:val="16"/>
                <w:szCs w:val="16"/>
                <w:color w:val="auto"/>
              </w:rPr>
            </w:pPr>
          </w:p>
        </w:tc>
        <w:tc>
          <w:tcPr>
            <w:tcW w:w="1820" w:type="dxa"/>
            <w:vAlign w:val="bottom"/>
          </w:tcPr>
          <w:p>
            <w:pPr>
              <w:ind w:left="20"/>
              <w:spacing w:after="0" w:line="189" w:lineRule="exact"/>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(4)</w:t>
            </w:r>
          </w:p>
        </w:tc>
        <w:tc>
          <w:tcPr>
            <w:tcW w:w="1260" w:type="dxa"/>
            <w:vAlign w:val="bottom"/>
          </w:tcPr>
          <w:p>
            <w:pPr>
              <w:ind w:left="8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6,578,061</w:t>
            </w:r>
          </w:p>
        </w:tc>
        <w:tc>
          <w:tcPr>
            <w:tcW w:w="11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tcPr>
          <w:p>
            <w:pPr>
              <w:ind w:left="760"/>
              <w:spacing w:after="0"/>
              <w:rPr>
                <w:sz w:val="20"/>
                <w:szCs w:val="20"/>
                <w:color w:val="auto"/>
              </w:rPr>
            </w:pPr>
            <w:r>
              <w:rPr>
                <w:rFonts w:ascii="Arial" w:cs="Arial" w:eastAsia="Arial" w:hAnsi="Arial"/>
                <w:sz w:val="14"/>
                <w:szCs w:val="14"/>
                <w:color w:val="auto"/>
              </w:rPr>
              <w:t>—</w:t>
            </w:r>
          </w:p>
        </w:tc>
      </w:tr>
      <w:tr>
        <w:trPr>
          <w:trHeight w:val="188"/>
        </w:trPr>
        <w:tc>
          <w:tcPr>
            <w:tcW w:w="2760" w:type="dxa"/>
            <w:vAlign w:val="bottom"/>
          </w:tcPr>
          <w:p>
            <w:pPr>
              <w:spacing w:after="0"/>
              <w:rPr>
                <w:sz w:val="16"/>
                <w:szCs w:val="16"/>
                <w:color w:val="auto"/>
              </w:rPr>
            </w:pPr>
          </w:p>
        </w:tc>
        <w:tc>
          <w:tcPr>
            <w:tcW w:w="1820" w:type="dxa"/>
            <w:vAlign w:val="bottom"/>
            <w:tcBorders>
              <w:bottom w:val="single" w:sz="8" w:color="959595"/>
            </w:tcBorders>
            <w:shd w:val="clear" w:color="auto" w:fill="E5E7EF"/>
          </w:tcPr>
          <w:p>
            <w:pPr>
              <w:ind w:left="20"/>
              <w:spacing w:after="0" w:line="189" w:lineRule="exact"/>
              <w:rPr>
                <w:sz w:val="20"/>
                <w:szCs w:val="20"/>
                <w:color w:val="auto"/>
              </w:rPr>
            </w:pPr>
            <w:r>
              <w:rPr>
                <w:rFonts w:ascii="Arial" w:cs="Arial" w:eastAsia="Arial" w:hAnsi="Arial"/>
                <w:sz w:val="14"/>
                <w:szCs w:val="14"/>
                <w:color w:val="auto"/>
              </w:rPr>
              <w:t>Executive Severance</w:t>
            </w:r>
            <w:r>
              <w:rPr>
                <w:rFonts w:ascii="Arial" w:cs="Arial" w:eastAsia="Arial" w:hAnsi="Arial"/>
                <w:sz w:val="18"/>
                <w:szCs w:val="18"/>
                <w:color w:val="auto"/>
                <w:vertAlign w:val="superscript"/>
              </w:rPr>
              <w:t>(5)</w:t>
            </w:r>
          </w:p>
        </w:tc>
        <w:tc>
          <w:tcPr>
            <w:tcW w:w="1260" w:type="dxa"/>
            <w:vAlign w:val="bottom"/>
            <w:tcBorders>
              <w:bottom w:val="single" w:sz="8" w:color="959595"/>
            </w:tcBorders>
            <w:shd w:val="clear" w:color="auto" w:fill="E5E7EF"/>
          </w:tcPr>
          <w:p>
            <w:pPr>
              <w:ind w:left="88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959595"/>
            </w:tcBorders>
            <w:shd w:val="clear" w:color="auto" w:fill="E5E7E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959595"/>
            </w:tcBorders>
            <w:shd w:val="clear" w:color="auto" w:fill="E5E7EF"/>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959595"/>
            </w:tcBorders>
            <w:shd w:val="clear" w:color="auto" w:fill="E5E7EF"/>
          </w:tcPr>
          <w:p>
            <w:pPr>
              <w:jc w:val="right"/>
              <w:ind w:right="189"/>
              <w:spacing w:after="0"/>
              <w:rPr>
                <w:sz w:val="20"/>
                <w:szCs w:val="20"/>
                <w:color w:val="auto"/>
              </w:rPr>
            </w:pPr>
            <w:r>
              <w:rPr>
                <w:rFonts w:ascii="Arial" w:cs="Arial" w:eastAsia="Arial" w:hAnsi="Arial"/>
                <w:sz w:val="14"/>
                <w:szCs w:val="14"/>
                <w:color w:val="auto"/>
              </w:rPr>
              <w:t>2,086,502</w:t>
            </w:r>
          </w:p>
        </w:tc>
        <w:tc>
          <w:tcPr>
            <w:tcW w:w="1080" w:type="dxa"/>
            <w:vAlign w:val="bottom"/>
            <w:tcBorders>
              <w:bottom w:val="single" w:sz="8" w:color="959595"/>
            </w:tcBorders>
            <w:shd w:val="clear" w:color="auto" w:fill="E5E7EF"/>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959595"/>
            </w:tcBorders>
            <w:shd w:val="clear" w:color="auto" w:fill="E5E7EF"/>
          </w:tcPr>
          <w:p>
            <w:pPr>
              <w:ind w:left="760"/>
              <w:spacing w:after="0"/>
              <w:rPr>
                <w:sz w:val="20"/>
                <w:szCs w:val="20"/>
                <w:color w:val="auto"/>
              </w:rPr>
            </w:pPr>
            <w:r>
              <w:rPr>
                <w:rFonts w:ascii="Arial" w:cs="Arial" w:eastAsia="Arial" w:hAnsi="Arial"/>
                <w:sz w:val="14"/>
                <w:szCs w:val="14"/>
                <w:color w:val="auto"/>
              </w:rPr>
              <w:t>—</w:t>
            </w:r>
          </w:p>
        </w:tc>
      </w:tr>
      <w:tr>
        <w:trPr>
          <w:trHeight w:val="182"/>
        </w:trPr>
        <w:tc>
          <w:tcPr>
            <w:tcW w:w="2760" w:type="dxa"/>
            <w:vAlign w:val="bottom"/>
            <w:tcBorders>
              <w:bottom w:val="single" w:sz="8" w:color="959595"/>
            </w:tcBorders>
          </w:tcPr>
          <w:p>
            <w:pPr>
              <w:spacing w:after="0"/>
              <w:rPr>
                <w:sz w:val="15"/>
                <w:szCs w:val="15"/>
                <w:color w:val="auto"/>
              </w:rPr>
            </w:pPr>
          </w:p>
        </w:tc>
        <w:tc>
          <w:tcPr>
            <w:tcW w:w="1820" w:type="dxa"/>
            <w:vAlign w:val="bottom"/>
            <w:tcBorders>
              <w:bottom w:val="single" w:sz="8" w:color="9D9D9C"/>
            </w:tcBorders>
          </w:tcPr>
          <w:p>
            <w:pPr>
              <w:ind w:left="20"/>
              <w:spacing w:after="0"/>
              <w:rPr>
                <w:sz w:val="20"/>
                <w:szCs w:val="20"/>
                <w:color w:val="auto"/>
              </w:rPr>
            </w:pPr>
            <w:r>
              <w:rPr>
                <w:rFonts w:ascii="Arial" w:cs="Arial" w:eastAsia="Arial" w:hAnsi="Arial"/>
                <w:sz w:val="14"/>
                <w:szCs w:val="14"/>
                <w:b w:val="1"/>
                <w:bCs w:val="1"/>
                <w:color w:val="auto"/>
              </w:rPr>
              <w:t>TOTAL</w:t>
            </w:r>
          </w:p>
        </w:tc>
        <w:tc>
          <w:tcPr>
            <w:tcW w:w="1260" w:type="dxa"/>
            <w:vAlign w:val="bottom"/>
            <w:tcBorders>
              <w:bottom w:val="single" w:sz="8" w:color="9D9D9C"/>
            </w:tcBorders>
          </w:tcPr>
          <w:p>
            <w:pPr>
              <w:ind w:left="880"/>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9D9D9C"/>
            </w:tcBorders>
          </w:tcPr>
          <w:p>
            <w:pPr>
              <w:jc w:val="right"/>
              <w:ind w:right="169"/>
              <w:spacing w:after="0"/>
              <w:rPr>
                <w:sz w:val="20"/>
                <w:szCs w:val="20"/>
                <w:color w:val="auto"/>
              </w:rPr>
            </w:pPr>
            <w:r>
              <w:rPr>
                <w:rFonts w:ascii="Arial" w:cs="Arial" w:eastAsia="Arial" w:hAnsi="Arial"/>
                <w:sz w:val="14"/>
                <w:szCs w:val="14"/>
                <w:b w:val="1"/>
                <w:bCs w:val="1"/>
                <w:color w:val="auto"/>
              </w:rPr>
              <w:t>11,963,970</w:t>
            </w:r>
          </w:p>
        </w:tc>
        <w:tc>
          <w:tcPr>
            <w:tcW w:w="1100" w:type="dxa"/>
            <w:vAlign w:val="bottom"/>
            <w:tcBorders>
              <w:bottom w:val="single" w:sz="8" w:color="9D9D9C"/>
            </w:tcBorders>
          </w:tcPr>
          <w:p>
            <w:pPr>
              <w:jc w:val="right"/>
              <w:ind w:right="149"/>
              <w:spacing w:after="0"/>
              <w:rPr>
                <w:sz w:val="20"/>
                <w:szCs w:val="20"/>
                <w:color w:val="auto"/>
              </w:rPr>
            </w:pPr>
            <w:r>
              <w:rPr>
                <w:rFonts w:ascii="Arial" w:cs="Arial" w:eastAsia="Arial" w:hAnsi="Arial"/>
                <w:sz w:val="14"/>
                <w:szCs w:val="14"/>
                <w:b w:val="1"/>
                <w:bCs w:val="1"/>
                <w:color w:val="auto"/>
              </w:rPr>
              <w:t>3,785,909</w:t>
            </w:r>
          </w:p>
        </w:tc>
        <w:tc>
          <w:tcPr>
            <w:tcW w:w="1140" w:type="dxa"/>
            <w:vAlign w:val="bottom"/>
            <w:tcBorders>
              <w:bottom w:val="single" w:sz="8" w:color="9D9D9C"/>
            </w:tcBorders>
          </w:tcPr>
          <w:p>
            <w:pPr>
              <w:jc w:val="right"/>
              <w:ind w:right="189"/>
              <w:spacing w:after="0"/>
              <w:rPr>
                <w:sz w:val="20"/>
                <w:szCs w:val="20"/>
                <w:color w:val="auto"/>
              </w:rPr>
            </w:pPr>
            <w:r>
              <w:rPr>
                <w:rFonts w:ascii="Arial" w:cs="Arial" w:eastAsia="Arial" w:hAnsi="Arial"/>
                <w:sz w:val="14"/>
                <w:szCs w:val="14"/>
                <w:b w:val="1"/>
                <w:bCs w:val="1"/>
                <w:color w:val="auto"/>
              </w:rPr>
              <w:t>2,086,502</w:t>
            </w:r>
          </w:p>
        </w:tc>
        <w:tc>
          <w:tcPr>
            <w:tcW w:w="1080" w:type="dxa"/>
            <w:vAlign w:val="bottom"/>
            <w:tcBorders>
              <w:bottom w:val="single" w:sz="8" w:color="9D9D9C"/>
            </w:tcBorders>
          </w:tcPr>
          <w:p>
            <w:pPr>
              <w:jc w:val="right"/>
              <w:ind w:right="149"/>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9D9D9C"/>
            </w:tcBorders>
          </w:tcPr>
          <w:p>
            <w:pPr>
              <w:ind w:left="760"/>
              <w:spacing w:after="0"/>
              <w:rPr>
                <w:sz w:val="20"/>
                <w:szCs w:val="20"/>
                <w:color w:val="auto"/>
              </w:rPr>
            </w:pPr>
            <w:r>
              <w:rPr>
                <w:rFonts w:ascii="Arial" w:cs="Arial" w:eastAsia="Arial" w:hAnsi="Arial"/>
                <w:sz w:val="14"/>
                <w:szCs w:val="14"/>
                <w:b w:val="1"/>
                <w:bCs w:val="1"/>
                <w:color w:val="auto"/>
              </w:rPr>
              <w:t>—</w:t>
            </w:r>
          </w:p>
        </w:tc>
      </w:tr>
      <w:tr>
        <w:trPr>
          <w:trHeight w:val="182"/>
        </w:trPr>
        <w:tc>
          <w:tcPr>
            <w:tcW w:w="2760" w:type="dxa"/>
            <w:vAlign w:val="bottom"/>
          </w:tcPr>
          <w:p>
            <w:pPr>
              <w:ind w:left="20"/>
              <w:spacing w:after="0"/>
              <w:rPr>
                <w:sz w:val="20"/>
                <w:szCs w:val="20"/>
                <w:color w:val="auto"/>
              </w:rPr>
            </w:pPr>
            <w:r>
              <w:rPr>
                <w:rFonts w:ascii="Arial" w:cs="Arial" w:eastAsia="Arial" w:hAnsi="Arial"/>
                <w:sz w:val="14"/>
                <w:szCs w:val="14"/>
                <w:b w:val="1"/>
                <w:bCs w:val="1"/>
                <w:color w:val="003478"/>
              </w:rPr>
              <w:t>Stephanie C. Hill</w:t>
            </w:r>
          </w:p>
        </w:tc>
        <w:tc>
          <w:tcPr>
            <w:tcW w:w="1820" w:type="dxa"/>
            <w:vAlign w:val="bottom"/>
          </w:tcPr>
          <w:p>
            <w:pPr>
              <w:ind w:left="20"/>
              <w:spacing w:after="0" w:line="182" w:lineRule="exact"/>
              <w:rPr>
                <w:sz w:val="20"/>
                <w:szCs w:val="20"/>
                <w:color w:val="auto"/>
              </w:rPr>
            </w:pPr>
            <w:r>
              <w:rPr>
                <w:rFonts w:ascii="Arial" w:cs="Arial" w:eastAsia="Arial" w:hAnsi="Arial"/>
                <w:sz w:val="14"/>
                <w:szCs w:val="14"/>
                <w:color w:val="auto"/>
              </w:rPr>
              <w:t>LTIP</w:t>
            </w:r>
            <w:r>
              <w:rPr>
                <w:rFonts w:ascii="Arial" w:cs="Arial" w:eastAsia="Arial" w:hAnsi="Arial"/>
                <w:sz w:val="18"/>
                <w:szCs w:val="18"/>
                <w:color w:val="auto"/>
                <w:vertAlign w:val="superscript"/>
              </w:rPr>
              <w:t>(2)</w:t>
            </w:r>
          </w:p>
        </w:tc>
        <w:tc>
          <w:tcPr>
            <w:tcW w:w="1260" w:type="dxa"/>
            <w:vAlign w:val="bottom"/>
          </w:tcPr>
          <w:p>
            <w:pPr>
              <w:ind w:left="8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1,020,000</w:t>
            </w:r>
          </w:p>
        </w:tc>
        <w:tc>
          <w:tcPr>
            <w:tcW w:w="11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tcPr>
          <w:p>
            <w:pPr>
              <w:ind w:left="760"/>
              <w:spacing w:after="0"/>
              <w:rPr>
                <w:sz w:val="20"/>
                <w:szCs w:val="20"/>
                <w:color w:val="auto"/>
              </w:rPr>
            </w:pPr>
            <w:r>
              <w:rPr>
                <w:rFonts w:ascii="Arial" w:cs="Arial" w:eastAsia="Arial" w:hAnsi="Arial"/>
                <w:sz w:val="14"/>
                <w:szCs w:val="14"/>
                <w:color w:val="auto"/>
              </w:rPr>
              <w:t>—</w:t>
            </w:r>
          </w:p>
        </w:tc>
      </w:tr>
      <w:tr>
        <w:trPr>
          <w:trHeight w:val="188"/>
        </w:trPr>
        <w:tc>
          <w:tcPr>
            <w:tcW w:w="2760" w:type="dxa"/>
            <w:vAlign w:val="bottom"/>
          </w:tcPr>
          <w:p>
            <w:pPr>
              <w:spacing w:after="0"/>
              <w:rPr>
                <w:sz w:val="16"/>
                <w:szCs w:val="16"/>
                <w:color w:val="auto"/>
              </w:rPr>
            </w:pPr>
          </w:p>
        </w:tc>
        <w:tc>
          <w:tcPr>
            <w:tcW w:w="1820" w:type="dxa"/>
            <w:vAlign w:val="bottom"/>
            <w:shd w:val="clear" w:color="auto" w:fill="E5E7EF"/>
          </w:tcPr>
          <w:p>
            <w:pPr>
              <w:ind w:left="20"/>
              <w:spacing w:after="0" w:line="189" w:lineRule="exact"/>
              <w:rPr>
                <w:sz w:val="20"/>
                <w:szCs w:val="20"/>
                <w:color w:val="auto"/>
              </w:rPr>
            </w:pPr>
            <w:r>
              <w:rPr>
                <w:rFonts w:ascii="Arial" w:cs="Arial" w:eastAsia="Arial" w:hAnsi="Arial"/>
                <w:sz w:val="14"/>
                <w:szCs w:val="14"/>
                <w:color w:val="auto"/>
              </w:rPr>
              <w:t>RSUs</w:t>
            </w:r>
            <w:r>
              <w:rPr>
                <w:rFonts w:ascii="Arial" w:cs="Arial" w:eastAsia="Arial" w:hAnsi="Arial"/>
                <w:sz w:val="18"/>
                <w:szCs w:val="18"/>
                <w:color w:val="auto"/>
                <w:vertAlign w:val="superscript"/>
              </w:rPr>
              <w:t>(3)</w:t>
            </w:r>
          </w:p>
        </w:tc>
        <w:tc>
          <w:tcPr>
            <w:tcW w:w="1260" w:type="dxa"/>
            <w:vAlign w:val="bottom"/>
            <w:shd w:val="clear" w:color="auto" w:fill="E5E7EF"/>
          </w:tcPr>
          <w:p>
            <w:pPr>
              <w:ind w:left="880"/>
              <w:spacing w:after="0"/>
              <w:rPr>
                <w:sz w:val="20"/>
                <w:szCs w:val="20"/>
                <w:color w:val="auto"/>
              </w:rPr>
            </w:pPr>
            <w:r>
              <w:rPr>
                <w:rFonts w:ascii="Arial" w:cs="Arial" w:eastAsia="Arial" w:hAnsi="Arial"/>
                <w:sz w:val="14"/>
                <w:szCs w:val="14"/>
                <w:color w:val="auto"/>
              </w:rPr>
              <w:t>—</w:t>
            </w:r>
          </w:p>
        </w:tc>
        <w:tc>
          <w:tcPr>
            <w:tcW w:w="1120" w:type="dxa"/>
            <w:vAlign w:val="bottom"/>
            <w:shd w:val="clear" w:color="auto" w:fill="E5E7EF"/>
          </w:tcPr>
          <w:p>
            <w:pPr>
              <w:jc w:val="right"/>
              <w:ind w:right="169"/>
              <w:spacing w:after="0"/>
              <w:rPr>
                <w:sz w:val="20"/>
                <w:szCs w:val="20"/>
                <w:color w:val="auto"/>
              </w:rPr>
            </w:pPr>
            <w:r>
              <w:rPr>
                <w:rFonts w:ascii="Arial" w:cs="Arial" w:eastAsia="Arial" w:hAnsi="Arial"/>
                <w:sz w:val="14"/>
                <w:szCs w:val="14"/>
                <w:color w:val="auto"/>
              </w:rPr>
              <w:t>4,230,542</w:t>
            </w:r>
          </w:p>
        </w:tc>
        <w:tc>
          <w:tcPr>
            <w:tcW w:w="110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4,230,542</w:t>
            </w:r>
          </w:p>
        </w:tc>
        <w:tc>
          <w:tcPr>
            <w:tcW w:w="1140" w:type="dxa"/>
            <w:vAlign w:val="bottom"/>
            <w:shd w:val="clear" w:color="auto" w:fill="E5E7E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shd w:val="clear" w:color="auto" w:fill="E5E7EF"/>
          </w:tcPr>
          <w:p>
            <w:pPr>
              <w:jc w:val="right"/>
              <w:ind w:right="149"/>
              <w:spacing w:after="0"/>
              <w:rPr>
                <w:sz w:val="20"/>
                <w:szCs w:val="20"/>
                <w:color w:val="auto"/>
              </w:rPr>
            </w:pPr>
            <w:r>
              <w:rPr>
                <w:rFonts w:ascii="Arial" w:cs="Arial" w:eastAsia="Arial" w:hAnsi="Arial"/>
                <w:sz w:val="14"/>
                <w:szCs w:val="14"/>
                <w:color w:val="auto"/>
              </w:rPr>
              <w:t>1,688,772</w:t>
            </w:r>
          </w:p>
        </w:tc>
        <w:tc>
          <w:tcPr>
            <w:tcW w:w="960" w:type="dxa"/>
            <w:vAlign w:val="bottom"/>
            <w:shd w:val="clear" w:color="auto" w:fill="E5E7EF"/>
          </w:tcPr>
          <w:p>
            <w:pPr>
              <w:ind w:left="760"/>
              <w:spacing w:after="0"/>
              <w:rPr>
                <w:sz w:val="20"/>
                <w:szCs w:val="20"/>
                <w:color w:val="auto"/>
              </w:rPr>
            </w:pPr>
            <w:r>
              <w:rPr>
                <w:rFonts w:ascii="Arial" w:cs="Arial" w:eastAsia="Arial" w:hAnsi="Arial"/>
                <w:sz w:val="14"/>
                <w:szCs w:val="14"/>
                <w:color w:val="auto"/>
              </w:rPr>
              <w:t>—</w:t>
            </w:r>
          </w:p>
        </w:tc>
      </w:tr>
      <w:tr>
        <w:trPr>
          <w:trHeight w:val="188"/>
        </w:trPr>
        <w:tc>
          <w:tcPr>
            <w:tcW w:w="2760" w:type="dxa"/>
            <w:vAlign w:val="bottom"/>
          </w:tcPr>
          <w:p>
            <w:pPr>
              <w:spacing w:after="0"/>
              <w:rPr>
                <w:sz w:val="16"/>
                <w:szCs w:val="16"/>
                <w:color w:val="auto"/>
              </w:rPr>
            </w:pPr>
          </w:p>
        </w:tc>
        <w:tc>
          <w:tcPr>
            <w:tcW w:w="1820" w:type="dxa"/>
            <w:vAlign w:val="bottom"/>
          </w:tcPr>
          <w:p>
            <w:pPr>
              <w:ind w:left="20"/>
              <w:spacing w:after="0" w:line="189" w:lineRule="exact"/>
              <w:rPr>
                <w:sz w:val="20"/>
                <w:szCs w:val="20"/>
                <w:color w:val="auto"/>
              </w:rPr>
            </w:pPr>
            <w:r>
              <w:rPr>
                <w:rFonts w:ascii="Arial" w:cs="Arial" w:eastAsia="Arial" w:hAnsi="Arial"/>
                <w:sz w:val="14"/>
                <w:szCs w:val="14"/>
                <w:color w:val="auto"/>
              </w:rPr>
              <w:t>PSUs</w:t>
            </w:r>
            <w:r>
              <w:rPr>
                <w:rFonts w:ascii="Arial" w:cs="Arial" w:eastAsia="Arial" w:hAnsi="Arial"/>
                <w:sz w:val="18"/>
                <w:szCs w:val="18"/>
                <w:color w:val="auto"/>
                <w:vertAlign w:val="superscript"/>
              </w:rPr>
              <w:t>(4)</w:t>
            </w:r>
          </w:p>
        </w:tc>
        <w:tc>
          <w:tcPr>
            <w:tcW w:w="1260" w:type="dxa"/>
            <w:vAlign w:val="bottom"/>
          </w:tcPr>
          <w:p>
            <w:pPr>
              <w:ind w:left="8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69"/>
              <w:spacing w:after="0"/>
              <w:rPr>
                <w:sz w:val="20"/>
                <w:szCs w:val="20"/>
                <w:color w:val="auto"/>
              </w:rPr>
            </w:pPr>
            <w:r>
              <w:rPr>
                <w:rFonts w:ascii="Arial" w:cs="Arial" w:eastAsia="Arial" w:hAnsi="Arial"/>
                <w:sz w:val="14"/>
                <w:szCs w:val="14"/>
                <w:color w:val="auto"/>
              </w:rPr>
              <w:t>2,813,532</w:t>
            </w:r>
          </w:p>
        </w:tc>
        <w:tc>
          <w:tcPr>
            <w:tcW w:w="110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tcPr>
          <w:p>
            <w:pPr>
              <w:ind w:left="760"/>
              <w:spacing w:after="0"/>
              <w:rPr>
                <w:sz w:val="20"/>
                <w:szCs w:val="20"/>
                <w:color w:val="auto"/>
              </w:rPr>
            </w:pPr>
            <w:r>
              <w:rPr>
                <w:rFonts w:ascii="Arial" w:cs="Arial" w:eastAsia="Arial" w:hAnsi="Arial"/>
                <w:sz w:val="14"/>
                <w:szCs w:val="14"/>
                <w:color w:val="auto"/>
              </w:rPr>
              <w:t>—</w:t>
            </w:r>
          </w:p>
        </w:tc>
      </w:tr>
      <w:tr>
        <w:trPr>
          <w:trHeight w:val="188"/>
        </w:trPr>
        <w:tc>
          <w:tcPr>
            <w:tcW w:w="2760" w:type="dxa"/>
            <w:vAlign w:val="bottom"/>
          </w:tcPr>
          <w:p>
            <w:pPr>
              <w:spacing w:after="0"/>
              <w:rPr>
                <w:sz w:val="16"/>
                <w:szCs w:val="16"/>
                <w:color w:val="auto"/>
              </w:rPr>
            </w:pPr>
          </w:p>
        </w:tc>
        <w:tc>
          <w:tcPr>
            <w:tcW w:w="1820" w:type="dxa"/>
            <w:vAlign w:val="bottom"/>
            <w:tcBorders>
              <w:bottom w:val="single" w:sz="8" w:color="959595"/>
            </w:tcBorders>
            <w:shd w:val="clear" w:color="auto" w:fill="E5E7EF"/>
          </w:tcPr>
          <w:p>
            <w:pPr>
              <w:ind w:left="20"/>
              <w:spacing w:after="0" w:line="189" w:lineRule="exact"/>
              <w:rPr>
                <w:sz w:val="20"/>
                <w:szCs w:val="20"/>
                <w:color w:val="auto"/>
              </w:rPr>
            </w:pPr>
            <w:r>
              <w:rPr>
                <w:rFonts w:ascii="Arial" w:cs="Arial" w:eastAsia="Arial" w:hAnsi="Arial"/>
                <w:sz w:val="14"/>
                <w:szCs w:val="14"/>
                <w:color w:val="auto"/>
              </w:rPr>
              <w:t>Executive Severance</w:t>
            </w:r>
            <w:r>
              <w:rPr>
                <w:rFonts w:ascii="Arial" w:cs="Arial" w:eastAsia="Arial" w:hAnsi="Arial"/>
                <w:sz w:val="18"/>
                <w:szCs w:val="18"/>
                <w:color w:val="auto"/>
                <w:vertAlign w:val="superscript"/>
              </w:rPr>
              <w:t>(5)</w:t>
            </w:r>
          </w:p>
        </w:tc>
        <w:tc>
          <w:tcPr>
            <w:tcW w:w="1260" w:type="dxa"/>
            <w:vAlign w:val="bottom"/>
            <w:tcBorders>
              <w:bottom w:val="single" w:sz="8" w:color="929292"/>
            </w:tcBorders>
            <w:shd w:val="clear" w:color="auto" w:fill="E5E7EF"/>
          </w:tcPr>
          <w:p>
            <w:pPr>
              <w:ind w:left="880"/>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929292"/>
            </w:tcBorders>
            <w:shd w:val="clear" w:color="auto" w:fill="E5E7E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929292"/>
            </w:tcBorders>
            <w:shd w:val="clear" w:color="auto" w:fill="E5E7EF"/>
          </w:tcPr>
          <w:p>
            <w:pPr>
              <w:jc w:val="right"/>
              <w:ind w:right="149"/>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929292"/>
            </w:tcBorders>
            <w:shd w:val="clear" w:color="auto" w:fill="E5E7EF"/>
          </w:tcPr>
          <w:p>
            <w:pPr>
              <w:jc w:val="right"/>
              <w:ind w:right="189"/>
              <w:spacing w:after="0"/>
              <w:rPr>
                <w:sz w:val="20"/>
                <w:szCs w:val="20"/>
                <w:color w:val="auto"/>
              </w:rPr>
            </w:pPr>
            <w:r>
              <w:rPr>
                <w:rFonts w:ascii="Arial" w:cs="Arial" w:eastAsia="Arial" w:hAnsi="Arial"/>
                <w:sz w:val="14"/>
                <w:szCs w:val="14"/>
                <w:color w:val="auto"/>
              </w:rPr>
              <w:t>2,087,000</w:t>
            </w:r>
          </w:p>
        </w:tc>
        <w:tc>
          <w:tcPr>
            <w:tcW w:w="1080" w:type="dxa"/>
            <w:vAlign w:val="bottom"/>
            <w:tcBorders>
              <w:bottom w:val="single" w:sz="8" w:color="929292"/>
            </w:tcBorders>
            <w:shd w:val="clear" w:color="auto" w:fill="E5E7EF"/>
          </w:tcPr>
          <w:p>
            <w:pPr>
              <w:jc w:val="right"/>
              <w:ind w:right="14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929292"/>
            </w:tcBorders>
            <w:shd w:val="clear" w:color="auto" w:fill="E5E7EF"/>
          </w:tcPr>
          <w:p>
            <w:pPr>
              <w:ind w:left="760"/>
              <w:spacing w:after="0"/>
              <w:rPr>
                <w:sz w:val="20"/>
                <w:szCs w:val="20"/>
                <w:color w:val="auto"/>
              </w:rPr>
            </w:pPr>
            <w:r>
              <w:rPr>
                <w:rFonts w:ascii="Arial" w:cs="Arial" w:eastAsia="Arial" w:hAnsi="Arial"/>
                <w:sz w:val="14"/>
                <w:szCs w:val="14"/>
                <w:color w:val="auto"/>
              </w:rPr>
              <w:t>—</w:t>
            </w:r>
          </w:p>
        </w:tc>
      </w:tr>
      <w:tr>
        <w:trPr>
          <w:trHeight w:val="182"/>
        </w:trPr>
        <w:tc>
          <w:tcPr>
            <w:tcW w:w="2760" w:type="dxa"/>
            <w:vAlign w:val="bottom"/>
            <w:tcBorders>
              <w:bottom w:val="single" w:sz="8" w:color="959595"/>
            </w:tcBorders>
          </w:tcPr>
          <w:p>
            <w:pPr>
              <w:spacing w:after="0"/>
              <w:rPr>
                <w:sz w:val="15"/>
                <w:szCs w:val="15"/>
                <w:color w:val="auto"/>
              </w:rPr>
            </w:pPr>
          </w:p>
        </w:tc>
        <w:tc>
          <w:tcPr>
            <w:tcW w:w="1820" w:type="dxa"/>
            <w:vAlign w:val="bottom"/>
            <w:tcBorders>
              <w:bottom w:val="single" w:sz="8" w:color="9D9D9C"/>
            </w:tcBorders>
          </w:tcPr>
          <w:p>
            <w:pPr>
              <w:ind w:left="20"/>
              <w:spacing w:after="0"/>
              <w:rPr>
                <w:sz w:val="20"/>
                <w:szCs w:val="20"/>
                <w:color w:val="auto"/>
              </w:rPr>
            </w:pPr>
            <w:r>
              <w:rPr>
                <w:rFonts w:ascii="Arial" w:cs="Arial" w:eastAsia="Arial" w:hAnsi="Arial"/>
                <w:sz w:val="14"/>
                <w:szCs w:val="14"/>
                <w:b w:val="1"/>
                <w:bCs w:val="1"/>
                <w:color w:val="auto"/>
              </w:rPr>
              <w:t>TOTAL</w:t>
            </w:r>
          </w:p>
        </w:tc>
        <w:tc>
          <w:tcPr>
            <w:tcW w:w="1260" w:type="dxa"/>
            <w:vAlign w:val="bottom"/>
            <w:tcBorders>
              <w:bottom w:val="single" w:sz="8" w:color="9D9D9C"/>
            </w:tcBorders>
          </w:tcPr>
          <w:p>
            <w:pPr>
              <w:ind w:left="880"/>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9D9D9C"/>
            </w:tcBorders>
          </w:tcPr>
          <w:p>
            <w:pPr>
              <w:jc w:val="right"/>
              <w:ind w:right="169"/>
              <w:spacing w:after="0"/>
              <w:rPr>
                <w:sz w:val="20"/>
                <w:szCs w:val="20"/>
                <w:color w:val="auto"/>
              </w:rPr>
            </w:pPr>
            <w:r>
              <w:rPr>
                <w:rFonts w:ascii="Arial" w:cs="Arial" w:eastAsia="Arial" w:hAnsi="Arial"/>
                <w:sz w:val="14"/>
                <w:szCs w:val="14"/>
                <w:b w:val="1"/>
                <w:bCs w:val="1"/>
                <w:color w:val="auto"/>
              </w:rPr>
              <w:t>8,064,074</w:t>
            </w:r>
          </w:p>
        </w:tc>
        <w:tc>
          <w:tcPr>
            <w:tcW w:w="1100" w:type="dxa"/>
            <w:vAlign w:val="bottom"/>
            <w:tcBorders>
              <w:bottom w:val="single" w:sz="8" w:color="9D9D9C"/>
            </w:tcBorders>
          </w:tcPr>
          <w:p>
            <w:pPr>
              <w:jc w:val="right"/>
              <w:ind w:right="149"/>
              <w:spacing w:after="0"/>
              <w:rPr>
                <w:sz w:val="20"/>
                <w:szCs w:val="20"/>
                <w:color w:val="auto"/>
              </w:rPr>
            </w:pPr>
            <w:r>
              <w:rPr>
                <w:rFonts w:ascii="Arial" w:cs="Arial" w:eastAsia="Arial" w:hAnsi="Arial"/>
                <w:sz w:val="14"/>
                <w:szCs w:val="14"/>
                <w:b w:val="1"/>
                <w:bCs w:val="1"/>
                <w:color w:val="auto"/>
              </w:rPr>
              <w:t>4,230,542</w:t>
            </w:r>
          </w:p>
        </w:tc>
        <w:tc>
          <w:tcPr>
            <w:tcW w:w="1140" w:type="dxa"/>
            <w:vAlign w:val="bottom"/>
            <w:tcBorders>
              <w:bottom w:val="single" w:sz="8" w:color="9D9D9C"/>
            </w:tcBorders>
          </w:tcPr>
          <w:p>
            <w:pPr>
              <w:jc w:val="right"/>
              <w:ind w:right="189"/>
              <w:spacing w:after="0"/>
              <w:rPr>
                <w:sz w:val="20"/>
                <w:szCs w:val="20"/>
                <w:color w:val="auto"/>
              </w:rPr>
            </w:pPr>
            <w:r>
              <w:rPr>
                <w:rFonts w:ascii="Arial" w:cs="Arial" w:eastAsia="Arial" w:hAnsi="Arial"/>
                <w:sz w:val="14"/>
                <w:szCs w:val="14"/>
                <w:b w:val="1"/>
                <w:bCs w:val="1"/>
                <w:color w:val="auto"/>
              </w:rPr>
              <w:t>2,087,000</w:t>
            </w:r>
          </w:p>
        </w:tc>
        <w:tc>
          <w:tcPr>
            <w:tcW w:w="1080" w:type="dxa"/>
            <w:vAlign w:val="bottom"/>
            <w:tcBorders>
              <w:bottom w:val="single" w:sz="8" w:color="9D9D9C"/>
            </w:tcBorders>
          </w:tcPr>
          <w:p>
            <w:pPr>
              <w:jc w:val="right"/>
              <w:ind w:right="149"/>
              <w:spacing w:after="0"/>
              <w:rPr>
                <w:sz w:val="20"/>
                <w:szCs w:val="20"/>
                <w:color w:val="auto"/>
              </w:rPr>
            </w:pPr>
            <w:r>
              <w:rPr>
                <w:rFonts w:ascii="Arial" w:cs="Arial" w:eastAsia="Arial" w:hAnsi="Arial"/>
                <w:sz w:val="14"/>
                <w:szCs w:val="14"/>
                <w:b w:val="1"/>
                <w:bCs w:val="1"/>
                <w:color w:val="auto"/>
              </w:rPr>
              <w:t>1,688,772</w:t>
            </w:r>
          </w:p>
        </w:tc>
        <w:tc>
          <w:tcPr>
            <w:tcW w:w="960" w:type="dxa"/>
            <w:vAlign w:val="bottom"/>
            <w:tcBorders>
              <w:bottom w:val="single" w:sz="8" w:color="9D9D9C"/>
            </w:tcBorders>
          </w:tcPr>
          <w:p>
            <w:pPr>
              <w:ind w:left="760"/>
              <w:spacing w:after="0"/>
              <w:rPr>
                <w:sz w:val="20"/>
                <w:szCs w:val="20"/>
                <w:color w:val="auto"/>
              </w:rPr>
            </w:pPr>
            <w:r>
              <w:rPr>
                <w:rFonts w:ascii="Arial" w:cs="Arial" w:eastAsia="Arial" w:hAnsi="Arial"/>
                <w:sz w:val="14"/>
                <w:szCs w:val="14"/>
                <w:b w:val="1"/>
                <w:bCs w:val="1"/>
                <w:color w:val="auto"/>
              </w:rPr>
              <w:t>—</w:t>
            </w:r>
          </w:p>
        </w:tc>
      </w:tr>
    </w:tbl>
    <w:p>
      <w:pPr>
        <w:spacing w:after="0" w:line="229" w:lineRule="exact"/>
        <w:rPr>
          <w:sz w:val="20"/>
          <w:szCs w:val="20"/>
          <w:color w:val="auto"/>
        </w:rPr>
      </w:pPr>
    </w:p>
    <w:p>
      <w:pPr>
        <w:ind w:left="240" w:right="420" w:hanging="233"/>
        <w:spacing w:after="0" w:line="223" w:lineRule="auto"/>
        <w:tabs>
          <w:tab w:leader="none" w:pos="229" w:val="left"/>
        </w:tabs>
        <w:numPr>
          <w:ilvl w:val="0"/>
          <w:numId w:val="109"/>
        </w:numPr>
        <w:rPr>
          <w:rFonts w:ascii="Arial" w:cs="Arial" w:eastAsia="Arial" w:hAnsi="Arial"/>
          <w:sz w:val="20"/>
          <w:szCs w:val="20"/>
          <w:color w:val="auto"/>
          <w:vertAlign w:val="superscript"/>
        </w:rPr>
      </w:pPr>
      <w:r>
        <w:rPr>
          <w:rFonts w:ascii="Arial" w:cs="Arial" w:eastAsia="Arial" w:hAnsi="Arial"/>
          <w:sz w:val="14"/>
          <w:szCs w:val="14"/>
          <w:b w:val="1"/>
          <w:bCs w:val="1"/>
          <w:color w:val="auto"/>
        </w:rPr>
        <w:t xml:space="preserve">Termination/Resignation: </w:t>
      </w:r>
      <w:r>
        <w:rPr>
          <w:rFonts w:ascii="Arial" w:cs="Arial" w:eastAsia="Arial" w:hAnsi="Arial"/>
          <w:sz w:val="14"/>
          <w:szCs w:val="14"/>
          <w:color w:val="auto"/>
        </w:rPr>
        <w:t>Resignation by executives who are eligible for retirement, for purposes of this table, is treated as retirement. All NEOs who participate in the</w:t>
      </w:r>
      <w:r>
        <w:rPr>
          <w:rFonts w:ascii="Arial" w:cs="Arial" w:eastAsia="Arial" w:hAnsi="Arial"/>
          <w:sz w:val="14"/>
          <w:szCs w:val="14"/>
          <w:b w:val="1"/>
          <w:bCs w:val="1"/>
          <w:color w:val="auto"/>
        </w:rPr>
        <w:t xml:space="preserve"> </w:t>
      </w:r>
      <w:r>
        <w:rPr>
          <w:rFonts w:ascii="Arial" w:cs="Arial" w:eastAsia="Arial" w:hAnsi="Arial"/>
          <w:sz w:val="14"/>
          <w:szCs w:val="14"/>
          <w:color w:val="auto"/>
        </w:rPr>
        <w:t>pension plans were eligible for retirement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238760</wp:posOffset>
            </wp:positionV>
            <wp:extent cx="963930" cy="2216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67</w:t>
      </w:r>
    </w:p>
    <w:p>
      <w:pPr>
        <w:sectPr>
          <w:pgSz w:w="11900" w:h="16838" w:orient="portrait"/>
          <w:cols w:equalWidth="0" w:num="1">
            <w:col w:w="11240"/>
          </w:cols>
          <w:pgMar w:left="320" w:top="254" w:right="339" w:bottom="1440" w:gutter="0" w:footer="0" w:header="0"/>
        </w:sectPr>
      </w:pPr>
    </w:p>
    <w:bookmarkStart w:id="73" w:name="page74"/>
    <w:bookmarkEnd w:id="73"/>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357" w:lineRule="exact"/>
        <w:rPr>
          <w:sz w:val="20"/>
          <w:szCs w:val="20"/>
          <w:color w:val="auto"/>
        </w:rPr>
      </w:pPr>
    </w:p>
    <w:p>
      <w:pPr>
        <w:ind w:left="240" w:right="60" w:hanging="233"/>
        <w:spacing w:after="0" w:line="251" w:lineRule="auto"/>
        <w:tabs>
          <w:tab w:leader="none" w:pos="229" w:val="left"/>
        </w:tabs>
        <w:numPr>
          <w:ilvl w:val="0"/>
          <w:numId w:val="110"/>
        </w:numPr>
        <w:rPr>
          <w:rFonts w:ascii="Arial" w:cs="Arial" w:eastAsia="Arial" w:hAnsi="Arial"/>
          <w:sz w:val="20"/>
          <w:szCs w:val="20"/>
          <w:color w:val="auto"/>
          <w:vertAlign w:val="superscript"/>
        </w:rPr>
      </w:pPr>
      <w:r>
        <w:rPr>
          <w:rFonts w:ascii="Arial" w:cs="Arial" w:eastAsia="Arial" w:hAnsi="Arial"/>
          <w:sz w:val="14"/>
          <w:szCs w:val="14"/>
          <w:b w:val="1"/>
          <w:bCs w:val="1"/>
          <w:color w:val="auto"/>
        </w:rPr>
        <w:t xml:space="preserve">Long-Term Incentive Performance Awards: </w:t>
      </w:r>
      <w:r>
        <w:rPr>
          <w:rFonts w:ascii="Arial" w:cs="Arial" w:eastAsia="Arial" w:hAnsi="Arial"/>
          <w:sz w:val="14"/>
          <w:szCs w:val="14"/>
          <w:color w:val="auto"/>
        </w:rPr>
        <w:t>The table shows an amount payable in the event of a change in control trigger event for the 2020-2022 and 2021-2023 LTIP</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periods. For a trigger event based upon death, disability, retirement (or resignation after satisfying the requirements for retirement), layoff or divestiture on December 31, 2021, amounts (if any) for the 2020-2022 and 2021-2023 LTIP performance periods would not be payable until after the end of the performance period. The estimated prorated amounts payable for the 2020-2022 performance cycle based on performance through December 31, 2021 are: Mr. Taiclet: $1,333,459; Mr. Mollard: $199,691; Mr. St. John: $613,360; Mr. Ambrose: $532,510; and Ms. Hill: $146,441. The estimated prorated amounts payable for the 2021-2023 performance cycle based on performance through December 31, 2021 are: Mr. Taiclet: $508,117; Mr. Mollard: $58,071; Mr. St. John: $199,618; Mr. Ambrose: $145,176; and Ms. Hill: $145,176. The table does not include amounts for the 2019-2021 performance cycle as these amounts are reported in the “Summary Compensation Table” (see footnote to the Non-Equity Incentive Plan Compensation column).</w:t>
      </w:r>
    </w:p>
    <w:p>
      <w:pPr>
        <w:spacing w:after="0" w:line="32" w:lineRule="exact"/>
        <w:rPr>
          <w:rFonts w:ascii="Arial" w:cs="Arial" w:eastAsia="Arial" w:hAnsi="Arial"/>
          <w:sz w:val="20"/>
          <w:szCs w:val="20"/>
          <w:color w:val="auto"/>
          <w:vertAlign w:val="superscript"/>
        </w:rPr>
      </w:pPr>
    </w:p>
    <w:p>
      <w:pPr>
        <w:ind w:left="240" w:right="40" w:hanging="233"/>
        <w:spacing w:after="0" w:line="253" w:lineRule="auto"/>
        <w:tabs>
          <w:tab w:leader="none" w:pos="229" w:val="left"/>
        </w:tabs>
        <w:numPr>
          <w:ilvl w:val="0"/>
          <w:numId w:val="110"/>
        </w:numPr>
        <w:rPr>
          <w:rFonts w:ascii="Arial" w:cs="Arial" w:eastAsia="Arial" w:hAnsi="Arial"/>
          <w:sz w:val="20"/>
          <w:szCs w:val="20"/>
          <w:color w:val="auto"/>
          <w:vertAlign w:val="superscript"/>
        </w:rPr>
      </w:pPr>
      <w:r>
        <w:rPr>
          <w:rFonts w:ascii="Arial" w:cs="Arial" w:eastAsia="Arial" w:hAnsi="Arial"/>
          <w:sz w:val="14"/>
          <w:szCs w:val="14"/>
          <w:b w:val="1"/>
          <w:bCs w:val="1"/>
          <w:color w:val="auto"/>
        </w:rPr>
        <w:t xml:space="preserve">Restricted Stock Units: </w:t>
      </w:r>
      <w:r>
        <w:rPr>
          <w:rFonts w:ascii="Arial" w:cs="Arial" w:eastAsia="Arial" w:hAnsi="Arial"/>
          <w:sz w:val="14"/>
          <w:szCs w:val="14"/>
          <w:color w:val="auto"/>
        </w:rPr>
        <w:t>All 2019, 2020 and 2021 RSUs other than Mr. Taiclet’s 2020 equity replacement award and the retention award granted to Ms. Hill on July 29, 2019</w:t>
      </w:r>
      <w:r>
        <w:rPr>
          <w:rFonts w:ascii="Arial" w:cs="Arial" w:eastAsia="Arial" w:hAnsi="Arial"/>
          <w:sz w:val="14"/>
          <w:szCs w:val="14"/>
          <w:b w:val="1"/>
          <w:bCs w:val="1"/>
          <w:color w:val="auto"/>
        </w:rPr>
        <w:t xml:space="preserve"> </w:t>
      </w:r>
      <w:r>
        <w:rPr>
          <w:rFonts w:ascii="Arial" w:cs="Arial" w:eastAsia="Arial" w:hAnsi="Arial"/>
          <w:sz w:val="14"/>
          <w:szCs w:val="14"/>
          <w:color w:val="auto"/>
        </w:rPr>
        <w:t>would continue to vest for retirement or layoff occurring on December 31, 2021, and would not become payable until their applicable vesting date, and are not included in the table. If Mr. Taiclet retired or resigned as of December 31, 2021, the unvested portion of his equity replacement award would be forfeited and, therefore is not included in the table. In addition, in the event of his layoff as of December 31, 2021, the unvested portion of his July 2020 equity replacement award (7,180 RSUs) would immediately vest. If Ms. Hill retired or resigned or was laid off as of December 31, 2021, the unvested portion of her retention award would be forfeited and, therefore is not included in the table. For a change in control (assuming satisfaction of the double trigger), death, disability, divestiture or, for Mr. Taiclet only, layoff, the reported value of the RSUs was based upon the closing price of our stock on December 31, 2021 ($355.41) plus deferred dividend equivalents that accrued. The amounts for retirement or layoff (other than Mr. Taiclet's 2020 equity replacement award and Ms. Hill’s 2019 retention award) on December 31, 2021 are not payable until the end of the respective vesting periods but would have the same value on December 31, 2021 as the amounts shown for immediate payment on account of death or disability. If a NEO is retirement-eligible, then in the case of a divestiture occurring on December 31, 2021, the RSUs (other than Mr. Taiclet’s 2020 equity replacement award and Ms. Hill’s 2019 retention award) will continue to vest and are treated as a retirement.</w:t>
      </w:r>
    </w:p>
    <w:p>
      <w:pPr>
        <w:spacing w:after="0" w:line="35" w:lineRule="exact"/>
        <w:rPr>
          <w:rFonts w:ascii="Arial" w:cs="Arial" w:eastAsia="Arial" w:hAnsi="Arial"/>
          <w:sz w:val="20"/>
          <w:szCs w:val="20"/>
          <w:color w:val="auto"/>
          <w:vertAlign w:val="superscript"/>
        </w:rPr>
      </w:pPr>
    </w:p>
    <w:p>
      <w:pPr>
        <w:ind w:left="240" w:hanging="233"/>
        <w:spacing w:after="0" w:line="254" w:lineRule="auto"/>
        <w:tabs>
          <w:tab w:leader="none" w:pos="229" w:val="left"/>
        </w:tabs>
        <w:numPr>
          <w:ilvl w:val="0"/>
          <w:numId w:val="110"/>
        </w:numPr>
        <w:rPr>
          <w:rFonts w:ascii="Arial" w:cs="Arial" w:eastAsia="Arial" w:hAnsi="Arial"/>
          <w:sz w:val="20"/>
          <w:szCs w:val="20"/>
          <w:color w:val="auto"/>
          <w:vertAlign w:val="superscript"/>
        </w:rPr>
      </w:pPr>
      <w:r>
        <w:rPr>
          <w:rFonts w:ascii="Arial" w:cs="Arial" w:eastAsia="Arial" w:hAnsi="Arial"/>
          <w:sz w:val="14"/>
          <w:szCs w:val="14"/>
          <w:b w:val="1"/>
          <w:bCs w:val="1"/>
          <w:color w:val="auto"/>
        </w:rPr>
        <w:t xml:space="preserve">Performance Stock Units: </w:t>
      </w:r>
      <w:r>
        <w:rPr>
          <w:rFonts w:ascii="Arial" w:cs="Arial" w:eastAsia="Arial" w:hAnsi="Arial"/>
          <w:sz w:val="14"/>
          <w:szCs w:val="14"/>
          <w:color w:val="auto"/>
        </w:rPr>
        <w:t>The table shows an amount payable in the event of a change in control trigger event for the 2019-2021, 2020-2022 and 2021-2023 performance</w:t>
      </w:r>
      <w:r>
        <w:rPr>
          <w:rFonts w:ascii="Arial" w:cs="Arial" w:eastAsia="Arial" w:hAnsi="Arial"/>
          <w:sz w:val="14"/>
          <w:szCs w:val="14"/>
          <w:b w:val="1"/>
          <w:bCs w:val="1"/>
          <w:color w:val="auto"/>
        </w:rPr>
        <w:t xml:space="preserve"> </w:t>
      </w:r>
      <w:r>
        <w:rPr>
          <w:rFonts w:ascii="Arial" w:cs="Arial" w:eastAsia="Arial" w:hAnsi="Arial"/>
          <w:sz w:val="14"/>
          <w:szCs w:val="14"/>
          <w:color w:val="auto"/>
        </w:rPr>
        <w:t>periods. The amount shown for the PSUs upon a change in control is the target level of the shares valued using the closing price of our stock on December 31, 2021 ($355.41) plus deferred dividend equivalents that accrued. The table assumes the double trigger occurred. For a trigger event based upon death, disability, retirement (or resignation after satisfying the requirements for retirement), layoff or divestiture on December 31, 2021, amounts (if any) for the 2019-2021, 2020-2022 and 2021-2023 PSU performance periods would be paid on a prorated basis following the end of the applicable performance period. The payments estimated to be paid on a non-prorated basis following the end of the performance cycle using the December 31, 2021 stock price are reported for the 2019-2021 PSU performance cycle in the Market Value of Shares or Units of Stock That Have Not Vested column of the “Outstanding Equity Awards at 2021 Fiscal Year-End Table” and for 2020-2022 and 2021-2023 in Equity Incentive Plan Awards: Market or Payout Value of Unearned Shares, Units or Other Rights That Have Not Vested column of that table. The prorated amounts for a trigger event occurring on December 31, 2021 plus deferred dividend equivalents that accrued are for each cycle: (i) 2019-2021 cycle: Mr. Mollard: $152,000; Mr. St. John: $3,967,391; Mr. Ambrose: $3,967,391; and Ms. Hill: $212,800; and (ii) 2020-2022 cycle: Mr. Taiclet: $3,750,540; Mr. Mollard: $45,097; Mr. St. John: $1,388,846; Mr. Ambrose: $1,198,834; and Ms. Hill: $329,961; and (iii) 2021-2023 cycle: Mr. Taiclet: $1,359,727; Mr. Mollard: $15,739; Mr. St. John: $534,375; Mr. Ambrose: $388,702; and Ms. Hill: $388,702. The prorated amounts are based on the stock price and estimated performance as of December 31, 2021.</w:t>
      </w:r>
    </w:p>
    <w:p>
      <w:pPr>
        <w:spacing w:after="0" w:line="32" w:lineRule="exact"/>
        <w:rPr>
          <w:rFonts w:ascii="Arial" w:cs="Arial" w:eastAsia="Arial" w:hAnsi="Arial"/>
          <w:sz w:val="20"/>
          <w:szCs w:val="20"/>
          <w:color w:val="auto"/>
          <w:vertAlign w:val="superscript"/>
        </w:rPr>
      </w:pPr>
    </w:p>
    <w:p>
      <w:pPr>
        <w:ind w:left="240" w:right="160" w:hanging="233"/>
        <w:spacing w:after="0" w:line="234" w:lineRule="auto"/>
        <w:tabs>
          <w:tab w:leader="none" w:pos="229" w:val="left"/>
        </w:tabs>
        <w:numPr>
          <w:ilvl w:val="0"/>
          <w:numId w:val="110"/>
        </w:numPr>
        <w:rPr>
          <w:rFonts w:ascii="Arial" w:cs="Arial" w:eastAsia="Arial" w:hAnsi="Arial"/>
          <w:sz w:val="20"/>
          <w:szCs w:val="20"/>
          <w:color w:val="auto"/>
          <w:vertAlign w:val="superscript"/>
        </w:rPr>
      </w:pPr>
      <w:r>
        <w:rPr>
          <w:rFonts w:ascii="Arial" w:cs="Arial" w:eastAsia="Arial" w:hAnsi="Arial"/>
          <w:sz w:val="14"/>
          <w:szCs w:val="14"/>
          <w:b w:val="1"/>
          <w:bCs w:val="1"/>
          <w:color w:val="auto"/>
        </w:rPr>
        <w:t xml:space="preserve">Executive Severance: </w:t>
      </w:r>
      <w:r>
        <w:rPr>
          <w:rFonts w:ascii="Arial" w:cs="Arial" w:eastAsia="Arial" w:hAnsi="Arial"/>
          <w:sz w:val="14"/>
          <w:szCs w:val="14"/>
          <w:color w:val="auto"/>
        </w:rPr>
        <w:t>The total amounts projected for severance payments due to layoff are based on the Executive Severance Plan. It includes payment for one year of</w:t>
      </w:r>
      <w:r>
        <w:rPr>
          <w:rFonts w:ascii="Arial" w:cs="Arial" w:eastAsia="Arial" w:hAnsi="Arial"/>
          <w:sz w:val="14"/>
          <w:szCs w:val="14"/>
          <w:b w:val="1"/>
          <w:bCs w:val="1"/>
          <w:color w:val="auto"/>
        </w:rPr>
        <w:t xml:space="preserve"> </w:t>
      </w:r>
      <w:r>
        <w:rPr>
          <w:rFonts w:ascii="Arial" w:cs="Arial" w:eastAsia="Arial" w:hAnsi="Arial"/>
          <w:sz w:val="14"/>
          <w:szCs w:val="14"/>
          <w:color w:val="auto"/>
        </w:rPr>
        <w:t>salary (2.99 years for Mr. Taiclet) and one year of target annual incentive (2.99 for Mr. Taiclet), estimated costs for benefits continuation for one year, outplacement services and relocation assistance (if required under the plan terms).</w:t>
      </w:r>
    </w:p>
    <w:p>
      <w:pPr>
        <w:spacing w:after="0" w:line="114" w:lineRule="exact"/>
        <w:rPr>
          <w:sz w:val="20"/>
          <w:szCs w:val="20"/>
          <w:color w:val="auto"/>
        </w:rPr>
      </w:pPr>
    </w:p>
    <w:p>
      <w:pPr>
        <w:ind w:right="80"/>
        <w:spacing w:after="0" w:line="265" w:lineRule="auto"/>
        <w:rPr>
          <w:sz w:val="20"/>
          <w:szCs w:val="20"/>
          <w:color w:val="auto"/>
        </w:rPr>
      </w:pPr>
      <w:r>
        <w:rPr>
          <w:rFonts w:ascii="Arial" w:cs="Arial" w:eastAsia="Arial" w:hAnsi="Arial"/>
          <w:sz w:val="17"/>
          <w:szCs w:val="17"/>
          <w:color w:val="auto"/>
        </w:rPr>
        <w:t>Mr. Possenriede is not included in the preceding table because he retired in August 2021. Upon retirement, Mr. Possenriede became eligible to receive benefits under the Company’s qualified retirement and retiree medical plans. He elected to receive his supplemental pension benefit in a lump sum, which was paid out in 2022, approximately 6 months after his retirement. The lump sum amount was actuarially equivalent to any other timing of payments he could have elected. Mr. Possenriede is receiving payments under the nonqualified savings and deferred compensation plans according to the elections he made under each plan, subject to any delays in payments necessary to comply with Code section 409A, with no acceleration or enhanced benefits. Mr. Possenriede’s 2019-21 and 2020-22 RSUs, PSUs, and LTIP and 2021 annual incentive awards are subject to the treatment described in the chart above under “Retirement.” His 2021-23 RSUs, PSUs and LTIP were forfeited upon his retirement.</w:t>
      </w:r>
    </w:p>
    <w:p>
      <w:pPr>
        <w:spacing w:after="0" w:line="102" w:lineRule="exact"/>
        <w:rPr>
          <w:sz w:val="20"/>
          <w:szCs w:val="20"/>
          <w:color w:val="auto"/>
        </w:rPr>
      </w:pPr>
    </w:p>
    <w:p>
      <w:pPr>
        <w:ind w:right="60"/>
        <w:spacing w:after="0" w:line="265" w:lineRule="auto"/>
        <w:rPr>
          <w:sz w:val="20"/>
          <w:szCs w:val="20"/>
          <w:color w:val="auto"/>
        </w:rPr>
      </w:pPr>
      <w:r>
        <w:rPr>
          <w:rFonts w:ascii="Arial" w:cs="Arial" w:eastAsia="Arial" w:hAnsi="Arial"/>
          <w:sz w:val="17"/>
          <w:szCs w:val="17"/>
          <w:color w:val="auto"/>
        </w:rPr>
        <w:t>Ms. Hewson is not included in the preceding table because she ceased being an executive officer upon stepping down as Executive Chairman on March 1, 2021 and becoming Strategic Advisor to the CEO. Upon this transition, Ms. Hewson became entitled to the compensation described under “2021 Named Executive Officers’ Compensation” in the CD&amp;A. She did not receive any accelerations or enhancements of benefits upon assuming this role. Upon retirement on February 28, 2022, Ms. Hewson became eligible to receive benefits under the Company’s qualified retirement and retiree medical plans. She elected to receive her supplemental pension in a lump sum, which will be paid out approximately six months following her retirement. The lump sum amount was actuarially equivalent to any other timing of payments she could have elected. Ms. Hewson will receive payments under the nonqualified savings and deferred compensation plans according to the elections she made under each plan, subject to any delays in payments necessary to comply with Code section 409A, with no acceleration or enhanced benefits. Ms. Hewson’s 2020-22 RSUs, PSUs, and LTIP are subject to the treatment described in the chart above under “Retirement.” She did not receive any RSU, PSU or LTIP awards in 2021 or 2022.</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68</w:t>
      </w:r>
    </w:p>
    <w:p>
      <w:pPr>
        <w:sectPr>
          <w:pgSz w:w="11900" w:h="16838" w:orient="portrait"/>
          <w:cols w:equalWidth="0" w:num="1">
            <w:col w:w="11240"/>
          </w:cols>
          <w:pgMar w:left="320" w:top="254" w:right="339" w:bottom="1440" w:gutter="0" w:footer="0" w:header="0"/>
        </w:sectPr>
      </w:pPr>
    </w:p>
    <w:bookmarkStart w:id="74" w:name="page75"/>
    <w:bookmarkEnd w:id="74"/>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9"/>
          <w:szCs w:val="29"/>
          <w:color w:val="003478"/>
        </w:rPr>
        <w:t>CEO Pay Ratio</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As required by Section 953(b) of the Dodd-Frank Wall Street Reform and Consumer Protection Act, and Item 402(u) of Regulation S-K, the Company must annually disclose in its proxy statement the median of the annual total compensation of all of its employees (excluding the CEO), the annual total compensation of its CEO, and the ratio of the CEO compensation to the employee median compensation. The ratio of CEO pay to the pay of the Company’s median employee for fiscal year 2021 is 164 to one.</w:t>
      </w:r>
    </w:p>
    <w:p>
      <w:pPr>
        <w:spacing w:after="0" w:line="98"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Lockheed Martin employs approximately 114,000 employees that are, in large part, highly-skilled professionals located primarily in the United States, but also in numerous other countries.</w:t>
      </w:r>
    </w:p>
    <w:p>
      <w:pPr>
        <w:spacing w:after="0" w:line="91" w:lineRule="exact"/>
        <w:rPr>
          <w:sz w:val="20"/>
          <w:szCs w:val="20"/>
          <w:color w:val="auto"/>
        </w:rPr>
      </w:pPr>
    </w:p>
    <w:p>
      <w:pPr>
        <w:ind w:right="200"/>
        <w:spacing w:after="0" w:line="267" w:lineRule="auto"/>
        <w:rPr>
          <w:sz w:val="20"/>
          <w:szCs w:val="20"/>
          <w:color w:val="auto"/>
        </w:rPr>
      </w:pPr>
      <w:r>
        <w:rPr>
          <w:rFonts w:ascii="Arial" w:cs="Arial" w:eastAsia="Arial" w:hAnsi="Arial"/>
          <w:sz w:val="17"/>
          <w:szCs w:val="17"/>
          <w:color w:val="auto"/>
        </w:rPr>
        <w:t>As required by SEC rules, we conducted an analysis to determine our median employee in 2021, three years after our initial determination. A new median employee was determined for 2021 by calculating the total annual cash compensation (base salary plus annual incentive) of all employees except the CEO as of December 31, 2021, sorting those employees from highest to lowest compensation; and determining the median employee from that list. The same approach was utilized in identifying the median employee three years ago.</w:t>
      </w:r>
    </w:p>
    <w:p>
      <w:pPr>
        <w:spacing w:after="0" w:line="98" w:lineRule="exact"/>
        <w:rPr>
          <w:sz w:val="20"/>
          <w:szCs w:val="20"/>
          <w:color w:val="auto"/>
        </w:rPr>
      </w:pPr>
    </w:p>
    <w:p>
      <w:pPr>
        <w:ind w:right="300"/>
        <w:spacing w:after="0" w:line="266" w:lineRule="auto"/>
        <w:rPr>
          <w:sz w:val="20"/>
          <w:szCs w:val="20"/>
          <w:color w:val="auto"/>
        </w:rPr>
      </w:pPr>
      <w:r>
        <w:rPr>
          <w:rFonts w:ascii="Arial" w:cs="Arial" w:eastAsia="Arial" w:hAnsi="Arial"/>
          <w:sz w:val="17"/>
          <w:szCs w:val="17"/>
          <w:color w:val="auto"/>
        </w:rPr>
        <w:t>The total annual compensation for our CEO for fiscal year 2021 was approximately $18.1 million, as set forth in the Total column in the “Summary Compensation Table”. The total annual compensation for the median employee for fiscal year 2021 was $110,113, encompassing base salary, overtime, incentives/recognition awards, and Company contributions to defined contribution plans. The annual total compensation of the median employee was determined in the same manner as the total compensation shown for our CEO. Like Mr. Taiclet, the median employee does not participate in our pension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262890</wp:posOffset>
            </wp:positionV>
            <wp:extent cx="963930" cy="2216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69</w:t>
      </w:r>
    </w:p>
    <w:p>
      <w:pPr>
        <w:sectPr>
          <w:pgSz w:w="11900" w:h="16838" w:orient="portrait"/>
          <w:cols w:equalWidth="0" w:num="1">
            <w:col w:w="11220"/>
          </w:cols>
          <w:pgMar w:left="320" w:top="254" w:right="359" w:bottom="1440" w:gutter="0" w:footer="0" w:header="0"/>
        </w:sectPr>
      </w:pPr>
    </w:p>
    <w:bookmarkStart w:id="75" w:name="page76"/>
    <w:bookmarkEnd w:id="75"/>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43"/>
          <w:szCs w:val="43"/>
          <w:color w:val="003478"/>
        </w:rPr>
        <w:t>Director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28"/>
          <w:szCs w:val="28"/>
          <w:color w:val="003478"/>
        </w:rPr>
        <w:t>Elements of Compensation (non-Employee Directors)</w:t>
      </w:r>
    </w:p>
    <w:p>
      <w:pPr>
        <w:sectPr>
          <w:pgSz w:w="11900" w:h="16838" w:orient="portrait"/>
          <w:cols w:equalWidth="0" w:num="1">
            <w:col w:w="11220"/>
          </w:cols>
          <w:pgMar w:left="320" w:top="254" w:right="359" w:bottom="1440" w:gutter="0" w:footer="0" w:header="0"/>
        </w:sectPr>
      </w:pPr>
    </w:p>
    <w:p>
      <w:pPr>
        <w:spacing w:after="0" w:line="132" w:lineRule="exact"/>
        <w:rPr>
          <w:sz w:val="20"/>
          <w:szCs w:val="20"/>
          <w:color w:val="auto"/>
        </w:rPr>
      </w:pPr>
    </w:p>
    <w:tbl>
      <w:tblPr>
        <w:tblLayout w:type="fixed"/>
        <w:tblInd w:w="10" w:type="dxa"/>
        <w:tblCellMar>
          <w:top w:w="0" w:type="dxa"/>
          <w:left w:w="0" w:type="dxa"/>
          <w:bottom w:w="0" w:type="dxa"/>
          <w:right w:w="0" w:type="dxa"/>
        </w:tblCellMar>
      </w:tblPr>
      <w:tr>
        <w:trPr>
          <w:trHeight w:val="309"/>
        </w:trPr>
        <w:tc>
          <w:tcPr>
            <w:tcW w:w="2720" w:type="dxa"/>
            <w:vAlign w:val="bottom"/>
            <w:tcBorders>
              <w:top w:val="single" w:sz="8" w:color="003478"/>
              <w:left w:val="single" w:sz="8" w:color="003478"/>
            </w:tcBorders>
            <w:shd w:val="clear" w:color="auto" w:fill="E5E7EF"/>
          </w:tcPr>
          <w:p>
            <w:pPr>
              <w:ind w:left="120"/>
              <w:spacing w:after="0"/>
              <w:rPr>
                <w:sz w:val="20"/>
                <w:szCs w:val="20"/>
                <w:color w:val="auto"/>
              </w:rPr>
            </w:pPr>
            <w:r>
              <w:rPr>
                <w:rFonts w:ascii="Arial" w:cs="Arial" w:eastAsia="Arial" w:hAnsi="Arial"/>
                <w:sz w:val="17"/>
                <w:szCs w:val="17"/>
                <w:b w:val="1"/>
                <w:bCs w:val="1"/>
                <w:color w:val="003478"/>
              </w:rPr>
              <w:t>Annual Cash Retainer</w:t>
            </w:r>
            <w:r>
              <w:rPr>
                <w:rFonts w:ascii="Arial" w:cs="Arial" w:eastAsia="Arial" w:hAnsi="Arial"/>
                <w:sz w:val="22"/>
                <w:szCs w:val="22"/>
                <w:b w:val="1"/>
                <w:bCs w:val="1"/>
                <w:color w:val="003478"/>
                <w:vertAlign w:val="superscript"/>
              </w:rPr>
              <w:t>1</w:t>
            </w:r>
          </w:p>
        </w:tc>
        <w:tc>
          <w:tcPr>
            <w:tcW w:w="1100" w:type="dxa"/>
            <w:vAlign w:val="bottom"/>
            <w:tcBorders>
              <w:top w:val="single" w:sz="8" w:color="003478"/>
              <w:right w:val="single" w:sz="8" w:color="003478"/>
            </w:tcBorders>
            <w:shd w:val="clear" w:color="auto" w:fill="E5E7EF"/>
          </w:tcPr>
          <w:p>
            <w:pPr>
              <w:jc w:val="right"/>
              <w:ind w:right="15"/>
              <w:spacing w:after="0"/>
              <w:rPr>
                <w:sz w:val="20"/>
                <w:szCs w:val="20"/>
                <w:color w:val="auto"/>
              </w:rPr>
            </w:pPr>
            <w:r>
              <w:rPr>
                <w:rFonts w:ascii="Arial" w:cs="Arial" w:eastAsia="Arial" w:hAnsi="Arial"/>
                <w:sz w:val="17"/>
                <w:szCs w:val="17"/>
                <w:color w:val="auto"/>
              </w:rPr>
              <w:t>$162,500</w:t>
            </w:r>
          </w:p>
        </w:tc>
      </w:tr>
      <w:tr>
        <w:trPr>
          <w:trHeight w:val="107"/>
        </w:trPr>
        <w:tc>
          <w:tcPr>
            <w:tcW w:w="2720" w:type="dxa"/>
            <w:vAlign w:val="bottom"/>
            <w:tcBorders>
              <w:left w:val="single" w:sz="8" w:color="003478"/>
            </w:tcBorders>
            <w:shd w:val="clear" w:color="auto" w:fill="E5E7EF"/>
          </w:tcPr>
          <w:p>
            <w:pPr>
              <w:spacing w:after="0"/>
              <w:rPr>
                <w:sz w:val="9"/>
                <w:szCs w:val="9"/>
                <w:color w:val="auto"/>
              </w:rPr>
            </w:pPr>
          </w:p>
        </w:tc>
        <w:tc>
          <w:tcPr>
            <w:tcW w:w="1100" w:type="dxa"/>
            <w:vAlign w:val="bottom"/>
            <w:tcBorders>
              <w:right w:val="single" w:sz="8" w:color="003478"/>
            </w:tcBorders>
            <w:shd w:val="clear" w:color="auto" w:fill="E5E7EF"/>
          </w:tcPr>
          <w:p>
            <w:pPr>
              <w:spacing w:after="0"/>
              <w:rPr>
                <w:sz w:val="9"/>
                <w:szCs w:val="9"/>
                <w:color w:val="auto"/>
              </w:rPr>
            </w:pPr>
          </w:p>
        </w:tc>
      </w:tr>
      <w:tr>
        <w:trPr>
          <w:trHeight w:val="224"/>
        </w:trPr>
        <w:tc>
          <w:tcPr>
            <w:tcW w:w="2720" w:type="dxa"/>
            <w:vAlign w:val="bottom"/>
            <w:tcBorders>
              <w:left w:val="single" w:sz="8" w:color="003478"/>
            </w:tcBorders>
          </w:tcPr>
          <w:p>
            <w:pPr>
              <w:ind w:left="120"/>
              <w:spacing w:after="0"/>
              <w:rPr>
                <w:sz w:val="20"/>
                <w:szCs w:val="20"/>
                <w:color w:val="auto"/>
              </w:rPr>
            </w:pPr>
            <w:r>
              <w:rPr>
                <w:rFonts w:ascii="Arial" w:cs="Arial" w:eastAsia="Arial" w:hAnsi="Arial"/>
                <w:sz w:val="17"/>
                <w:szCs w:val="17"/>
                <w:b w:val="1"/>
                <w:bCs w:val="1"/>
                <w:color w:val="003478"/>
              </w:rPr>
              <w:t>Annual Equity Retainer</w:t>
            </w:r>
          </w:p>
        </w:tc>
        <w:tc>
          <w:tcPr>
            <w:tcW w:w="1100" w:type="dxa"/>
            <w:vAlign w:val="bottom"/>
            <w:tcBorders>
              <w:right w:val="single" w:sz="8" w:color="003478"/>
            </w:tcBorders>
          </w:tcPr>
          <w:p>
            <w:pPr>
              <w:jc w:val="right"/>
              <w:ind w:right="15"/>
              <w:spacing w:after="0"/>
              <w:rPr>
                <w:sz w:val="20"/>
                <w:szCs w:val="20"/>
                <w:color w:val="auto"/>
              </w:rPr>
            </w:pPr>
            <w:r>
              <w:rPr>
                <w:rFonts w:ascii="Arial" w:cs="Arial" w:eastAsia="Arial" w:hAnsi="Arial"/>
                <w:sz w:val="17"/>
                <w:szCs w:val="17"/>
                <w:color w:val="auto"/>
              </w:rPr>
              <w:t>$162,500</w:t>
            </w:r>
          </w:p>
        </w:tc>
      </w:tr>
      <w:tr>
        <w:trPr>
          <w:trHeight w:val="193"/>
        </w:trPr>
        <w:tc>
          <w:tcPr>
            <w:tcW w:w="2720" w:type="dxa"/>
            <w:vAlign w:val="bottom"/>
            <w:tcBorders>
              <w:left w:val="single" w:sz="8" w:color="003478"/>
            </w:tcBorders>
          </w:tcPr>
          <w:p>
            <w:pPr>
              <w:spacing w:after="0"/>
              <w:rPr>
                <w:sz w:val="16"/>
                <w:szCs w:val="16"/>
                <w:color w:val="auto"/>
              </w:rPr>
            </w:pPr>
          </w:p>
        </w:tc>
        <w:tc>
          <w:tcPr>
            <w:tcW w:w="1100" w:type="dxa"/>
            <w:vAlign w:val="bottom"/>
            <w:tcBorders>
              <w:right w:val="single" w:sz="8" w:color="003478"/>
            </w:tcBorders>
          </w:tcPr>
          <w:p>
            <w:pPr>
              <w:spacing w:after="0"/>
              <w:rPr>
                <w:sz w:val="16"/>
                <w:szCs w:val="16"/>
                <w:color w:val="auto"/>
              </w:rPr>
            </w:pPr>
          </w:p>
        </w:tc>
      </w:tr>
      <w:tr>
        <w:trPr>
          <w:trHeight w:val="296"/>
        </w:trPr>
        <w:tc>
          <w:tcPr>
            <w:tcW w:w="2720" w:type="dxa"/>
            <w:vAlign w:val="bottom"/>
            <w:tcBorders>
              <w:left w:val="single" w:sz="8" w:color="003478"/>
            </w:tcBorders>
            <w:shd w:val="clear" w:color="auto" w:fill="E5E7EF"/>
          </w:tcPr>
          <w:p>
            <w:pPr>
              <w:ind w:left="120"/>
              <w:spacing w:after="0"/>
              <w:rPr>
                <w:sz w:val="20"/>
                <w:szCs w:val="20"/>
                <w:color w:val="auto"/>
              </w:rPr>
            </w:pPr>
            <w:r>
              <w:rPr>
                <w:rFonts w:ascii="Arial" w:cs="Arial" w:eastAsia="Arial" w:hAnsi="Arial"/>
                <w:sz w:val="17"/>
                <w:szCs w:val="17"/>
                <w:b w:val="1"/>
                <w:bCs w:val="1"/>
                <w:color w:val="003478"/>
              </w:rPr>
              <w:t>Additional Compensation:</w:t>
            </w:r>
            <w:r>
              <w:rPr>
                <w:rFonts w:ascii="Arial" w:cs="Arial" w:eastAsia="Arial" w:hAnsi="Arial"/>
                <w:sz w:val="22"/>
                <w:szCs w:val="22"/>
                <w:b w:val="1"/>
                <w:bCs w:val="1"/>
                <w:color w:val="003478"/>
                <w:vertAlign w:val="superscript"/>
              </w:rPr>
              <w:t>1</w:t>
            </w:r>
          </w:p>
        </w:tc>
        <w:tc>
          <w:tcPr>
            <w:tcW w:w="1100" w:type="dxa"/>
            <w:vAlign w:val="bottom"/>
            <w:tcBorders>
              <w:right w:val="single" w:sz="8" w:color="003478"/>
            </w:tcBorders>
            <w:shd w:val="clear" w:color="auto" w:fill="E5E7EF"/>
          </w:tcPr>
          <w:p>
            <w:pPr>
              <w:spacing w:after="0"/>
              <w:rPr>
                <w:sz w:val="24"/>
                <w:szCs w:val="24"/>
                <w:color w:val="auto"/>
              </w:rPr>
            </w:pPr>
          </w:p>
        </w:tc>
      </w:tr>
      <w:tr>
        <w:trPr>
          <w:trHeight w:val="121"/>
        </w:trPr>
        <w:tc>
          <w:tcPr>
            <w:tcW w:w="2720" w:type="dxa"/>
            <w:vAlign w:val="bottom"/>
            <w:tcBorders>
              <w:left w:val="single" w:sz="8" w:color="003478"/>
            </w:tcBorders>
            <w:shd w:val="clear" w:color="auto" w:fill="E5E7EF"/>
          </w:tcPr>
          <w:p>
            <w:pPr>
              <w:spacing w:after="0"/>
              <w:rPr>
                <w:sz w:val="10"/>
                <w:szCs w:val="10"/>
                <w:color w:val="auto"/>
              </w:rPr>
            </w:pPr>
          </w:p>
        </w:tc>
        <w:tc>
          <w:tcPr>
            <w:tcW w:w="1100" w:type="dxa"/>
            <w:vAlign w:val="bottom"/>
            <w:tcBorders>
              <w:right w:val="single" w:sz="8" w:color="003478"/>
            </w:tcBorders>
            <w:shd w:val="clear" w:color="auto" w:fill="E5E7EF"/>
          </w:tcPr>
          <w:p>
            <w:pPr>
              <w:spacing w:after="0"/>
              <w:rPr>
                <w:sz w:val="10"/>
                <w:szCs w:val="10"/>
                <w:color w:val="auto"/>
              </w:rPr>
            </w:pPr>
          </w:p>
        </w:tc>
      </w:tr>
      <w:tr>
        <w:trPr>
          <w:trHeight w:val="162"/>
        </w:trPr>
        <w:tc>
          <w:tcPr>
            <w:tcW w:w="2720" w:type="dxa"/>
            <w:vAlign w:val="bottom"/>
            <w:tcBorders>
              <w:left w:val="single" w:sz="8" w:color="003478"/>
            </w:tcBorders>
          </w:tcPr>
          <w:p>
            <w:pPr>
              <w:ind w:left="120"/>
              <w:spacing w:after="0" w:line="162" w:lineRule="exact"/>
              <w:rPr>
                <w:sz w:val="20"/>
                <w:szCs w:val="20"/>
                <w:color w:val="auto"/>
              </w:rPr>
            </w:pPr>
            <w:r>
              <w:rPr>
                <w:rFonts w:ascii="Arial" w:cs="Arial" w:eastAsia="Arial" w:hAnsi="Arial"/>
                <w:sz w:val="17"/>
                <w:szCs w:val="17"/>
                <w:b w:val="1"/>
                <w:bCs w:val="1"/>
                <w:color w:val="003478"/>
              </w:rPr>
              <w:t>Lead Independent Director</w:t>
            </w:r>
          </w:p>
        </w:tc>
        <w:tc>
          <w:tcPr>
            <w:tcW w:w="1100" w:type="dxa"/>
            <w:vAlign w:val="bottom"/>
            <w:tcBorders>
              <w:right w:val="single" w:sz="8" w:color="003478"/>
            </w:tcBorders>
          </w:tcPr>
          <w:p>
            <w:pPr>
              <w:jc w:val="right"/>
              <w:ind w:right="15"/>
              <w:spacing w:after="0" w:line="162" w:lineRule="exact"/>
              <w:rPr>
                <w:sz w:val="20"/>
                <w:szCs w:val="20"/>
                <w:color w:val="auto"/>
              </w:rPr>
            </w:pPr>
            <w:r>
              <w:rPr>
                <w:rFonts w:ascii="Arial" w:cs="Arial" w:eastAsia="Arial" w:hAnsi="Arial"/>
                <w:sz w:val="17"/>
                <w:szCs w:val="17"/>
                <w:color w:val="auto"/>
              </w:rPr>
              <w:t>$50,000</w:t>
            </w:r>
          </w:p>
        </w:tc>
      </w:tr>
      <w:tr>
        <w:trPr>
          <w:trHeight w:val="224"/>
        </w:trPr>
        <w:tc>
          <w:tcPr>
            <w:tcW w:w="2720" w:type="dxa"/>
            <w:vAlign w:val="bottom"/>
            <w:tcBorders>
              <w:left w:val="single" w:sz="8" w:color="003478"/>
            </w:tcBorders>
          </w:tcPr>
          <w:p>
            <w:pPr>
              <w:ind w:left="120"/>
              <w:spacing w:after="0"/>
              <w:rPr>
                <w:sz w:val="20"/>
                <w:szCs w:val="20"/>
                <w:color w:val="auto"/>
              </w:rPr>
            </w:pPr>
            <w:r>
              <w:rPr>
                <w:rFonts w:ascii="Arial" w:cs="Arial" w:eastAsia="Arial" w:hAnsi="Arial"/>
                <w:sz w:val="17"/>
                <w:szCs w:val="17"/>
                <w:b w:val="1"/>
                <w:bCs w:val="1"/>
                <w:color w:val="003478"/>
              </w:rPr>
              <w:t>Cash Retainer</w:t>
            </w:r>
          </w:p>
        </w:tc>
        <w:tc>
          <w:tcPr>
            <w:tcW w:w="1100" w:type="dxa"/>
            <w:vAlign w:val="bottom"/>
            <w:tcBorders>
              <w:right w:val="single" w:sz="8" w:color="003478"/>
            </w:tcBorders>
          </w:tcPr>
          <w:p>
            <w:pPr>
              <w:spacing w:after="0"/>
              <w:rPr>
                <w:sz w:val="19"/>
                <w:szCs w:val="19"/>
                <w:color w:val="auto"/>
              </w:rPr>
            </w:pPr>
          </w:p>
        </w:tc>
      </w:tr>
      <w:tr>
        <w:trPr>
          <w:trHeight w:val="138"/>
        </w:trPr>
        <w:tc>
          <w:tcPr>
            <w:tcW w:w="2720" w:type="dxa"/>
            <w:vAlign w:val="bottom"/>
            <w:tcBorders>
              <w:left w:val="single" w:sz="8" w:color="003478"/>
            </w:tcBorders>
          </w:tcPr>
          <w:p>
            <w:pPr>
              <w:spacing w:after="0"/>
              <w:rPr>
                <w:sz w:val="12"/>
                <w:szCs w:val="12"/>
                <w:color w:val="auto"/>
              </w:rPr>
            </w:pPr>
          </w:p>
        </w:tc>
        <w:tc>
          <w:tcPr>
            <w:tcW w:w="1100" w:type="dxa"/>
            <w:vAlign w:val="bottom"/>
            <w:tcBorders>
              <w:right w:val="single" w:sz="8" w:color="003478"/>
            </w:tcBorders>
          </w:tcPr>
          <w:p>
            <w:pPr>
              <w:spacing w:after="0"/>
              <w:rPr>
                <w:sz w:val="12"/>
                <w:szCs w:val="12"/>
                <w:color w:val="auto"/>
              </w:rPr>
            </w:pPr>
          </w:p>
        </w:tc>
      </w:tr>
      <w:tr>
        <w:trPr>
          <w:trHeight w:val="162"/>
        </w:trPr>
        <w:tc>
          <w:tcPr>
            <w:tcW w:w="2720" w:type="dxa"/>
            <w:vAlign w:val="bottom"/>
            <w:tcBorders>
              <w:left w:val="single" w:sz="8" w:color="003478"/>
            </w:tcBorders>
            <w:shd w:val="clear" w:color="auto" w:fill="E5E7EF"/>
          </w:tcPr>
          <w:p>
            <w:pPr>
              <w:ind w:left="120"/>
              <w:spacing w:after="0" w:line="162" w:lineRule="exact"/>
              <w:rPr>
                <w:sz w:val="20"/>
                <w:szCs w:val="20"/>
                <w:color w:val="auto"/>
              </w:rPr>
            </w:pPr>
            <w:r>
              <w:rPr>
                <w:rFonts w:ascii="Arial" w:cs="Arial" w:eastAsia="Arial" w:hAnsi="Arial"/>
                <w:sz w:val="17"/>
                <w:szCs w:val="17"/>
                <w:b w:val="1"/>
                <w:bCs w:val="1"/>
                <w:color w:val="003478"/>
              </w:rPr>
              <w:t>Audit Committee Chair Cash</w:t>
            </w:r>
          </w:p>
        </w:tc>
        <w:tc>
          <w:tcPr>
            <w:tcW w:w="1100" w:type="dxa"/>
            <w:vAlign w:val="bottom"/>
            <w:tcBorders>
              <w:right w:val="single" w:sz="8" w:color="003478"/>
            </w:tcBorders>
            <w:shd w:val="clear" w:color="auto" w:fill="E5E7EF"/>
          </w:tcPr>
          <w:p>
            <w:pPr>
              <w:jc w:val="right"/>
              <w:ind w:right="15"/>
              <w:spacing w:after="0" w:line="162" w:lineRule="exact"/>
              <w:rPr>
                <w:sz w:val="20"/>
                <w:szCs w:val="20"/>
                <w:color w:val="auto"/>
              </w:rPr>
            </w:pPr>
            <w:r>
              <w:rPr>
                <w:rFonts w:ascii="Arial" w:cs="Arial" w:eastAsia="Arial" w:hAnsi="Arial"/>
                <w:sz w:val="17"/>
                <w:szCs w:val="17"/>
                <w:color w:val="auto"/>
              </w:rPr>
              <w:t>$30,000</w:t>
            </w:r>
          </w:p>
        </w:tc>
      </w:tr>
      <w:tr>
        <w:trPr>
          <w:trHeight w:val="224"/>
        </w:trPr>
        <w:tc>
          <w:tcPr>
            <w:tcW w:w="2720" w:type="dxa"/>
            <w:vAlign w:val="bottom"/>
            <w:tcBorders>
              <w:left w:val="single" w:sz="8" w:color="003478"/>
            </w:tcBorders>
            <w:shd w:val="clear" w:color="auto" w:fill="E5E7EF"/>
          </w:tcPr>
          <w:p>
            <w:pPr>
              <w:ind w:left="120"/>
              <w:spacing w:after="0"/>
              <w:rPr>
                <w:sz w:val="20"/>
                <w:szCs w:val="20"/>
                <w:color w:val="auto"/>
              </w:rPr>
            </w:pPr>
            <w:r>
              <w:rPr>
                <w:rFonts w:ascii="Arial" w:cs="Arial" w:eastAsia="Arial" w:hAnsi="Arial"/>
                <w:sz w:val="17"/>
                <w:szCs w:val="17"/>
                <w:b w:val="1"/>
                <w:bCs w:val="1"/>
                <w:color w:val="003478"/>
              </w:rPr>
              <w:t>Retainer</w:t>
            </w:r>
          </w:p>
        </w:tc>
        <w:tc>
          <w:tcPr>
            <w:tcW w:w="1100" w:type="dxa"/>
            <w:vAlign w:val="bottom"/>
            <w:tcBorders>
              <w:right w:val="single" w:sz="8" w:color="003478"/>
            </w:tcBorders>
            <w:shd w:val="clear" w:color="auto" w:fill="E5E7EF"/>
          </w:tcPr>
          <w:p>
            <w:pPr>
              <w:spacing w:after="0"/>
              <w:rPr>
                <w:sz w:val="19"/>
                <w:szCs w:val="19"/>
                <w:color w:val="auto"/>
              </w:rPr>
            </w:pPr>
          </w:p>
        </w:tc>
      </w:tr>
      <w:tr>
        <w:trPr>
          <w:trHeight w:val="138"/>
        </w:trPr>
        <w:tc>
          <w:tcPr>
            <w:tcW w:w="2720" w:type="dxa"/>
            <w:vAlign w:val="bottom"/>
            <w:tcBorders>
              <w:left w:val="single" w:sz="8" w:color="003478"/>
            </w:tcBorders>
            <w:shd w:val="clear" w:color="auto" w:fill="E5E7EF"/>
          </w:tcPr>
          <w:p>
            <w:pPr>
              <w:spacing w:after="0"/>
              <w:rPr>
                <w:sz w:val="12"/>
                <w:szCs w:val="12"/>
                <w:color w:val="auto"/>
              </w:rPr>
            </w:pPr>
          </w:p>
        </w:tc>
        <w:tc>
          <w:tcPr>
            <w:tcW w:w="1100" w:type="dxa"/>
            <w:vAlign w:val="bottom"/>
            <w:tcBorders>
              <w:right w:val="single" w:sz="8" w:color="003478"/>
            </w:tcBorders>
            <w:shd w:val="clear" w:color="auto" w:fill="E5E7EF"/>
          </w:tcPr>
          <w:p>
            <w:pPr>
              <w:spacing w:after="0"/>
              <w:rPr>
                <w:sz w:val="12"/>
                <w:szCs w:val="12"/>
                <w:color w:val="auto"/>
              </w:rPr>
            </w:pPr>
          </w:p>
        </w:tc>
      </w:tr>
      <w:tr>
        <w:trPr>
          <w:trHeight w:val="162"/>
        </w:trPr>
        <w:tc>
          <w:tcPr>
            <w:tcW w:w="2720" w:type="dxa"/>
            <w:vAlign w:val="bottom"/>
            <w:tcBorders>
              <w:left w:val="single" w:sz="8" w:color="003478"/>
            </w:tcBorders>
          </w:tcPr>
          <w:p>
            <w:pPr>
              <w:ind w:left="120"/>
              <w:spacing w:after="0" w:line="162" w:lineRule="exact"/>
              <w:rPr>
                <w:sz w:val="20"/>
                <w:szCs w:val="20"/>
                <w:color w:val="auto"/>
              </w:rPr>
            </w:pPr>
            <w:r>
              <w:rPr>
                <w:rFonts w:ascii="Arial" w:cs="Arial" w:eastAsia="Arial" w:hAnsi="Arial"/>
                <w:sz w:val="17"/>
                <w:szCs w:val="17"/>
                <w:b w:val="1"/>
                <w:bCs w:val="1"/>
                <w:color w:val="003478"/>
              </w:rPr>
              <w:t>Compensation Committee</w:t>
            </w:r>
          </w:p>
        </w:tc>
        <w:tc>
          <w:tcPr>
            <w:tcW w:w="1100" w:type="dxa"/>
            <w:vAlign w:val="bottom"/>
            <w:tcBorders>
              <w:right w:val="single" w:sz="8" w:color="003478"/>
            </w:tcBorders>
          </w:tcPr>
          <w:p>
            <w:pPr>
              <w:jc w:val="right"/>
              <w:ind w:right="15"/>
              <w:spacing w:after="0" w:line="162" w:lineRule="exact"/>
              <w:rPr>
                <w:sz w:val="20"/>
                <w:szCs w:val="20"/>
                <w:color w:val="auto"/>
              </w:rPr>
            </w:pPr>
            <w:r>
              <w:rPr>
                <w:rFonts w:ascii="Arial" w:cs="Arial" w:eastAsia="Arial" w:hAnsi="Arial"/>
                <w:sz w:val="17"/>
                <w:szCs w:val="17"/>
                <w:color w:val="auto"/>
              </w:rPr>
              <w:t>$30,000</w:t>
            </w:r>
          </w:p>
        </w:tc>
      </w:tr>
      <w:tr>
        <w:trPr>
          <w:trHeight w:val="224"/>
        </w:trPr>
        <w:tc>
          <w:tcPr>
            <w:tcW w:w="2720" w:type="dxa"/>
            <w:vAlign w:val="bottom"/>
            <w:tcBorders>
              <w:left w:val="single" w:sz="8" w:color="003478"/>
            </w:tcBorders>
          </w:tcPr>
          <w:p>
            <w:pPr>
              <w:ind w:left="120"/>
              <w:spacing w:after="0"/>
              <w:rPr>
                <w:sz w:val="20"/>
                <w:szCs w:val="20"/>
                <w:color w:val="auto"/>
              </w:rPr>
            </w:pPr>
            <w:r>
              <w:rPr>
                <w:rFonts w:ascii="Arial" w:cs="Arial" w:eastAsia="Arial" w:hAnsi="Arial"/>
                <w:sz w:val="17"/>
                <w:szCs w:val="17"/>
                <w:b w:val="1"/>
                <w:bCs w:val="1"/>
                <w:color w:val="003478"/>
              </w:rPr>
              <w:t>Chair Cash Retainer</w:t>
            </w:r>
          </w:p>
        </w:tc>
        <w:tc>
          <w:tcPr>
            <w:tcW w:w="1100" w:type="dxa"/>
            <w:vAlign w:val="bottom"/>
            <w:tcBorders>
              <w:right w:val="single" w:sz="8" w:color="003478"/>
            </w:tcBorders>
          </w:tcPr>
          <w:p>
            <w:pPr>
              <w:spacing w:after="0"/>
              <w:rPr>
                <w:sz w:val="19"/>
                <w:szCs w:val="19"/>
                <w:color w:val="auto"/>
              </w:rPr>
            </w:pPr>
          </w:p>
        </w:tc>
      </w:tr>
      <w:tr>
        <w:trPr>
          <w:trHeight w:val="138"/>
        </w:trPr>
        <w:tc>
          <w:tcPr>
            <w:tcW w:w="2720" w:type="dxa"/>
            <w:vAlign w:val="bottom"/>
            <w:tcBorders>
              <w:left w:val="single" w:sz="8" w:color="003478"/>
            </w:tcBorders>
          </w:tcPr>
          <w:p>
            <w:pPr>
              <w:spacing w:after="0"/>
              <w:rPr>
                <w:sz w:val="12"/>
                <w:szCs w:val="12"/>
                <w:color w:val="auto"/>
              </w:rPr>
            </w:pPr>
          </w:p>
        </w:tc>
        <w:tc>
          <w:tcPr>
            <w:tcW w:w="1100" w:type="dxa"/>
            <w:vAlign w:val="bottom"/>
            <w:tcBorders>
              <w:right w:val="single" w:sz="8" w:color="003478"/>
            </w:tcBorders>
          </w:tcPr>
          <w:p>
            <w:pPr>
              <w:spacing w:after="0"/>
              <w:rPr>
                <w:sz w:val="12"/>
                <w:szCs w:val="12"/>
                <w:color w:val="auto"/>
              </w:rPr>
            </w:pPr>
          </w:p>
        </w:tc>
      </w:tr>
      <w:tr>
        <w:trPr>
          <w:trHeight w:val="162"/>
        </w:trPr>
        <w:tc>
          <w:tcPr>
            <w:tcW w:w="2720" w:type="dxa"/>
            <w:vAlign w:val="bottom"/>
            <w:tcBorders>
              <w:left w:val="single" w:sz="8" w:color="003478"/>
            </w:tcBorders>
            <w:shd w:val="clear" w:color="auto" w:fill="E5E7EF"/>
          </w:tcPr>
          <w:p>
            <w:pPr>
              <w:ind w:left="120"/>
              <w:spacing w:after="0" w:line="162" w:lineRule="exact"/>
              <w:rPr>
                <w:sz w:val="20"/>
                <w:szCs w:val="20"/>
                <w:color w:val="auto"/>
              </w:rPr>
            </w:pPr>
            <w:r>
              <w:rPr>
                <w:rFonts w:ascii="Arial" w:cs="Arial" w:eastAsia="Arial" w:hAnsi="Arial"/>
                <w:sz w:val="17"/>
                <w:szCs w:val="17"/>
                <w:b w:val="1"/>
                <w:bCs w:val="1"/>
                <w:color w:val="003478"/>
              </w:rPr>
              <w:t>Other Committee Chair Cash</w:t>
            </w:r>
          </w:p>
        </w:tc>
        <w:tc>
          <w:tcPr>
            <w:tcW w:w="1100" w:type="dxa"/>
            <w:vAlign w:val="bottom"/>
            <w:tcBorders>
              <w:right w:val="single" w:sz="8" w:color="003478"/>
            </w:tcBorders>
            <w:shd w:val="clear" w:color="auto" w:fill="E5E7EF"/>
          </w:tcPr>
          <w:p>
            <w:pPr>
              <w:jc w:val="right"/>
              <w:ind w:right="15"/>
              <w:spacing w:after="0" w:line="162" w:lineRule="exact"/>
              <w:rPr>
                <w:sz w:val="20"/>
                <w:szCs w:val="20"/>
                <w:color w:val="auto"/>
              </w:rPr>
            </w:pPr>
            <w:r>
              <w:rPr>
                <w:rFonts w:ascii="Arial" w:cs="Arial" w:eastAsia="Arial" w:hAnsi="Arial"/>
                <w:sz w:val="17"/>
                <w:szCs w:val="17"/>
                <w:color w:val="auto"/>
              </w:rPr>
              <w:t>$20,000</w:t>
            </w:r>
          </w:p>
        </w:tc>
      </w:tr>
      <w:tr>
        <w:trPr>
          <w:trHeight w:val="224"/>
        </w:trPr>
        <w:tc>
          <w:tcPr>
            <w:tcW w:w="2720" w:type="dxa"/>
            <w:vAlign w:val="bottom"/>
            <w:tcBorders>
              <w:left w:val="single" w:sz="8" w:color="003478"/>
            </w:tcBorders>
            <w:shd w:val="clear" w:color="auto" w:fill="E5E7EF"/>
          </w:tcPr>
          <w:p>
            <w:pPr>
              <w:ind w:left="120"/>
              <w:spacing w:after="0"/>
              <w:rPr>
                <w:sz w:val="20"/>
                <w:szCs w:val="20"/>
                <w:color w:val="auto"/>
              </w:rPr>
            </w:pPr>
            <w:r>
              <w:rPr>
                <w:rFonts w:ascii="Arial" w:cs="Arial" w:eastAsia="Arial" w:hAnsi="Arial"/>
                <w:sz w:val="17"/>
                <w:szCs w:val="17"/>
                <w:b w:val="1"/>
                <w:bCs w:val="1"/>
                <w:color w:val="003478"/>
              </w:rPr>
              <w:t>Retainers</w:t>
            </w:r>
          </w:p>
        </w:tc>
        <w:tc>
          <w:tcPr>
            <w:tcW w:w="1100" w:type="dxa"/>
            <w:vAlign w:val="bottom"/>
            <w:tcBorders>
              <w:right w:val="single" w:sz="8" w:color="003478"/>
            </w:tcBorders>
            <w:shd w:val="clear" w:color="auto" w:fill="E5E7EF"/>
          </w:tcPr>
          <w:p>
            <w:pPr>
              <w:spacing w:after="0"/>
              <w:rPr>
                <w:sz w:val="19"/>
                <w:szCs w:val="19"/>
                <w:color w:val="auto"/>
              </w:rPr>
            </w:pPr>
          </w:p>
        </w:tc>
      </w:tr>
      <w:tr>
        <w:trPr>
          <w:trHeight w:val="138"/>
        </w:trPr>
        <w:tc>
          <w:tcPr>
            <w:tcW w:w="2720" w:type="dxa"/>
            <w:vAlign w:val="bottom"/>
            <w:tcBorders>
              <w:left w:val="single" w:sz="8" w:color="003478"/>
              <w:bottom w:val="single" w:sz="8" w:color="003478"/>
            </w:tcBorders>
            <w:shd w:val="clear" w:color="auto" w:fill="E5E7EF"/>
          </w:tcPr>
          <w:p>
            <w:pPr>
              <w:spacing w:after="0"/>
              <w:rPr>
                <w:sz w:val="12"/>
                <w:szCs w:val="12"/>
                <w:color w:val="auto"/>
              </w:rPr>
            </w:pPr>
          </w:p>
        </w:tc>
        <w:tc>
          <w:tcPr>
            <w:tcW w:w="1100" w:type="dxa"/>
            <w:vAlign w:val="bottom"/>
            <w:tcBorders>
              <w:bottom w:val="single" w:sz="8" w:color="003478"/>
              <w:right w:val="single" w:sz="8" w:color="003478"/>
            </w:tcBorders>
            <w:shd w:val="clear" w:color="auto" w:fill="E5E7EF"/>
          </w:tcPr>
          <w:p>
            <w:pPr>
              <w:spacing w:after="0"/>
              <w:rPr>
                <w:sz w:val="12"/>
                <w:szCs w:val="12"/>
                <w:color w:val="auto"/>
              </w:rPr>
            </w:pPr>
          </w:p>
        </w:tc>
      </w:tr>
    </w:tbl>
    <w:p>
      <w:pPr>
        <w:spacing w:after="0" w:line="38" w:lineRule="exact"/>
        <w:rPr>
          <w:sz w:val="20"/>
          <w:szCs w:val="20"/>
          <w:color w:val="auto"/>
        </w:rPr>
      </w:pPr>
    </w:p>
    <w:p>
      <w:pPr>
        <w:ind w:left="200" w:hanging="94"/>
        <w:spacing w:after="0"/>
        <w:tabs>
          <w:tab w:leader="none" w:pos="200" w:val="left"/>
        </w:tabs>
        <w:numPr>
          <w:ilvl w:val="0"/>
          <w:numId w:val="111"/>
        </w:numPr>
        <w:rPr>
          <w:rFonts w:ascii="Arial" w:cs="Arial" w:eastAsia="Arial" w:hAnsi="Arial"/>
          <w:sz w:val="19"/>
          <w:szCs w:val="19"/>
          <w:color w:val="auto"/>
          <w:vertAlign w:val="superscript"/>
        </w:rPr>
      </w:pPr>
      <w:r>
        <w:rPr>
          <w:rFonts w:ascii="Arial" w:cs="Arial" w:eastAsia="Arial" w:hAnsi="Arial"/>
          <w:sz w:val="14"/>
          <w:szCs w:val="14"/>
          <w:color w:val="auto"/>
        </w:rPr>
        <w:t>Paid in quarterly installments.</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Director compensation is an important tool used to attract and retain qualified directors and to address the time, effort, expertise and accountability required of active Board membership. The Governance Committee annually reviews publicly available data for the companies in the comparator group we use for benchmarking executive compensation (listed on page 41) and makes recommendations to the Board regarding compensation for non-employee directors.</w:t>
      </w:r>
    </w:p>
    <w:p>
      <w:pPr>
        <w:spacing w:after="0" w:line="99"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Although the Governance Committee reviews director compensation annually, it has been the practice of the Governance Committee to recommend changes no more frequently than every two years and when making changes to set compensation above the median with the expectation that compensation will decline relative to the median over the two year cycle. In 2021, Meridian, acting as independent compensation consultant to the Governance Committee, assisted in its review of director compensation and best practices in director compensation design. Based upon that review and the market data, the Board did not make any changes to directors’ compensation for 2022. Director compensation was last increased in 2019, effective for 2020.</w:t>
      </w:r>
    </w:p>
    <w:p>
      <w:pPr>
        <w:spacing w:after="0" w:line="549" w:lineRule="exact"/>
        <w:rPr>
          <w:sz w:val="20"/>
          <w:szCs w:val="20"/>
          <w:color w:val="auto"/>
        </w:rPr>
      </w:pPr>
    </w:p>
    <w:p>
      <w:pPr>
        <w:sectPr>
          <w:pgSz w:w="11900" w:h="16838" w:orient="portrait"/>
          <w:cols w:equalWidth="0" w:num="2">
            <w:col w:w="3820" w:space="180"/>
            <w:col w:w="7220"/>
          </w:cols>
          <w:pgMar w:left="320" w:top="254" w:right="359" w:bottom="1440" w:gutter="0" w:footer="0" w:header="0"/>
          <w:type w:val="continuous"/>
        </w:sectPr>
      </w:pPr>
    </w:p>
    <w:p>
      <w:pPr>
        <w:spacing w:after="0" w:line="82" w:lineRule="exact"/>
        <w:rPr>
          <w:sz w:val="20"/>
          <w:szCs w:val="20"/>
          <w:color w:val="auto"/>
        </w:rPr>
      </w:pPr>
    </w:p>
    <w:p>
      <w:pPr>
        <w:ind w:left="20"/>
        <w:spacing w:after="0"/>
        <w:rPr>
          <w:sz w:val="20"/>
          <w:szCs w:val="20"/>
          <w:color w:val="auto"/>
        </w:rPr>
      </w:pPr>
      <w:r>
        <w:rPr>
          <w:rFonts w:ascii="Arial" w:cs="Arial" w:eastAsia="Arial" w:hAnsi="Arial"/>
          <w:sz w:val="25"/>
          <w:szCs w:val="25"/>
          <w:color w:val="818EB4"/>
        </w:rPr>
        <w:t>Equity Compensation</w:t>
      </w:r>
    </w:p>
    <w:p>
      <w:pPr>
        <w:spacing w:after="0" w:line="121" w:lineRule="exact"/>
        <w:rPr>
          <w:sz w:val="20"/>
          <w:szCs w:val="20"/>
          <w:color w:val="auto"/>
        </w:rPr>
      </w:pPr>
    </w:p>
    <w:p>
      <w:pPr>
        <w:ind w:left="20" w:right="180"/>
        <w:spacing w:after="0" w:line="266" w:lineRule="auto"/>
        <w:rPr>
          <w:sz w:val="20"/>
          <w:szCs w:val="20"/>
          <w:color w:val="auto"/>
        </w:rPr>
      </w:pPr>
      <w:r>
        <w:rPr>
          <w:rFonts w:ascii="Arial" w:cs="Arial" w:eastAsia="Arial" w:hAnsi="Arial"/>
          <w:sz w:val="17"/>
          <w:szCs w:val="17"/>
          <w:color w:val="auto"/>
        </w:rPr>
        <w:t>The annual equity retainer is paid in stock units under the Lockheed Martin Corporation Amended and Restated Directors Equity Plan (Directors Equity Plan). Except in certain circumstances, stock units vest 50 percent on June 30 and 50 percent on December 31 following the grant date. Stock units become fully vested upon a change in control or a director’s retirement, death, or disability. Vested stock units are distributed upon a director's termination of service, at the director’s election, in whole shares of stock or in cash, in a lump sum or in annual installments over a period of up to 20 years. Prior to distribution, a director has no voting, dividend or other rights with respect to the stock units, but is credited with additional stock units representing dividend equivalents (converted to stock units based on the closing price of our stock on the dividend payment dates).</w:t>
      </w:r>
    </w:p>
    <w:p>
      <w:pPr>
        <w:spacing w:after="0" w:line="98" w:lineRule="exact"/>
        <w:rPr>
          <w:sz w:val="20"/>
          <w:szCs w:val="20"/>
          <w:color w:val="auto"/>
        </w:rPr>
      </w:pPr>
    </w:p>
    <w:p>
      <w:pPr>
        <w:ind w:left="20"/>
        <w:spacing w:after="0" w:line="267" w:lineRule="auto"/>
        <w:rPr>
          <w:sz w:val="20"/>
          <w:szCs w:val="20"/>
          <w:color w:val="auto"/>
        </w:rPr>
      </w:pPr>
      <w:r>
        <w:rPr>
          <w:rFonts w:ascii="Arial" w:cs="Arial" w:eastAsia="Arial" w:hAnsi="Arial"/>
          <w:sz w:val="17"/>
          <w:szCs w:val="17"/>
          <w:color w:val="auto"/>
        </w:rPr>
        <w:t>A director who has satisfied the Board’s stock ownership guidelines may elect to have vested stock units awarded on or after January 1, 2018 (together with any dividend equivalents thereon) paid in a lump sum on the first business day of April following vesting of the award. Any director who has not elected early payments or has not satisfied the stock ownership guidelines will have vested stock units paid (along with any accumulated dividend equivalents) upon termination or retirement from the Board.</w:t>
      </w:r>
    </w:p>
    <w:p>
      <w:pPr>
        <w:spacing w:after="0" w:line="98" w:lineRule="exact"/>
        <w:rPr>
          <w:sz w:val="20"/>
          <w:szCs w:val="20"/>
          <w:color w:val="auto"/>
        </w:rPr>
      </w:pPr>
    </w:p>
    <w:p>
      <w:pPr>
        <w:jc w:val="both"/>
        <w:ind w:left="20" w:right="260"/>
        <w:spacing w:after="0" w:line="269" w:lineRule="auto"/>
        <w:rPr>
          <w:sz w:val="20"/>
          <w:szCs w:val="20"/>
          <w:color w:val="auto"/>
        </w:rPr>
      </w:pPr>
      <w:r>
        <w:rPr>
          <w:rFonts w:ascii="Arial" w:cs="Arial" w:eastAsia="Arial" w:hAnsi="Arial"/>
          <w:sz w:val="17"/>
          <w:szCs w:val="17"/>
          <w:color w:val="auto"/>
        </w:rPr>
        <w:t>Although the Directors Equity Plan authorizes the grant of stock units or stock options, in June 2014, the Board approved a resolution to the effect that each non-employee director would elect to receive the annual equity retainer in the form of stock units for each year beginning with 2015 and would not elect options to purchase shares unless the Board resolution is further amended or revoked.</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25"/>
          <w:szCs w:val="25"/>
          <w:color w:val="818EB4"/>
        </w:rPr>
        <w:t>Deferred Compensation</w:t>
      </w:r>
    </w:p>
    <w:p>
      <w:pPr>
        <w:spacing w:after="0" w:line="121" w:lineRule="exact"/>
        <w:rPr>
          <w:sz w:val="20"/>
          <w:szCs w:val="20"/>
          <w:color w:val="auto"/>
        </w:rPr>
      </w:pPr>
    </w:p>
    <w:p>
      <w:pPr>
        <w:ind w:left="20" w:right="220"/>
        <w:spacing w:after="0" w:line="267" w:lineRule="auto"/>
        <w:rPr>
          <w:sz w:val="20"/>
          <w:szCs w:val="20"/>
          <w:color w:val="auto"/>
        </w:rPr>
      </w:pPr>
      <w:r>
        <w:rPr>
          <w:rFonts w:ascii="Arial" w:cs="Arial" w:eastAsia="Arial" w:hAnsi="Arial"/>
          <w:sz w:val="17"/>
          <w:szCs w:val="17"/>
          <w:color w:val="auto"/>
        </w:rPr>
        <w:t>Non-employee directors may defer the cash portion of their fees under the Lockheed Martin Corporation Directors Deferred Compensation Plan (Directors Deferred Compensation Plan). At the director’s election, deferred amounts track the performance of: (i) the investment options available under the DMICP, the deferred compensation plan for employees; or (ii) our common stock (with dividends reinvested). Deferred amounts are distributed in a lump sum or in up to 15 annual installments commencing at a time designated by the director following termination of service.</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25"/>
          <w:szCs w:val="25"/>
          <w:color w:val="818EB4"/>
        </w:rPr>
        <w:t>Director Stock Ownership Guidelines</w:t>
      </w:r>
    </w:p>
    <w:p>
      <w:pPr>
        <w:spacing w:after="0" w:line="121" w:lineRule="exact"/>
        <w:rPr>
          <w:sz w:val="20"/>
          <w:szCs w:val="20"/>
          <w:color w:val="auto"/>
        </w:rPr>
      </w:pPr>
    </w:p>
    <w:p>
      <w:pPr>
        <w:ind w:left="20" w:right="40"/>
        <w:spacing w:after="0" w:line="267" w:lineRule="auto"/>
        <w:rPr>
          <w:sz w:val="20"/>
          <w:szCs w:val="20"/>
          <w:color w:val="auto"/>
        </w:rPr>
      </w:pPr>
      <w:r>
        <w:rPr>
          <w:rFonts w:ascii="Arial" w:cs="Arial" w:eastAsia="Arial" w:hAnsi="Arial"/>
          <w:sz w:val="17"/>
          <w:szCs w:val="17"/>
          <w:color w:val="auto"/>
        </w:rPr>
        <w:t>To align their interests with the long-term interests of our stockholders, non-employee directors have five years from the time they join the Board to achieve stock ownership levels (common stock or stock units) equivalent to five times the annual cash retainer. As of December 31, 2021, each non-employee director met the stock ownership guidelines or still had time to do so. Mr. Taiclet is subject to the Stock Ownership Requirements for Key Employees as described in the CD&amp;A.</w:t>
      </w:r>
    </w:p>
    <w:p>
      <w:pPr>
        <w:sectPr>
          <w:pgSz w:w="11900" w:h="16838" w:orient="portrait"/>
          <w:cols w:equalWidth="0" w:num="1">
            <w:col w:w="11220"/>
          </w:cols>
          <w:pgMar w:left="320" w:top="254"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70</w:t>
      </w:r>
    </w:p>
    <w:p>
      <w:pPr>
        <w:sectPr>
          <w:pgSz w:w="11900" w:h="16838" w:orient="portrait"/>
          <w:cols w:equalWidth="0" w:num="1">
            <w:col w:w="11220"/>
          </w:cols>
          <w:pgMar w:left="320" w:top="254" w:right="359" w:bottom="1440" w:gutter="0" w:footer="0" w:header="0"/>
          <w:type w:val="continuous"/>
        </w:sectPr>
      </w:pPr>
    </w:p>
    <w:bookmarkStart w:id="76" w:name="page77"/>
    <w:bookmarkEnd w:id="76"/>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Director Compensation</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9"/>
          <w:szCs w:val="29"/>
          <w:color w:val="003478"/>
        </w:rPr>
        <w:t>2021 Director Compensation Table</w:t>
      </w:r>
    </w:p>
    <w:p>
      <w:pPr>
        <w:spacing w:after="0" w:line="121"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The following table provides information on the compensation of our directors for the fiscal year ended December 31, 2021. Neither Mr. Taiclet nor Ms. Hewson received separate compensation for service as a director of the Company during 2021.</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6380" w:type="dxa"/>
            <w:vAlign w:val="bottom"/>
            <w:shd w:val="clear" w:color="auto" w:fill="E5E7EF"/>
          </w:tcPr>
          <w:p>
            <w:pPr>
              <w:spacing w:after="0"/>
              <w:rPr>
                <w:sz w:val="14"/>
                <w:szCs w:val="14"/>
                <w:color w:val="auto"/>
              </w:rPr>
            </w:pPr>
          </w:p>
        </w:tc>
        <w:tc>
          <w:tcPr>
            <w:tcW w:w="13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Fees Earned or</w:t>
            </w:r>
          </w:p>
        </w:tc>
        <w:tc>
          <w:tcPr>
            <w:tcW w:w="1160" w:type="dxa"/>
            <w:vAlign w:val="bottom"/>
            <w:shd w:val="clear" w:color="auto" w:fill="E5E7EF"/>
          </w:tcPr>
          <w:p>
            <w:pPr>
              <w:spacing w:after="0"/>
              <w:rPr>
                <w:sz w:val="14"/>
                <w:szCs w:val="14"/>
                <w:color w:val="auto"/>
              </w:rPr>
            </w:pPr>
          </w:p>
        </w:tc>
        <w:tc>
          <w:tcPr>
            <w:tcW w:w="1500" w:type="dxa"/>
            <w:vAlign w:val="bottom"/>
            <w:shd w:val="clear" w:color="auto" w:fill="E5E7EF"/>
          </w:tcPr>
          <w:p>
            <w:pPr>
              <w:jc w:val="right"/>
              <w:ind w:right="191"/>
              <w:spacing w:after="0"/>
              <w:rPr>
                <w:sz w:val="20"/>
                <w:szCs w:val="20"/>
                <w:color w:val="auto"/>
              </w:rPr>
            </w:pPr>
            <w:r>
              <w:rPr>
                <w:rFonts w:ascii="Arial" w:cs="Arial" w:eastAsia="Arial" w:hAnsi="Arial"/>
                <w:sz w:val="13"/>
                <w:szCs w:val="13"/>
                <w:color w:val="auto"/>
              </w:rPr>
              <w:t>All Other</w:t>
            </w:r>
          </w:p>
        </w:tc>
        <w:tc>
          <w:tcPr>
            <w:tcW w:w="840" w:type="dxa"/>
            <w:vAlign w:val="bottom"/>
            <w:shd w:val="clear" w:color="auto" w:fill="E5E7EF"/>
          </w:tcPr>
          <w:p>
            <w:pPr>
              <w:spacing w:after="0"/>
              <w:rPr>
                <w:sz w:val="14"/>
                <w:szCs w:val="14"/>
                <w:color w:val="auto"/>
              </w:rPr>
            </w:pPr>
          </w:p>
        </w:tc>
      </w:tr>
      <w:tr>
        <w:trPr>
          <w:trHeight w:val="181"/>
        </w:trPr>
        <w:tc>
          <w:tcPr>
            <w:tcW w:w="6380" w:type="dxa"/>
            <w:vAlign w:val="bottom"/>
            <w:shd w:val="clear" w:color="auto" w:fill="E5E7EF"/>
          </w:tcPr>
          <w:p>
            <w:pPr>
              <w:spacing w:after="0"/>
              <w:rPr>
                <w:sz w:val="15"/>
                <w:szCs w:val="15"/>
                <w:color w:val="auto"/>
              </w:rPr>
            </w:pPr>
          </w:p>
        </w:tc>
        <w:tc>
          <w:tcPr>
            <w:tcW w:w="1360" w:type="dxa"/>
            <w:vAlign w:val="bottom"/>
            <w:shd w:val="clear" w:color="auto" w:fill="E5E7EF"/>
          </w:tcPr>
          <w:p>
            <w:pPr>
              <w:jc w:val="right"/>
              <w:spacing w:after="0" w:line="181" w:lineRule="exact"/>
              <w:rPr>
                <w:sz w:val="20"/>
                <w:szCs w:val="20"/>
                <w:color w:val="auto"/>
              </w:rPr>
            </w:pPr>
            <w:r>
              <w:rPr>
                <w:rFonts w:ascii="Arial" w:cs="Arial" w:eastAsia="Arial" w:hAnsi="Arial"/>
                <w:sz w:val="13"/>
                <w:szCs w:val="13"/>
                <w:color w:val="auto"/>
              </w:rPr>
              <w:t>Paid in Cash</w:t>
            </w:r>
            <w:r>
              <w:rPr>
                <w:rFonts w:ascii="Arial" w:cs="Arial" w:eastAsia="Arial" w:hAnsi="Arial"/>
                <w:sz w:val="16"/>
                <w:szCs w:val="16"/>
                <w:color w:val="auto"/>
                <w:vertAlign w:val="superscript"/>
              </w:rPr>
              <w:t>(1)</w:t>
            </w:r>
          </w:p>
        </w:tc>
        <w:tc>
          <w:tcPr>
            <w:tcW w:w="1160" w:type="dxa"/>
            <w:vAlign w:val="bottom"/>
            <w:shd w:val="clear" w:color="auto" w:fill="E5E7EF"/>
          </w:tcPr>
          <w:p>
            <w:pPr>
              <w:jc w:val="right"/>
              <w:spacing w:after="0" w:line="181" w:lineRule="exact"/>
              <w:rPr>
                <w:sz w:val="20"/>
                <w:szCs w:val="20"/>
                <w:color w:val="auto"/>
              </w:rPr>
            </w:pPr>
            <w:r>
              <w:rPr>
                <w:rFonts w:ascii="Arial" w:cs="Arial" w:eastAsia="Arial" w:hAnsi="Arial"/>
                <w:sz w:val="13"/>
                <w:szCs w:val="13"/>
                <w:color w:val="auto"/>
              </w:rPr>
              <w:t>Stock Awards</w:t>
            </w:r>
            <w:r>
              <w:rPr>
                <w:rFonts w:ascii="Arial" w:cs="Arial" w:eastAsia="Arial" w:hAnsi="Arial"/>
                <w:sz w:val="16"/>
                <w:szCs w:val="16"/>
                <w:color w:val="auto"/>
                <w:vertAlign w:val="superscript"/>
              </w:rPr>
              <w:t>(2)</w:t>
            </w:r>
          </w:p>
        </w:tc>
        <w:tc>
          <w:tcPr>
            <w:tcW w:w="1500" w:type="dxa"/>
            <w:vAlign w:val="bottom"/>
            <w:shd w:val="clear" w:color="auto" w:fill="E5E7EF"/>
          </w:tcPr>
          <w:p>
            <w:pPr>
              <w:jc w:val="right"/>
              <w:ind w:right="191"/>
              <w:spacing w:after="0" w:line="181" w:lineRule="exact"/>
              <w:rPr>
                <w:sz w:val="20"/>
                <w:szCs w:val="20"/>
                <w:color w:val="auto"/>
              </w:rPr>
            </w:pPr>
            <w:r>
              <w:rPr>
                <w:rFonts w:ascii="Arial" w:cs="Arial" w:eastAsia="Arial" w:hAnsi="Arial"/>
                <w:sz w:val="13"/>
                <w:szCs w:val="13"/>
                <w:color w:val="auto"/>
              </w:rPr>
              <w:t>Compensation</w:t>
            </w:r>
            <w:r>
              <w:rPr>
                <w:rFonts w:ascii="Arial" w:cs="Arial" w:eastAsia="Arial" w:hAnsi="Arial"/>
                <w:sz w:val="16"/>
                <w:szCs w:val="16"/>
                <w:color w:val="auto"/>
                <w:vertAlign w:val="superscript"/>
              </w:rPr>
              <w:t>(3)</w:t>
            </w:r>
          </w:p>
        </w:tc>
        <w:tc>
          <w:tcPr>
            <w:tcW w:w="840" w:type="dxa"/>
            <w:vAlign w:val="bottom"/>
            <w:shd w:val="clear" w:color="auto" w:fill="E5E7EF"/>
          </w:tcPr>
          <w:p>
            <w:pPr>
              <w:jc w:val="right"/>
              <w:spacing w:after="0"/>
              <w:rPr>
                <w:sz w:val="20"/>
                <w:szCs w:val="20"/>
                <w:color w:val="auto"/>
              </w:rPr>
            </w:pPr>
            <w:r>
              <w:rPr>
                <w:rFonts w:ascii="Arial" w:cs="Arial" w:eastAsia="Arial" w:hAnsi="Arial"/>
                <w:sz w:val="13"/>
                <w:szCs w:val="13"/>
                <w:color w:val="auto"/>
              </w:rPr>
              <w:t>Total</w:t>
            </w:r>
          </w:p>
        </w:tc>
      </w:tr>
      <w:tr>
        <w:trPr>
          <w:trHeight w:val="207"/>
        </w:trPr>
        <w:tc>
          <w:tcPr>
            <w:tcW w:w="638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Name*</w:t>
            </w:r>
          </w:p>
        </w:tc>
        <w:tc>
          <w:tcPr>
            <w:tcW w:w="136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16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1500" w:type="dxa"/>
            <w:vAlign w:val="bottom"/>
            <w:tcBorders>
              <w:bottom w:val="single" w:sz="8" w:color="E5E7EF"/>
            </w:tcBorders>
            <w:shd w:val="clear" w:color="auto" w:fill="E5E7EF"/>
          </w:tcPr>
          <w:p>
            <w:pPr>
              <w:jc w:val="right"/>
              <w:ind w:right="191"/>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200"/>
        </w:trPr>
        <w:tc>
          <w:tcPr>
            <w:tcW w:w="6380" w:type="dxa"/>
            <w:vAlign w:val="bottom"/>
            <w:tcBorders>
              <w:top w:val="single" w:sz="8" w:color="003478"/>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(a)</w:t>
            </w:r>
          </w:p>
        </w:tc>
        <w:tc>
          <w:tcPr>
            <w:tcW w:w="1360" w:type="dxa"/>
            <w:vAlign w:val="bottom"/>
            <w:tcBorders>
              <w:top w:val="single" w:sz="8" w:color="003478"/>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(b)</w:t>
            </w:r>
          </w:p>
        </w:tc>
        <w:tc>
          <w:tcPr>
            <w:tcW w:w="1160" w:type="dxa"/>
            <w:vAlign w:val="bottom"/>
            <w:tcBorders>
              <w:top w:val="single" w:sz="8" w:color="003478"/>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(c)</w:t>
            </w:r>
          </w:p>
        </w:tc>
        <w:tc>
          <w:tcPr>
            <w:tcW w:w="1500" w:type="dxa"/>
            <w:vAlign w:val="bottom"/>
            <w:tcBorders>
              <w:top w:val="single" w:sz="8" w:color="003478"/>
              <w:bottom w:val="single" w:sz="8" w:color="E5E7EF"/>
            </w:tcBorders>
            <w:shd w:val="clear" w:color="auto" w:fill="E5E7EF"/>
          </w:tcPr>
          <w:p>
            <w:pPr>
              <w:jc w:val="right"/>
              <w:ind w:right="191"/>
              <w:spacing w:after="0"/>
              <w:rPr>
                <w:sz w:val="20"/>
                <w:szCs w:val="20"/>
                <w:color w:val="auto"/>
              </w:rPr>
            </w:pPr>
            <w:r>
              <w:rPr>
                <w:rFonts w:ascii="Arial" w:cs="Arial" w:eastAsia="Arial" w:hAnsi="Arial"/>
                <w:sz w:val="13"/>
                <w:szCs w:val="13"/>
                <w:color w:val="auto"/>
              </w:rPr>
              <w:t>(g)</w:t>
            </w:r>
          </w:p>
        </w:tc>
        <w:tc>
          <w:tcPr>
            <w:tcW w:w="840" w:type="dxa"/>
            <w:vAlign w:val="bottom"/>
            <w:tcBorders>
              <w:top w:val="single" w:sz="8" w:color="003478"/>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(h)</w:t>
            </w:r>
          </w:p>
        </w:tc>
      </w:tr>
      <w:tr>
        <w:trPr>
          <w:trHeight w:val="182"/>
        </w:trPr>
        <w:tc>
          <w:tcPr>
            <w:tcW w:w="6380" w:type="dxa"/>
            <w:vAlign w:val="bottom"/>
            <w:tcBorders>
              <w:top w:val="single" w:sz="8" w:color="003478"/>
              <w:bottom w:val="single" w:sz="8" w:color="929292"/>
            </w:tcBorders>
          </w:tcPr>
          <w:p>
            <w:pPr>
              <w:ind w:left="20"/>
              <w:spacing w:after="0"/>
              <w:rPr>
                <w:sz w:val="20"/>
                <w:szCs w:val="20"/>
                <w:color w:val="auto"/>
              </w:rPr>
            </w:pPr>
            <w:r>
              <w:rPr>
                <w:rFonts w:ascii="Arial" w:cs="Arial" w:eastAsia="Arial" w:hAnsi="Arial"/>
                <w:sz w:val="14"/>
                <w:szCs w:val="14"/>
                <w:b w:val="1"/>
                <w:bCs w:val="1"/>
                <w:color w:val="003478"/>
              </w:rPr>
              <w:t>Daniel F. Akerson</w:t>
            </w:r>
          </w:p>
        </w:tc>
        <w:tc>
          <w:tcPr>
            <w:tcW w:w="1360" w:type="dxa"/>
            <w:vAlign w:val="bottom"/>
            <w:tcBorders>
              <w:top w:val="single" w:sz="8" w:color="003478"/>
              <w:bottom w:val="single" w:sz="8" w:color="929292"/>
            </w:tcBorders>
            <w:shd w:val="clear" w:color="auto" w:fill="E5E7EF"/>
          </w:tcPr>
          <w:p>
            <w:pPr>
              <w:jc w:val="right"/>
              <w:spacing w:after="0"/>
              <w:rPr>
                <w:sz w:val="20"/>
                <w:szCs w:val="20"/>
                <w:color w:val="auto"/>
              </w:rPr>
            </w:pPr>
            <w:r>
              <w:rPr>
                <w:rFonts w:ascii="Arial" w:cs="Arial" w:eastAsia="Arial" w:hAnsi="Arial"/>
                <w:sz w:val="14"/>
                <w:szCs w:val="14"/>
                <w:color w:val="auto"/>
              </w:rPr>
              <w:t>232,500</w:t>
            </w:r>
          </w:p>
        </w:tc>
        <w:tc>
          <w:tcPr>
            <w:tcW w:w="1160" w:type="dxa"/>
            <w:vAlign w:val="bottom"/>
            <w:tcBorders>
              <w:top w:val="single" w:sz="8" w:color="003478"/>
              <w:bottom w:val="single" w:sz="8" w:color="929292"/>
            </w:tcBorders>
            <w:shd w:val="clear" w:color="auto" w:fill="E5E7EF"/>
          </w:tcPr>
          <w:p>
            <w:pPr>
              <w:jc w:val="right"/>
              <w:spacing w:after="0"/>
              <w:rPr>
                <w:sz w:val="20"/>
                <w:szCs w:val="20"/>
                <w:color w:val="auto"/>
              </w:rPr>
            </w:pPr>
            <w:r>
              <w:rPr>
                <w:rFonts w:ascii="Arial" w:cs="Arial" w:eastAsia="Arial" w:hAnsi="Arial"/>
                <w:sz w:val="14"/>
                <w:szCs w:val="14"/>
                <w:color w:val="auto"/>
              </w:rPr>
              <w:t>162,500</w:t>
            </w:r>
          </w:p>
        </w:tc>
        <w:tc>
          <w:tcPr>
            <w:tcW w:w="1500" w:type="dxa"/>
            <w:vAlign w:val="bottom"/>
            <w:tcBorders>
              <w:top w:val="single" w:sz="8" w:color="003478"/>
              <w:bottom w:val="single" w:sz="8" w:color="929292"/>
            </w:tcBorders>
            <w:shd w:val="clear" w:color="auto" w:fill="E5E7EF"/>
          </w:tcPr>
          <w:p>
            <w:pPr>
              <w:jc w:val="right"/>
              <w:ind w:right="19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003478"/>
              <w:bottom w:val="single" w:sz="8" w:color="929292"/>
            </w:tcBorders>
            <w:shd w:val="clear" w:color="auto" w:fill="E5E7EF"/>
          </w:tcPr>
          <w:p>
            <w:pPr>
              <w:jc w:val="right"/>
              <w:spacing w:after="0"/>
              <w:rPr>
                <w:sz w:val="20"/>
                <w:szCs w:val="20"/>
                <w:color w:val="auto"/>
              </w:rPr>
            </w:pPr>
            <w:r>
              <w:rPr>
                <w:rFonts w:ascii="Arial" w:cs="Arial" w:eastAsia="Arial" w:hAnsi="Arial"/>
                <w:sz w:val="14"/>
                <w:szCs w:val="14"/>
                <w:color w:val="auto"/>
              </w:rPr>
              <w:t>395,000</w:t>
            </w:r>
          </w:p>
        </w:tc>
      </w:tr>
      <w:tr>
        <w:trPr>
          <w:trHeight w:val="182"/>
        </w:trPr>
        <w:tc>
          <w:tcPr>
            <w:tcW w:w="6380" w:type="dxa"/>
            <w:vAlign w:val="bottom"/>
            <w:tcBorders>
              <w:bottom w:val="single" w:sz="8" w:color="868686"/>
            </w:tcBorders>
          </w:tcPr>
          <w:p>
            <w:pPr>
              <w:ind w:left="20"/>
              <w:spacing w:after="0"/>
              <w:rPr>
                <w:sz w:val="20"/>
                <w:szCs w:val="20"/>
                <w:color w:val="auto"/>
              </w:rPr>
            </w:pPr>
            <w:r>
              <w:rPr>
                <w:rFonts w:ascii="Arial" w:cs="Arial" w:eastAsia="Arial" w:hAnsi="Arial"/>
                <w:sz w:val="14"/>
                <w:szCs w:val="14"/>
                <w:b w:val="1"/>
                <w:bCs w:val="1"/>
                <w:color w:val="003478"/>
              </w:rPr>
              <w:t>David B. Burritt</w:t>
            </w:r>
          </w:p>
        </w:tc>
        <w:tc>
          <w:tcPr>
            <w:tcW w:w="136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162,500</w:t>
            </w:r>
          </w:p>
        </w:tc>
        <w:tc>
          <w:tcPr>
            <w:tcW w:w="116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162,500</w:t>
            </w:r>
          </w:p>
        </w:tc>
        <w:tc>
          <w:tcPr>
            <w:tcW w:w="1500" w:type="dxa"/>
            <w:vAlign w:val="bottom"/>
            <w:tcBorders>
              <w:bottom w:val="single" w:sz="8" w:color="868686"/>
            </w:tcBorders>
          </w:tcPr>
          <w:p>
            <w:pPr>
              <w:jc w:val="right"/>
              <w:ind w:right="191"/>
              <w:spacing w:after="0"/>
              <w:rPr>
                <w:sz w:val="20"/>
                <w:szCs w:val="20"/>
                <w:color w:val="auto"/>
              </w:rPr>
            </w:pPr>
            <w:r>
              <w:rPr>
                <w:rFonts w:ascii="Arial" w:cs="Arial" w:eastAsia="Arial" w:hAnsi="Arial"/>
                <w:sz w:val="14"/>
                <w:szCs w:val="14"/>
                <w:color w:val="auto"/>
              </w:rPr>
              <w:t>10,000</w:t>
            </w:r>
          </w:p>
        </w:tc>
        <w:tc>
          <w:tcPr>
            <w:tcW w:w="84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335,000</w:t>
            </w:r>
          </w:p>
        </w:tc>
      </w:tr>
      <w:tr>
        <w:trPr>
          <w:trHeight w:val="182"/>
        </w:trPr>
        <w:tc>
          <w:tcPr>
            <w:tcW w:w="6380" w:type="dxa"/>
            <w:vAlign w:val="bottom"/>
            <w:tcBorders>
              <w:bottom w:val="single" w:sz="8" w:color="868686"/>
            </w:tcBorders>
          </w:tcPr>
          <w:p>
            <w:pPr>
              <w:ind w:left="20"/>
              <w:spacing w:after="0"/>
              <w:rPr>
                <w:sz w:val="20"/>
                <w:szCs w:val="20"/>
                <w:color w:val="auto"/>
              </w:rPr>
            </w:pPr>
            <w:r>
              <w:rPr>
                <w:rFonts w:ascii="Arial" w:cs="Arial" w:eastAsia="Arial" w:hAnsi="Arial"/>
                <w:sz w:val="14"/>
                <w:szCs w:val="14"/>
                <w:b w:val="1"/>
                <w:bCs w:val="1"/>
                <w:color w:val="003478"/>
              </w:rPr>
              <w:t>Bruce A. Carlson</w:t>
            </w:r>
          </w:p>
        </w:tc>
        <w:tc>
          <w:tcPr>
            <w:tcW w:w="1360" w:type="dxa"/>
            <w:vAlign w:val="bottom"/>
            <w:tcBorders>
              <w:bottom w:val="single" w:sz="8" w:color="929292"/>
            </w:tcBorders>
            <w:shd w:val="clear" w:color="auto" w:fill="E4E6EF"/>
          </w:tcPr>
          <w:p>
            <w:pPr>
              <w:jc w:val="right"/>
              <w:spacing w:after="0"/>
              <w:rPr>
                <w:sz w:val="20"/>
                <w:szCs w:val="20"/>
                <w:color w:val="auto"/>
              </w:rPr>
            </w:pPr>
            <w:r>
              <w:rPr>
                <w:rFonts w:ascii="Arial" w:cs="Arial" w:eastAsia="Arial" w:hAnsi="Arial"/>
                <w:sz w:val="14"/>
                <w:szCs w:val="14"/>
                <w:color w:val="auto"/>
              </w:rPr>
              <w:t>162,500</w:t>
            </w:r>
          </w:p>
        </w:tc>
        <w:tc>
          <w:tcPr>
            <w:tcW w:w="1160" w:type="dxa"/>
            <w:vAlign w:val="bottom"/>
            <w:tcBorders>
              <w:bottom w:val="single" w:sz="8" w:color="929292"/>
            </w:tcBorders>
            <w:shd w:val="clear" w:color="auto" w:fill="E4E6EF"/>
          </w:tcPr>
          <w:p>
            <w:pPr>
              <w:jc w:val="right"/>
              <w:spacing w:after="0"/>
              <w:rPr>
                <w:sz w:val="20"/>
                <w:szCs w:val="20"/>
                <w:color w:val="auto"/>
              </w:rPr>
            </w:pPr>
            <w:r>
              <w:rPr>
                <w:rFonts w:ascii="Arial" w:cs="Arial" w:eastAsia="Arial" w:hAnsi="Arial"/>
                <w:sz w:val="14"/>
                <w:szCs w:val="14"/>
                <w:color w:val="auto"/>
              </w:rPr>
              <w:t>162,500</w:t>
            </w:r>
          </w:p>
        </w:tc>
        <w:tc>
          <w:tcPr>
            <w:tcW w:w="1500" w:type="dxa"/>
            <w:vAlign w:val="bottom"/>
            <w:tcBorders>
              <w:bottom w:val="single" w:sz="8" w:color="929292"/>
            </w:tcBorders>
            <w:shd w:val="clear" w:color="auto" w:fill="E4E6EF"/>
          </w:tcPr>
          <w:p>
            <w:pPr>
              <w:jc w:val="right"/>
              <w:ind w:right="191"/>
              <w:spacing w:after="0"/>
              <w:rPr>
                <w:sz w:val="20"/>
                <w:szCs w:val="20"/>
                <w:color w:val="auto"/>
              </w:rPr>
            </w:pPr>
            <w:r>
              <w:rPr>
                <w:rFonts w:ascii="Arial" w:cs="Arial" w:eastAsia="Arial" w:hAnsi="Arial"/>
                <w:sz w:val="14"/>
                <w:szCs w:val="14"/>
                <w:color w:val="auto"/>
              </w:rPr>
              <w:t>59</w:t>
            </w:r>
          </w:p>
        </w:tc>
        <w:tc>
          <w:tcPr>
            <w:tcW w:w="840" w:type="dxa"/>
            <w:vAlign w:val="bottom"/>
            <w:tcBorders>
              <w:bottom w:val="single" w:sz="8" w:color="929292"/>
            </w:tcBorders>
            <w:shd w:val="clear" w:color="auto" w:fill="E4E6EF"/>
          </w:tcPr>
          <w:p>
            <w:pPr>
              <w:jc w:val="right"/>
              <w:spacing w:after="0"/>
              <w:rPr>
                <w:sz w:val="20"/>
                <w:szCs w:val="20"/>
                <w:color w:val="auto"/>
              </w:rPr>
            </w:pPr>
            <w:r>
              <w:rPr>
                <w:rFonts w:ascii="Arial" w:cs="Arial" w:eastAsia="Arial" w:hAnsi="Arial"/>
                <w:sz w:val="14"/>
                <w:szCs w:val="14"/>
                <w:color w:val="auto"/>
              </w:rPr>
              <w:t>325,059</w:t>
            </w:r>
          </w:p>
        </w:tc>
      </w:tr>
      <w:tr>
        <w:trPr>
          <w:trHeight w:val="182"/>
        </w:trPr>
        <w:tc>
          <w:tcPr>
            <w:tcW w:w="6380" w:type="dxa"/>
            <w:vAlign w:val="bottom"/>
            <w:tcBorders>
              <w:bottom w:val="single" w:sz="8" w:color="868686"/>
            </w:tcBorders>
          </w:tcPr>
          <w:p>
            <w:pPr>
              <w:ind w:left="20"/>
              <w:spacing w:after="0"/>
              <w:rPr>
                <w:sz w:val="20"/>
                <w:szCs w:val="20"/>
                <w:color w:val="auto"/>
              </w:rPr>
            </w:pPr>
            <w:r>
              <w:rPr>
                <w:rFonts w:ascii="Arial" w:cs="Arial" w:eastAsia="Arial" w:hAnsi="Arial"/>
                <w:sz w:val="14"/>
                <w:szCs w:val="14"/>
                <w:b w:val="1"/>
                <w:bCs w:val="1"/>
                <w:color w:val="003478"/>
              </w:rPr>
              <w:t>John M. Donovan</w:t>
            </w:r>
          </w:p>
        </w:tc>
        <w:tc>
          <w:tcPr>
            <w:tcW w:w="1360" w:type="dxa"/>
            <w:vAlign w:val="bottom"/>
            <w:tcBorders>
              <w:bottom w:val="single" w:sz="8" w:color="929292"/>
            </w:tcBorders>
          </w:tcPr>
          <w:p>
            <w:pPr>
              <w:jc w:val="right"/>
              <w:ind w:right="11"/>
              <w:spacing w:after="0"/>
              <w:rPr>
                <w:sz w:val="20"/>
                <w:szCs w:val="20"/>
                <w:color w:val="auto"/>
              </w:rPr>
            </w:pPr>
            <w:r>
              <w:rPr>
                <w:rFonts w:ascii="Arial" w:cs="Arial" w:eastAsia="Arial" w:hAnsi="Arial"/>
                <w:sz w:val="14"/>
                <w:szCs w:val="14"/>
                <w:color w:val="auto"/>
              </w:rPr>
              <w:t>31,250</w:t>
            </w:r>
          </w:p>
        </w:tc>
        <w:tc>
          <w:tcPr>
            <w:tcW w:w="116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27,083</w:t>
            </w:r>
          </w:p>
        </w:tc>
        <w:tc>
          <w:tcPr>
            <w:tcW w:w="1500" w:type="dxa"/>
            <w:vAlign w:val="bottom"/>
            <w:tcBorders>
              <w:bottom w:val="single" w:sz="8" w:color="929292"/>
            </w:tcBorders>
          </w:tcPr>
          <w:p>
            <w:pPr>
              <w:jc w:val="right"/>
              <w:ind w:right="25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58,333</w:t>
            </w:r>
          </w:p>
        </w:tc>
      </w:tr>
      <w:tr>
        <w:trPr>
          <w:trHeight w:val="182"/>
        </w:trPr>
        <w:tc>
          <w:tcPr>
            <w:tcW w:w="6380" w:type="dxa"/>
            <w:vAlign w:val="bottom"/>
            <w:tcBorders>
              <w:bottom w:val="single" w:sz="8" w:color="929292"/>
            </w:tcBorders>
          </w:tcPr>
          <w:p>
            <w:pPr>
              <w:ind w:left="20"/>
              <w:spacing w:after="0"/>
              <w:rPr>
                <w:sz w:val="20"/>
                <w:szCs w:val="20"/>
                <w:color w:val="auto"/>
              </w:rPr>
            </w:pPr>
            <w:r>
              <w:rPr>
                <w:rFonts w:ascii="Arial" w:cs="Arial" w:eastAsia="Arial" w:hAnsi="Arial"/>
                <w:sz w:val="14"/>
                <w:szCs w:val="14"/>
                <w:b w:val="1"/>
                <w:bCs w:val="1"/>
                <w:color w:val="003478"/>
              </w:rPr>
              <w:t>Joseph F. Dunford, Jr.</w:t>
            </w:r>
          </w:p>
        </w:tc>
        <w:tc>
          <w:tcPr>
            <w:tcW w:w="1360" w:type="dxa"/>
            <w:vAlign w:val="bottom"/>
            <w:tcBorders>
              <w:bottom w:val="single" w:sz="8" w:color="929292"/>
            </w:tcBorders>
            <w:shd w:val="clear" w:color="auto" w:fill="E4E6EF"/>
          </w:tcPr>
          <w:p>
            <w:pPr>
              <w:jc w:val="right"/>
              <w:spacing w:after="0"/>
              <w:rPr>
                <w:sz w:val="20"/>
                <w:szCs w:val="20"/>
                <w:color w:val="auto"/>
              </w:rPr>
            </w:pPr>
            <w:r>
              <w:rPr>
                <w:rFonts w:ascii="Arial" w:cs="Arial" w:eastAsia="Arial" w:hAnsi="Arial"/>
                <w:sz w:val="14"/>
                <w:szCs w:val="14"/>
                <w:color w:val="auto"/>
              </w:rPr>
              <w:t>162,500</w:t>
            </w:r>
          </w:p>
        </w:tc>
        <w:tc>
          <w:tcPr>
            <w:tcW w:w="1160" w:type="dxa"/>
            <w:vAlign w:val="bottom"/>
            <w:tcBorders>
              <w:bottom w:val="single" w:sz="8" w:color="929292"/>
            </w:tcBorders>
            <w:shd w:val="clear" w:color="auto" w:fill="E4E6EF"/>
          </w:tcPr>
          <w:p>
            <w:pPr>
              <w:jc w:val="right"/>
              <w:spacing w:after="0"/>
              <w:rPr>
                <w:sz w:val="20"/>
                <w:szCs w:val="20"/>
                <w:color w:val="auto"/>
              </w:rPr>
            </w:pPr>
            <w:r>
              <w:rPr>
                <w:rFonts w:ascii="Arial" w:cs="Arial" w:eastAsia="Arial" w:hAnsi="Arial"/>
                <w:sz w:val="14"/>
                <w:szCs w:val="14"/>
                <w:color w:val="auto"/>
              </w:rPr>
              <w:t>162,500</w:t>
            </w:r>
          </w:p>
        </w:tc>
        <w:tc>
          <w:tcPr>
            <w:tcW w:w="1500" w:type="dxa"/>
            <w:vAlign w:val="bottom"/>
            <w:tcBorders>
              <w:bottom w:val="single" w:sz="8" w:color="929292"/>
            </w:tcBorders>
            <w:shd w:val="clear" w:color="auto" w:fill="E4E6EF"/>
          </w:tcPr>
          <w:p>
            <w:pPr>
              <w:jc w:val="right"/>
              <w:ind w:right="25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29292"/>
            </w:tcBorders>
            <w:shd w:val="clear" w:color="auto" w:fill="E4E6EF"/>
          </w:tcPr>
          <w:p>
            <w:pPr>
              <w:jc w:val="right"/>
              <w:spacing w:after="0"/>
              <w:rPr>
                <w:sz w:val="20"/>
                <w:szCs w:val="20"/>
                <w:color w:val="auto"/>
              </w:rPr>
            </w:pPr>
            <w:r>
              <w:rPr>
                <w:rFonts w:ascii="Arial" w:cs="Arial" w:eastAsia="Arial" w:hAnsi="Arial"/>
                <w:sz w:val="14"/>
                <w:szCs w:val="14"/>
                <w:color w:val="auto"/>
              </w:rPr>
              <w:t>325,000</w:t>
            </w:r>
          </w:p>
        </w:tc>
      </w:tr>
      <w:tr>
        <w:trPr>
          <w:trHeight w:val="182"/>
        </w:trPr>
        <w:tc>
          <w:tcPr>
            <w:tcW w:w="6380" w:type="dxa"/>
            <w:vAlign w:val="bottom"/>
            <w:tcBorders>
              <w:bottom w:val="single" w:sz="8" w:color="868686"/>
            </w:tcBorders>
          </w:tcPr>
          <w:p>
            <w:pPr>
              <w:ind w:left="20"/>
              <w:spacing w:after="0"/>
              <w:rPr>
                <w:sz w:val="20"/>
                <w:szCs w:val="20"/>
                <w:color w:val="auto"/>
              </w:rPr>
            </w:pPr>
            <w:r>
              <w:rPr>
                <w:rFonts w:ascii="Arial" w:cs="Arial" w:eastAsia="Arial" w:hAnsi="Arial"/>
                <w:sz w:val="14"/>
                <w:szCs w:val="14"/>
                <w:b w:val="1"/>
                <w:bCs w:val="1"/>
                <w:color w:val="003478"/>
              </w:rPr>
              <w:t>James O. Ellis, Jr.</w:t>
            </w:r>
          </w:p>
        </w:tc>
        <w:tc>
          <w:tcPr>
            <w:tcW w:w="136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182,500</w:t>
            </w:r>
          </w:p>
        </w:tc>
        <w:tc>
          <w:tcPr>
            <w:tcW w:w="116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162,500</w:t>
            </w:r>
          </w:p>
        </w:tc>
        <w:tc>
          <w:tcPr>
            <w:tcW w:w="1500" w:type="dxa"/>
            <w:vAlign w:val="bottom"/>
            <w:tcBorders>
              <w:bottom w:val="single" w:sz="8" w:color="868686"/>
            </w:tcBorders>
          </w:tcPr>
          <w:p>
            <w:pPr>
              <w:jc w:val="right"/>
              <w:ind w:right="191"/>
              <w:spacing w:after="0"/>
              <w:rPr>
                <w:sz w:val="20"/>
                <w:szCs w:val="20"/>
                <w:color w:val="auto"/>
              </w:rPr>
            </w:pPr>
            <w:r>
              <w:rPr>
                <w:rFonts w:ascii="Arial" w:cs="Arial" w:eastAsia="Arial" w:hAnsi="Arial"/>
                <w:sz w:val="14"/>
                <w:szCs w:val="14"/>
                <w:color w:val="auto"/>
              </w:rPr>
              <w:t>1,000</w:t>
            </w:r>
          </w:p>
        </w:tc>
        <w:tc>
          <w:tcPr>
            <w:tcW w:w="84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346,000</w:t>
            </w:r>
          </w:p>
        </w:tc>
      </w:tr>
      <w:tr>
        <w:trPr>
          <w:trHeight w:val="182"/>
        </w:trPr>
        <w:tc>
          <w:tcPr>
            <w:tcW w:w="6380" w:type="dxa"/>
            <w:vAlign w:val="bottom"/>
            <w:tcBorders>
              <w:bottom w:val="single" w:sz="8" w:color="868686"/>
            </w:tcBorders>
          </w:tcPr>
          <w:p>
            <w:pPr>
              <w:ind w:left="20"/>
              <w:spacing w:after="0"/>
              <w:rPr>
                <w:sz w:val="20"/>
                <w:szCs w:val="20"/>
                <w:color w:val="auto"/>
              </w:rPr>
            </w:pPr>
            <w:r>
              <w:rPr>
                <w:rFonts w:ascii="Arial" w:cs="Arial" w:eastAsia="Arial" w:hAnsi="Arial"/>
                <w:sz w:val="14"/>
                <w:szCs w:val="14"/>
                <w:b w:val="1"/>
                <w:bCs w:val="1"/>
                <w:color w:val="003478"/>
              </w:rPr>
              <w:t>Thomas J. Falk</w:t>
            </w:r>
          </w:p>
        </w:tc>
        <w:tc>
          <w:tcPr>
            <w:tcW w:w="1360" w:type="dxa"/>
            <w:vAlign w:val="bottom"/>
            <w:tcBorders>
              <w:bottom w:val="single" w:sz="8" w:color="868686"/>
            </w:tcBorders>
            <w:shd w:val="clear" w:color="auto" w:fill="E4E6EF"/>
          </w:tcPr>
          <w:p>
            <w:pPr>
              <w:jc w:val="right"/>
              <w:spacing w:after="0"/>
              <w:rPr>
                <w:sz w:val="20"/>
                <w:szCs w:val="20"/>
                <w:color w:val="auto"/>
              </w:rPr>
            </w:pPr>
            <w:r>
              <w:rPr>
                <w:rFonts w:ascii="Arial" w:cs="Arial" w:eastAsia="Arial" w:hAnsi="Arial"/>
                <w:sz w:val="14"/>
                <w:szCs w:val="14"/>
                <w:color w:val="auto"/>
              </w:rPr>
              <w:t>192,500</w:t>
            </w:r>
          </w:p>
        </w:tc>
        <w:tc>
          <w:tcPr>
            <w:tcW w:w="1160" w:type="dxa"/>
            <w:vAlign w:val="bottom"/>
            <w:tcBorders>
              <w:bottom w:val="single" w:sz="8" w:color="868686"/>
            </w:tcBorders>
            <w:shd w:val="clear" w:color="auto" w:fill="E4E6EF"/>
          </w:tcPr>
          <w:p>
            <w:pPr>
              <w:jc w:val="right"/>
              <w:spacing w:after="0"/>
              <w:rPr>
                <w:sz w:val="20"/>
                <w:szCs w:val="20"/>
                <w:color w:val="auto"/>
              </w:rPr>
            </w:pPr>
            <w:r>
              <w:rPr>
                <w:rFonts w:ascii="Arial" w:cs="Arial" w:eastAsia="Arial" w:hAnsi="Arial"/>
                <w:sz w:val="14"/>
                <w:szCs w:val="14"/>
                <w:color w:val="auto"/>
              </w:rPr>
              <w:t>162,500</w:t>
            </w:r>
          </w:p>
        </w:tc>
        <w:tc>
          <w:tcPr>
            <w:tcW w:w="1500" w:type="dxa"/>
            <w:vAlign w:val="bottom"/>
            <w:tcBorders>
              <w:bottom w:val="single" w:sz="8" w:color="868686"/>
            </w:tcBorders>
            <w:shd w:val="clear" w:color="auto" w:fill="E4E6EF"/>
          </w:tcPr>
          <w:p>
            <w:pPr>
              <w:jc w:val="right"/>
              <w:ind w:right="191"/>
              <w:spacing w:after="0"/>
              <w:rPr>
                <w:sz w:val="20"/>
                <w:szCs w:val="20"/>
                <w:color w:val="auto"/>
              </w:rPr>
            </w:pPr>
            <w:r>
              <w:rPr>
                <w:rFonts w:ascii="Arial" w:cs="Arial" w:eastAsia="Arial" w:hAnsi="Arial"/>
                <w:sz w:val="14"/>
                <w:szCs w:val="14"/>
                <w:color w:val="auto"/>
              </w:rPr>
              <w:t>10,059</w:t>
            </w:r>
          </w:p>
        </w:tc>
        <w:tc>
          <w:tcPr>
            <w:tcW w:w="840" w:type="dxa"/>
            <w:vAlign w:val="bottom"/>
            <w:tcBorders>
              <w:bottom w:val="single" w:sz="8" w:color="868686"/>
            </w:tcBorders>
            <w:shd w:val="clear" w:color="auto" w:fill="E4E6EF"/>
          </w:tcPr>
          <w:p>
            <w:pPr>
              <w:jc w:val="right"/>
              <w:spacing w:after="0"/>
              <w:rPr>
                <w:sz w:val="20"/>
                <w:szCs w:val="20"/>
                <w:color w:val="auto"/>
              </w:rPr>
            </w:pPr>
            <w:r>
              <w:rPr>
                <w:rFonts w:ascii="Arial" w:cs="Arial" w:eastAsia="Arial" w:hAnsi="Arial"/>
                <w:sz w:val="14"/>
                <w:szCs w:val="14"/>
                <w:color w:val="auto"/>
              </w:rPr>
              <w:t>365,059</w:t>
            </w:r>
          </w:p>
        </w:tc>
      </w:tr>
      <w:tr>
        <w:trPr>
          <w:trHeight w:val="182"/>
        </w:trPr>
        <w:tc>
          <w:tcPr>
            <w:tcW w:w="6380" w:type="dxa"/>
            <w:vAlign w:val="bottom"/>
            <w:tcBorders>
              <w:bottom w:val="single" w:sz="8" w:color="868686"/>
            </w:tcBorders>
          </w:tcPr>
          <w:p>
            <w:pPr>
              <w:ind w:left="20"/>
              <w:spacing w:after="0"/>
              <w:rPr>
                <w:sz w:val="20"/>
                <w:szCs w:val="20"/>
                <w:color w:val="auto"/>
              </w:rPr>
            </w:pPr>
            <w:r>
              <w:rPr>
                <w:rFonts w:ascii="Arial" w:cs="Arial" w:eastAsia="Arial" w:hAnsi="Arial"/>
                <w:sz w:val="14"/>
                <w:szCs w:val="14"/>
                <w:b w:val="1"/>
                <w:bCs w:val="1"/>
                <w:color w:val="003478"/>
              </w:rPr>
              <w:t>Ilene S. Gordon</w:t>
            </w:r>
          </w:p>
        </w:tc>
        <w:tc>
          <w:tcPr>
            <w:tcW w:w="136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192,500</w:t>
            </w:r>
          </w:p>
        </w:tc>
        <w:tc>
          <w:tcPr>
            <w:tcW w:w="116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162,500</w:t>
            </w:r>
          </w:p>
        </w:tc>
        <w:tc>
          <w:tcPr>
            <w:tcW w:w="1500" w:type="dxa"/>
            <w:vAlign w:val="bottom"/>
            <w:tcBorders>
              <w:bottom w:val="single" w:sz="8" w:color="868686"/>
            </w:tcBorders>
          </w:tcPr>
          <w:p>
            <w:pPr>
              <w:jc w:val="right"/>
              <w:ind w:right="191"/>
              <w:spacing w:after="0"/>
              <w:rPr>
                <w:sz w:val="20"/>
                <w:szCs w:val="20"/>
                <w:color w:val="auto"/>
              </w:rPr>
            </w:pPr>
            <w:r>
              <w:rPr>
                <w:rFonts w:ascii="Arial" w:cs="Arial" w:eastAsia="Arial" w:hAnsi="Arial"/>
                <w:sz w:val="14"/>
                <w:szCs w:val="14"/>
                <w:color w:val="auto"/>
              </w:rPr>
              <w:t>12,000</w:t>
            </w:r>
          </w:p>
        </w:tc>
        <w:tc>
          <w:tcPr>
            <w:tcW w:w="84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367,000</w:t>
            </w:r>
          </w:p>
        </w:tc>
      </w:tr>
      <w:tr>
        <w:trPr>
          <w:trHeight w:val="182"/>
        </w:trPr>
        <w:tc>
          <w:tcPr>
            <w:tcW w:w="6380" w:type="dxa"/>
            <w:vAlign w:val="bottom"/>
            <w:tcBorders>
              <w:bottom w:val="single" w:sz="8" w:color="868686"/>
            </w:tcBorders>
          </w:tcPr>
          <w:p>
            <w:pPr>
              <w:ind w:left="20"/>
              <w:spacing w:after="0"/>
              <w:rPr>
                <w:sz w:val="20"/>
                <w:szCs w:val="20"/>
                <w:color w:val="auto"/>
              </w:rPr>
            </w:pPr>
            <w:r>
              <w:rPr>
                <w:rFonts w:ascii="Arial" w:cs="Arial" w:eastAsia="Arial" w:hAnsi="Arial"/>
                <w:sz w:val="14"/>
                <w:szCs w:val="14"/>
                <w:b w:val="1"/>
                <w:bCs w:val="1"/>
                <w:color w:val="003478"/>
              </w:rPr>
              <w:t>Vicki A. Hollub</w:t>
            </w:r>
          </w:p>
        </w:tc>
        <w:tc>
          <w:tcPr>
            <w:tcW w:w="1360" w:type="dxa"/>
            <w:vAlign w:val="bottom"/>
            <w:tcBorders>
              <w:bottom w:val="single" w:sz="8" w:color="868686"/>
            </w:tcBorders>
            <w:shd w:val="clear" w:color="auto" w:fill="E4E6EF"/>
          </w:tcPr>
          <w:p>
            <w:pPr>
              <w:jc w:val="right"/>
              <w:spacing w:after="0"/>
              <w:rPr>
                <w:sz w:val="20"/>
                <w:szCs w:val="20"/>
                <w:color w:val="auto"/>
              </w:rPr>
            </w:pPr>
            <w:r>
              <w:rPr>
                <w:rFonts w:ascii="Arial" w:cs="Arial" w:eastAsia="Arial" w:hAnsi="Arial"/>
                <w:sz w:val="14"/>
                <w:szCs w:val="14"/>
                <w:color w:val="auto"/>
              </w:rPr>
              <w:t>162,500</w:t>
            </w:r>
          </w:p>
        </w:tc>
        <w:tc>
          <w:tcPr>
            <w:tcW w:w="1160" w:type="dxa"/>
            <w:vAlign w:val="bottom"/>
            <w:tcBorders>
              <w:bottom w:val="single" w:sz="8" w:color="868686"/>
            </w:tcBorders>
            <w:shd w:val="clear" w:color="auto" w:fill="E4E6EF"/>
          </w:tcPr>
          <w:p>
            <w:pPr>
              <w:jc w:val="right"/>
              <w:spacing w:after="0"/>
              <w:rPr>
                <w:sz w:val="20"/>
                <w:szCs w:val="20"/>
                <w:color w:val="auto"/>
              </w:rPr>
            </w:pPr>
            <w:r>
              <w:rPr>
                <w:rFonts w:ascii="Arial" w:cs="Arial" w:eastAsia="Arial" w:hAnsi="Arial"/>
                <w:sz w:val="14"/>
                <w:szCs w:val="14"/>
                <w:color w:val="auto"/>
              </w:rPr>
              <w:t>162,500</w:t>
            </w:r>
          </w:p>
        </w:tc>
        <w:tc>
          <w:tcPr>
            <w:tcW w:w="1500" w:type="dxa"/>
            <w:vAlign w:val="bottom"/>
            <w:tcBorders>
              <w:bottom w:val="single" w:sz="8" w:color="868686"/>
            </w:tcBorders>
            <w:shd w:val="clear" w:color="auto" w:fill="E4E6EF"/>
          </w:tcPr>
          <w:p>
            <w:pPr>
              <w:jc w:val="right"/>
              <w:ind w:right="19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868686"/>
            </w:tcBorders>
            <w:shd w:val="clear" w:color="auto" w:fill="E4E6EF"/>
          </w:tcPr>
          <w:p>
            <w:pPr>
              <w:jc w:val="right"/>
              <w:spacing w:after="0"/>
              <w:rPr>
                <w:sz w:val="20"/>
                <w:szCs w:val="20"/>
                <w:color w:val="auto"/>
              </w:rPr>
            </w:pPr>
            <w:r>
              <w:rPr>
                <w:rFonts w:ascii="Arial" w:cs="Arial" w:eastAsia="Arial" w:hAnsi="Arial"/>
                <w:sz w:val="14"/>
                <w:szCs w:val="14"/>
                <w:color w:val="auto"/>
              </w:rPr>
              <w:t>325,000</w:t>
            </w:r>
          </w:p>
        </w:tc>
      </w:tr>
      <w:tr>
        <w:trPr>
          <w:trHeight w:val="182"/>
        </w:trPr>
        <w:tc>
          <w:tcPr>
            <w:tcW w:w="6380" w:type="dxa"/>
            <w:vAlign w:val="bottom"/>
            <w:tcBorders>
              <w:bottom w:val="single" w:sz="8" w:color="868686"/>
            </w:tcBorders>
          </w:tcPr>
          <w:p>
            <w:pPr>
              <w:ind w:left="20"/>
              <w:spacing w:after="0"/>
              <w:rPr>
                <w:sz w:val="20"/>
                <w:szCs w:val="20"/>
                <w:color w:val="auto"/>
              </w:rPr>
            </w:pPr>
            <w:r>
              <w:rPr>
                <w:rFonts w:ascii="Arial" w:cs="Arial" w:eastAsia="Arial" w:hAnsi="Arial"/>
                <w:sz w:val="14"/>
                <w:szCs w:val="14"/>
                <w:b w:val="1"/>
                <w:bCs w:val="1"/>
                <w:color w:val="003478"/>
              </w:rPr>
              <w:t>Jeh C. Johnson</w:t>
            </w:r>
          </w:p>
        </w:tc>
        <w:tc>
          <w:tcPr>
            <w:tcW w:w="136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162,500</w:t>
            </w:r>
          </w:p>
        </w:tc>
        <w:tc>
          <w:tcPr>
            <w:tcW w:w="116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162,500</w:t>
            </w:r>
          </w:p>
        </w:tc>
        <w:tc>
          <w:tcPr>
            <w:tcW w:w="1500" w:type="dxa"/>
            <w:vAlign w:val="bottom"/>
            <w:tcBorders>
              <w:bottom w:val="single" w:sz="8" w:color="868686"/>
            </w:tcBorders>
          </w:tcPr>
          <w:p>
            <w:pPr>
              <w:jc w:val="right"/>
              <w:ind w:right="19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868686"/>
            </w:tcBorders>
          </w:tcPr>
          <w:p>
            <w:pPr>
              <w:jc w:val="right"/>
              <w:spacing w:after="0"/>
              <w:rPr>
                <w:sz w:val="20"/>
                <w:szCs w:val="20"/>
                <w:color w:val="auto"/>
              </w:rPr>
            </w:pPr>
            <w:r>
              <w:rPr>
                <w:rFonts w:ascii="Arial" w:cs="Arial" w:eastAsia="Arial" w:hAnsi="Arial"/>
                <w:sz w:val="14"/>
                <w:szCs w:val="14"/>
                <w:color w:val="auto"/>
              </w:rPr>
              <w:t>325,000</w:t>
            </w:r>
          </w:p>
        </w:tc>
      </w:tr>
      <w:tr>
        <w:trPr>
          <w:trHeight w:val="182"/>
        </w:trPr>
        <w:tc>
          <w:tcPr>
            <w:tcW w:w="638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3478"/>
              </w:rPr>
              <w:t>Debra L. Reed-Klages</w:t>
            </w:r>
          </w:p>
        </w:tc>
        <w:tc>
          <w:tcPr>
            <w:tcW w:w="136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162,500</w:t>
            </w:r>
          </w:p>
        </w:tc>
        <w:tc>
          <w:tcPr>
            <w:tcW w:w="116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162,500</w:t>
            </w:r>
          </w:p>
        </w:tc>
        <w:tc>
          <w:tcPr>
            <w:tcW w:w="1500" w:type="dxa"/>
            <w:vAlign w:val="bottom"/>
            <w:tcBorders>
              <w:bottom w:val="single" w:sz="8" w:color="939598"/>
            </w:tcBorders>
            <w:shd w:val="clear" w:color="auto" w:fill="E4E6EF"/>
          </w:tcPr>
          <w:p>
            <w:pPr>
              <w:jc w:val="right"/>
              <w:ind w:right="19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39598"/>
            </w:tcBorders>
            <w:shd w:val="clear" w:color="auto" w:fill="E4E6EF"/>
          </w:tcPr>
          <w:p>
            <w:pPr>
              <w:jc w:val="right"/>
              <w:spacing w:after="0"/>
              <w:rPr>
                <w:sz w:val="20"/>
                <w:szCs w:val="20"/>
                <w:color w:val="auto"/>
              </w:rPr>
            </w:pPr>
            <w:r>
              <w:rPr>
                <w:rFonts w:ascii="Arial" w:cs="Arial" w:eastAsia="Arial" w:hAnsi="Arial"/>
                <w:sz w:val="14"/>
                <w:szCs w:val="14"/>
                <w:color w:val="auto"/>
              </w:rPr>
              <w:t>325,000</w:t>
            </w:r>
          </w:p>
        </w:tc>
      </w:tr>
      <w:tr>
        <w:trPr>
          <w:trHeight w:val="182"/>
        </w:trPr>
        <w:tc>
          <w:tcPr>
            <w:tcW w:w="638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3478"/>
              </w:rPr>
              <w:t>Patricia E. Yarrington</w:t>
            </w:r>
          </w:p>
        </w:tc>
        <w:tc>
          <w:tcPr>
            <w:tcW w:w="1360" w:type="dxa"/>
            <w:vAlign w:val="bottom"/>
            <w:tcBorders>
              <w:bottom w:val="single" w:sz="8" w:color="929292"/>
            </w:tcBorders>
          </w:tcPr>
          <w:p>
            <w:pPr>
              <w:jc w:val="right"/>
              <w:ind w:right="11"/>
              <w:spacing w:after="0"/>
              <w:rPr>
                <w:sz w:val="20"/>
                <w:szCs w:val="20"/>
                <w:color w:val="auto"/>
              </w:rPr>
            </w:pPr>
            <w:r>
              <w:rPr>
                <w:rFonts w:ascii="Arial" w:cs="Arial" w:eastAsia="Arial" w:hAnsi="Arial"/>
                <w:sz w:val="14"/>
                <w:szCs w:val="14"/>
                <w:color w:val="auto"/>
              </w:rPr>
              <w:t>94,792</w:t>
            </w:r>
          </w:p>
        </w:tc>
        <w:tc>
          <w:tcPr>
            <w:tcW w:w="116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94,792</w:t>
            </w:r>
          </w:p>
        </w:tc>
        <w:tc>
          <w:tcPr>
            <w:tcW w:w="1500" w:type="dxa"/>
            <w:vAlign w:val="bottom"/>
            <w:tcBorders>
              <w:bottom w:val="single" w:sz="8" w:color="929292"/>
            </w:tcBorders>
          </w:tcPr>
          <w:p>
            <w:pPr>
              <w:jc w:val="right"/>
              <w:ind w:right="19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189,584</w:t>
            </w:r>
          </w:p>
        </w:tc>
      </w:tr>
    </w:tbl>
    <w:p>
      <w:pPr>
        <w:spacing w:after="0" w:line="153" w:lineRule="exact"/>
        <w:rPr>
          <w:sz w:val="20"/>
          <w:szCs w:val="20"/>
          <w:color w:val="auto"/>
        </w:rPr>
      </w:pPr>
    </w:p>
    <w:p>
      <w:pPr>
        <w:ind w:left="220" w:hanging="213"/>
        <w:spacing w:after="0"/>
        <w:tabs>
          <w:tab w:leader="none" w:pos="22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Mr. Donovan and Ms. Yarrington joined the Board effective October 21, 2021 and June 1, 2021, respectively.</w:t>
      </w:r>
    </w:p>
    <w:p>
      <w:pPr>
        <w:spacing w:after="0" w:line="211" w:lineRule="exact"/>
        <w:rPr>
          <w:sz w:val="20"/>
          <w:szCs w:val="20"/>
          <w:color w:val="auto"/>
        </w:rPr>
      </w:pPr>
    </w:p>
    <w:p>
      <w:pPr>
        <w:ind w:left="240" w:right="360" w:hanging="233"/>
        <w:spacing w:after="0" w:line="230" w:lineRule="auto"/>
        <w:tabs>
          <w:tab w:leader="none" w:pos="215" w:val="left"/>
        </w:tabs>
        <w:numPr>
          <w:ilvl w:val="0"/>
          <w:numId w:val="113"/>
        </w:numPr>
        <w:rPr>
          <w:rFonts w:ascii="Arial" w:cs="Arial" w:eastAsia="Arial" w:hAnsi="Arial"/>
          <w:sz w:val="19"/>
          <w:szCs w:val="19"/>
          <w:color w:val="auto"/>
          <w:vertAlign w:val="superscript"/>
        </w:rPr>
      </w:pPr>
      <w:r>
        <w:rPr>
          <w:rFonts w:ascii="Arial" w:cs="Arial" w:eastAsia="Arial" w:hAnsi="Arial"/>
          <w:sz w:val="14"/>
          <w:szCs w:val="14"/>
          <w:color w:val="auto"/>
        </w:rPr>
        <w:t xml:space="preserve">The amounts reported in the </w:t>
      </w:r>
      <w:r>
        <w:rPr>
          <w:rFonts w:ascii="Arial" w:cs="Arial" w:eastAsia="Arial" w:hAnsi="Arial"/>
          <w:sz w:val="14"/>
          <w:szCs w:val="14"/>
          <w:b w:val="1"/>
          <w:bCs w:val="1"/>
          <w:color w:val="auto"/>
        </w:rPr>
        <w:t>Fees Earned or Paid in Cash</w:t>
      </w:r>
      <w:r>
        <w:rPr>
          <w:rFonts w:ascii="Arial" w:cs="Arial" w:eastAsia="Arial" w:hAnsi="Arial"/>
          <w:sz w:val="14"/>
          <w:szCs w:val="14"/>
          <w:color w:val="auto"/>
        </w:rPr>
        <w:t xml:space="preserve"> column represent the aggregate dollar amount of 2021 fees earned or paid in cash for services as a director, including annual retainer, committee chairman retainer and independent Lead Director retainer.</w:t>
      </w:r>
    </w:p>
    <w:p>
      <w:pPr>
        <w:spacing w:after="0" w:line="39" w:lineRule="exact"/>
        <w:rPr>
          <w:rFonts w:ascii="Arial" w:cs="Arial" w:eastAsia="Arial" w:hAnsi="Arial"/>
          <w:sz w:val="19"/>
          <w:szCs w:val="19"/>
          <w:color w:val="auto"/>
          <w:vertAlign w:val="superscript"/>
        </w:rPr>
      </w:pPr>
    </w:p>
    <w:p>
      <w:pPr>
        <w:ind w:left="240" w:right="80" w:hanging="233"/>
        <w:spacing w:after="0" w:line="251" w:lineRule="auto"/>
        <w:tabs>
          <w:tab w:leader="none" w:pos="215" w:val="left"/>
        </w:tabs>
        <w:numPr>
          <w:ilvl w:val="0"/>
          <w:numId w:val="113"/>
        </w:numPr>
        <w:rPr>
          <w:rFonts w:ascii="Arial" w:cs="Arial" w:eastAsia="Arial" w:hAnsi="Arial"/>
          <w:sz w:val="19"/>
          <w:szCs w:val="19"/>
          <w:color w:val="auto"/>
          <w:vertAlign w:val="superscript"/>
        </w:rPr>
      </w:pPr>
      <w:r>
        <w:rPr>
          <w:rFonts w:ascii="Arial" w:cs="Arial" w:eastAsia="Arial" w:hAnsi="Arial"/>
          <w:sz w:val="14"/>
          <w:szCs w:val="14"/>
          <w:color w:val="auto"/>
        </w:rPr>
        <w:t xml:space="preserve">The amounts reported in the </w:t>
      </w:r>
      <w:r>
        <w:rPr>
          <w:rFonts w:ascii="Arial" w:cs="Arial" w:eastAsia="Arial" w:hAnsi="Arial"/>
          <w:sz w:val="14"/>
          <w:szCs w:val="14"/>
          <w:b w:val="1"/>
          <w:bCs w:val="1"/>
          <w:color w:val="auto"/>
        </w:rPr>
        <w:t>Stock Awards</w:t>
      </w:r>
      <w:r>
        <w:rPr>
          <w:rFonts w:ascii="Arial" w:cs="Arial" w:eastAsia="Arial" w:hAnsi="Arial"/>
          <w:sz w:val="14"/>
          <w:szCs w:val="14"/>
          <w:color w:val="auto"/>
        </w:rPr>
        <w:t xml:space="preserve"> column represent the aggregate grant date fair value computed in accordance with ASC 718 for awards of stock units in 2021 under the Directors Equity Plan. For 2021, each of Mr. Akerson, Mr. Burritt, Mr. Carlson, Mr. Dunford, Mr. Ellis, Mr. Falk, Ms. Gordon, Ms. Hollub, Mr. Johnson and Ms. Reed-Klages was credited with 501.4968 stock units with an aggregate grant date fair value of $162,500. The grant date fair value of these awards was the closing price of our stock ($324.03) on the date of the grant (February 1, 2021). Ms. Yarrington was credited with 249.3074 stock units with an aggregate grant date fair value of $94,792. The grant date fair value for her award was $380.22 per share on the date of grant (July 1, 2021). Mr. Donovan was credited with 81.8401 stock units with an aggregate grant date fair value of $27,083. The grant date fair value of his award was $330.93 per share on the date of the grant (November 1, 2021).</w:t>
      </w:r>
    </w:p>
    <w:p>
      <w:pPr>
        <w:spacing w:after="0" w:line="31" w:lineRule="exact"/>
        <w:rPr>
          <w:rFonts w:ascii="Arial" w:cs="Arial" w:eastAsia="Arial" w:hAnsi="Arial"/>
          <w:sz w:val="19"/>
          <w:szCs w:val="19"/>
          <w:color w:val="auto"/>
          <w:vertAlign w:val="superscript"/>
        </w:rPr>
      </w:pPr>
    </w:p>
    <w:p>
      <w:pPr>
        <w:ind w:left="240" w:right="140" w:hanging="233"/>
        <w:spacing w:after="0" w:line="245" w:lineRule="auto"/>
        <w:tabs>
          <w:tab w:leader="none" w:pos="215" w:val="left"/>
        </w:tabs>
        <w:numPr>
          <w:ilvl w:val="0"/>
          <w:numId w:val="113"/>
        </w:numPr>
        <w:rPr>
          <w:rFonts w:ascii="Arial" w:cs="Arial" w:eastAsia="Arial" w:hAnsi="Arial"/>
          <w:sz w:val="19"/>
          <w:szCs w:val="19"/>
          <w:color w:val="auto"/>
          <w:vertAlign w:val="superscript"/>
        </w:rPr>
      </w:pPr>
      <w:r>
        <w:rPr>
          <w:rFonts w:ascii="Arial" w:cs="Arial" w:eastAsia="Arial" w:hAnsi="Arial"/>
          <w:sz w:val="14"/>
          <w:szCs w:val="14"/>
          <w:color w:val="auto"/>
        </w:rPr>
        <w:t xml:space="preserve">The </w:t>
      </w:r>
      <w:r>
        <w:rPr>
          <w:rFonts w:ascii="Arial" w:cs="Arial" w:eastAsia="Arial" w:hAnsi="Arial"/>
          <w:sz w:val="14"/>
          <w:szCs w:val="14"/>
          <w:b w:val="1"/>
          <w:bCs w:val="1"/>
          <w:color w:val="auto"/>
        </w:rPr>
        <w:t>All Other Compensation</w:t>
      </w:r>
      <w:r>
        <w:rPr>
          <w:rFonts w:ascii="Arial" w:cs="Arial" w:eastAsia="Arial" w:hAnsi="Arial"/>
          <w:sz w:val="14"/>
          <w:szCs w:val="14"/>
          <w:color w:val="auto"/>
        </w:rPr>
        <w:t xml:space="preserve"> column includes matching contributions made to eligible universities, colleges, and other non-profit organizations under the Company’s matching gift programs that are generally available to all employees as follows: Mr. Burritt $10,000; Mr. Ellis $1,000; Mr. Falk $10,000; and Ms. Gordon $12,000. In the case of Mr. Carlson and Mr. Falk, the All Other Compensation column also includes $59 of tax assistance for tickets for a business-related event. Perquisites and other personal benefits provided to directors did not exceed $10,000 for any individual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236220</wp:posOffset>
            </wp:positionV>
            <wp:extent cx="963930" cy="2216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71</w:t>
      </w:r>
    </w:p>
    <w:p>
      <w:pPr>
        <w:sectPr>
          <w:pgSz w:w="11900" w:h="16838" w:orient="portrait"/>
          <w:cols w:equalWidth="0" w:num="1">
            <w:col w:w="11240"/>
          </w:cols>
          <w:pgMar w:left="320" w:top="254" w:right="339" w:bottom="1440" w:gutter="0" w:footer="0" w:header="0"/>
        </w:sectPr>
      </w:pPr>
    </w:p>
    <w:bookmarkStart w:id="77" w:name="page78"/>
    <w:bookmarkEnd w:id="77"/>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59" w:lineRule="auto"/>
        <w:rPr>
          <w:sz w:val="20"/>
          <w:szCs w:val="20"/>
          <w:color w:val="auto"/>
        </w:rPr>
      </w:pPr>
      <w:r>
        <w:rPr>
          <w:rFonts w:ascii="Arial" w:cs="Arial" w:eastAsia="Arial" w:hAnsi="Arial"/>
          <w:sz w:val="43"/>
          <w:szCs w:val="43"/>
          <w:color w:val="003478"/>
        </w:rPr>
        <w:t>Security Ownership of Management and Certain Beneficial Owners</w:t>
      </w:r>
    </w:p>
    <w:p>
      <w:pPr>
        <w:spacing w:after="0" w:line="153" w:lineRule="exact"/>
        <w:rPr>
          <w:sz w:val="20"/>
          <w:szCs w:val="20"/>
          <w:color w:val="auto"/>
        </w:rPr>
      </w:pPr>
    </w:p>
    <w:p>
      <w:pPr>
        <w:spacing w:after="0"/>
        <w:rPr>
          <w:sz w:val="20"/>
          <w:szCs w:val="20"/>
          <w:color w:val="auto"/>
        </w:rPr>
      </w:pPr>
      <w:r>
        <w:rPr>
          <w:rFonts w:ascii="Arial" w:cs="Arial" w:eastAsia="Arial" w:hAnsi="Arial"/>
          <w:sz w:val="29"/>
          <w:szCs w:val="29"/>
          <w:color w:val="003478"/>
        </w:rPr>
        <w:t>Directors and Executive Officers</w:t>
      </w:r>
    </w:p>
    <w:p>
      <w:pPr>
        <w:spacing w:after="0" w:line="12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The following table shows Lockheed Martin common stock beneficially owned by and stock units credited to each NEO, director, nominee and all NEOs, directors, nominees and other executive officers as a group as of February 25, 2022. Except as otherwise noted, the named individuals have sole voting and investment power with respect to such securities. No director, nominee or NEO, individually or as a group, beneficially owned more than one percent of our outstanding common stock. All amounts are rounded to the nearest whole share. No shares have been pledged. The address of each director, nominee and executive officer is c/o Lockheed Martin Corporation, 6801 Rockledge Drive, Bethesda, MD 20817.</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420" w:type="dxa"/>
            <w:vAlign w:val="bottom"/>
            <w:tcBorders>
              <w:bottom w:val="single" w:sz="8" w:color="003478"/>
            </w:tcBorders>
            <w:shd w:val="clear" w:color="auto" w:fill="E5E7EF"/>
          </w:tcPr>
          <w:p>
            <w:pPr>
              <w:ind w:left="20"/>
              <w:spacing w:after="0"/>
              <w:rPr>
                <w:sz w:val="20"/>
                <w:szCs w:val="20"/>
                <w:color w:val="auto"/>
              </w:rPr>
            </w:pPr>
            <w:r>
              <w:rPr>
                <w:rFonts w:ascii="Arial" w:cs="Arial" w:eastAsia="Arial" w:hAnsi="Arial"/>
                <w:sz w:val="13"/>
                <w:szCs w:val="13"/>
                <w:color w:val="auto"/>
              </w:rPr>
              <w:t>Name</w:t>
            </w:r>
          </w:p>
        </w:tc>
        <w:tc>
          <w:tcPr>
            <w:tcW w:w="1580" w:type="dxa"/>
            <w:vAlign w:val="bottom"/>
            <w:tcBorders>
              <w:bottom w:val="single" w:sz="8" w:color="003478"/>
            </w:tcBorders>
            <w:gridSpan w:val="2"/>
            <w:shd w:val="clear" w:color="auto" w:fill="E5E7EF"/>
          </w:tcPr>
          <w:p>
            <w:pPr>
              <w:jc w:val="right"/>
              <w:ind w:right="66"/>
              <w:spacing w:after="0"/>
              <w:rPr>
                <w:sz w:val="20"/>
                <w:szCs w:val="20"/>
                <w:color w:val="auto"/>
              </w:rPr>
            </w:pPr>
            <w:r>
              <w:rPr>
                <w:rFonts w:ascii="Arial" w:cs="Arial" w:eastAsia="Arial" w:hAnsi="Arial"/>
                <w:sz w:val="13"/>
                <w:szCs w:val="13"/>
                <w:color w:val="auto"/>
              </w:rPr>
              <w:t xml:space="preserve">Common Stock </w:t>
            </w:r>
            <w:r>
              <w:rPr>
                <w:rFonts w:ascii="Arial" w:cs="Arial" w:eastAsia="Arial" w:hAnsi="Arial"/>
                <w:sz w:val="8"/>
                <w:szCs w:val="8"/>
                <w:color w:val="auto"/>
              </w:rPr>
              <w:t>(1) (2)</w:t>
            </w:r>
          </w:p>
        </w:tc>
        <w:tc>
          <w:tcPr>
            <w:tcW w:w="880" w:type="dxa"/>
            <w:vAlign w:val="bottom"/>
            <w:tcBorders>
              <w:bottom w:val="single" w:sz="8" w:color="003478"/>
            </w:tcBorders>
            <w:shd w:val="clear" w:color="auto" w:fill="E5E7EF"/>
          </w:tcPr>
          <w:p>
            <w:pPr>
              <w:jc w:val="right"/>
              <w:spacing w:after="0"/>
              <w:rPr>
                <w:sz w:val="20"/>
                <w:szCs w:val="20"/>
                <w:color w:val="auto"/>
              </w:rPr>
            </w:pPr>
            <w:r>
              <w:rPr>
                <w:rFonts w:ascii="Arial" w:cs="Arial" w:eastAsia="Arial" w:hAnsi="Arial"/>
                <w:sz w:val="13"/>
                <w:szCs w:val="13"/>
                <w:color w:val="auto"/>
              </w:rPr>
              <w:t>Stock Units</w:t>
            </w:r>
            <w:r>
              <w:rPr>
                <w:rFonts w:ascii="Arial" w:cs="Arial" w:eastAsia="Arial" w:hAnsi="Arial"/>
                <w:sz w:val="16"/>
                <w:szCs w:val="16"/>
                <w:color w:val="auto"/>
                <w:vertAlign w:val="superscript"/>
              </w:rPr>
              <w:t>(3)</w:t>
            </w:r>
          </w:p>
        </w:tc>
        <w:tc>
          <w:tcPr>
            <w:tcW w:w="580" w:type="dxa"/>
            <w:vAlign w:val="bottom"/>
            <w:tcBorders>
              <w:bottom w:val="single" w:sz="8" w:color="003478"/>
            </w:tcBorders>
            <w:shd w:val="clear" w:color="auto" w:fill="E5E7EF"/>
          </w:tcPr>
          <w:p>
            <w:pPr>
              <w:spacing w:after="0"/>
              <w:rPr>
                <w:sz w:val="17"/>
                <w:szCs w:val="17"/>
                <w:color w:val="auto"/>
              </w:rPr>
            </w:pPr>
          </w:p>
        </w:tc>
        <w:tc>
          <w:tcPr>
            <w:tcW w:w="780" w:type="dxa"/>
            <w:vAlign w:val="bottom"/>
            <w:tcBorders>
              <w:bottom w:val="single" w:sz="8" w:color="003478"/>
            </w:tcBorders>
            <w:shd w:val="clear" w:color="auto" w:fill="E5E7EF"/>
          </w:tcPr>
          <w:p>
            <w:pPr>
              <w:jc w:val="right"/>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82"/>
        </w:trPr>
        <w:tc>
          <w:tcPr>
            <w:tcW w:w="7420" w:type="dxa"/>
            <w:vAlign w:val="bottom"/>
            <w:tcBorders>
              <w:bottom w:val="single" w:sz="8" w:color="9D9D9C"/>
            </w:tcBorders>
            <w:shd w:val="clear" w:color="auto" w:fill="E5E7EF"/>
          </w:tcPr>
          <w:p>
            <w:pPr>
              <w:ind w:left="20"/>
              <w:spacing w:after="0"/>
              <w:rPr>
                <w:sz w:val="20"/>
                <w:szCs w:val="20"/>
                <w:color w:val="auto"/>
              </w:rPr>
            </w:pPr>
            <w:r>
              <w:rPr>
                <w:rFonts w:ascii="Arial" w:cs="Arial" w:eastAsia="Arial" w:hAnsi="Arial"/>
                <w:sz w:val="14"/>
                <w:szCs w:val="14"/>
                <w:b w:val="1"/>
                <w:bCs w:val="1"/>
                <w:color w:val="003478"/>
              </w:rPr>
              <w:t>Daniel F. Akerson</w:t>
            </w:r>
          </w:p>
        </w:tc>
        <w:tc>
          <w:tcPr>
            <w:tcW w:w="1180" w:type="dxa"/>
            <w:vAlign w:val="bottom"/>
            <w:tcBorders>
              <w:bottom w:val="single" w:sz="8" w:color="9D9D9C"/>
            </w:tcBorders>
            <w:shd w:val="clear" w:color="auto" w:fill="E5E7EF"/>
          </w:tcPr>
          <w:p>
            <w:pPr>
              <w:jc w:val="right"/>
              <w:spacing w:after="0"/>
              <w:rPr>
                <w:sz w:val="20"/>
                <w:szCs w:val="20"/>
                <w:color w:val="auto"/>
              </w:rPr>
            </w:pPr>
            <w:r>
              <w:rPr>
                <w:rFonts w:ascii="Arial" w:cs="Arial" w:eastAsia="Arial" w:hAnsi="Arial"/>
                <w:sz w:val="14"/>
                <w:szCs w:val="14"/>
                <w:color w:val="auto"/>
              </w:rPr>
              <w:t>7,503</w:t>
            </w:r>
          </w:p>
        </w:tc>
        <w:tc>
          <w:tcPr>
            <w:tcW w:w="400" w:type="dxa"/>
            <w:vAlign w:val="bottom"/>
            <w:tcBorders>
              <w:bottom w:val="single" w:sz="8" w:color="9D9D9C"/>
            </w:tcBorders>
            <w:shd w:val="clear" w:color="auto" w:fill="E5E7EF"/>
          </w:tcPr>
          <w:p>
            <w:pPr>
              <w:jc w:val="right"/>
              <w:ind w:right="226"/>
              <w:spacing w:after="0"/>
              <w:rPr>
                <w:sz w:val="20"/>
                <w:szCs w:val="20"/>
                <w:color w:val="auto"/>
              </w:rPr>
            </w:pPr>
            <w:r>
              <w:rPr>
                <w:rFonts w:ascii="Arial" w:cs="Arial" w:eastAsia="Arial" w:hAnsi="Arial"/>
                <w:sz w:val="11"/>
                <w:szCs w:val="11"/>
                <w:color w:val="auto"/>
              </w:rPr>
              <w:t>4</w:t>
            </w:r>
          </w:p>
        </w:tc>
        <w:tc>
          <w:tcPr>
            <w:tcW w:w="880" w:type="dxa"/>
            <w:vAlign w:val="bottom"/>
            <w:tcBorders>
              <w:bottom w:val="single" w:sz="8" w:color="9D9D9C"/>
            </w:tcBorders>
            <w:shd w:val="clear" w:color="auto" w:fill="E5E7EF"/>
          </w:tcPr>
          <w:p>
            <w:pPr>
              <w:jc w:val="right"/>
              <w:ind w:right="9"/>
              <w:spacing w:after="0"/>
              <w:rPr>
                <w:sz w:val="20"/>
                <w:szCs w:val="20"/>
                <w:color w:val="auto"/>
              </w:rPr>
            </w:pPr>
            <w:r>
              <w:rPr>
                <w:rFonts w:ascii="Arial" w:cs="Arial" w:eastAsia="Arial" w:hAnsi="Arial"/>
                <w:sz w:val="14"/>
                <w:szCs w:val="14"/>
                <w:color w:val="auto"/>
              </w:rPr>
              <w:t>5,517</w:t>
            </w:r>
          </w:p>
        </w:tc>
        <w:tc>
          <w:tcPr>
            <w:tcW w:w="580" w:type="dxa"/>
            <w:vAlign w:val="bottom"/>
            <w:tcBorders>
              <w:bottom w:val="single" w:sz="8" w:color="9D9D9C"/>
            </w:tcBorders>
            <w:shd w:val="clear" w:color="auto" w:fill="E5E7EF"/>
          </w:tcPr>
          <w:p>
            <w:pPr>
              <w:spacing w:after="0"/>
              <w:rPr>
                <w:sz w:val="20"/>
                <w:szCs w:val="20"/>
                <w:color w:val="auto"/>
              </w:rPr>
            </w:pPr>
            <w:r>
              <w:rPr>
                <w:rFonts w:ascii="Arial" w:cs="Arial" w:eastAsia="Arial" w:hAnsi="Arial"/>
                <w:sz w:val="11"/>
                <w:szCs w:val="11"/>
                <w:color w:val="auto"/>
              </w:rPr>
              <w:t>7</w:t>
            </w:r>
          </w:p>
        </w:tc>
        <w:tc>
          <w:tcPr>
            <w:tcW w:w="780" w:type="dxa"/>
            <w:vAlign w:val="bottom"/>
            <w:tcBorders>
              <w:bottom w:val="single" w:sz="8" w:color="9D9D9C"/>
            </w:tcBorders>
            <w:shd w:val="clear" w:color="auto" w:fill="E5E7EF"/>
          </w:tcPr>
          <w:p>
            <w:pPr>
              <w:jc w:val="right"/>
              <w:spacing w:after="0"/>
              <w:rPr>
                <w:sz w:val="20"/>
                <w:szCs w:val="20"/>
                <w:color w:val="auto"/>
              </w:rPr>
            </w:pPr>
            <w:r>
              <w:rPr>
                <w:rFonts w:ascii="Arial" w:cs="Arial" w:eastAsia="Arial" w:hAnsi="Arial"/>
                <w:sz w:val="14"/>
                <w:szCs w:val="14"/>
                <w:color w:val="auto"/>
              </w:rPr>
              <w:t>13,020</w:t>
            </w:r>
          </w:p>
        </w:tc>
        <w:tc>
          <w:tcPr>
            <w:tcW w:w="0" w:type="dxa"/>
            <w:vAlign w:val="bottom"/>
          </w:tcPr>
          <w:p>
            <w:pPr>
              <w:spacing w:after="0"/>
              <w:rPr>
                <w:sz w:val="1"/>
                <w:szCs w:val="1"/>
                <w:color w:val="auto"/>
              </w:rPr>
            </w:pPr>
          </w:p>
        </w:tc>
      </w:tr>
      <w:tr>
        <w:trPr>
          <w:trHeight w:val="182"/>
        </w:trPr>
        <w:tc>
          <w:tcPr>
            <w:tcW w:w="7420" w:type="dxa"/>
            <w:vAlign w:val="bottom"/>
            <w:tcBorders>
              <w:bottom w:val="single" w:sz="8" w:color="9D9D9C"/>
            </w:tcBorders>
          </w:tcPr>
          <w:p>
            <w:pPr>
              <w:ind w:left="20"/>
              <w:spacing w:after="0"/>
              <w:rPr>
                <w:sz w:val="20"/>
                <w:szCs w:val="20"/>
                <w:color w:val="auto"/>
              </w:rPr>
            </w:pPr>
            <w:r>
              <w:rPr>
                <w:rFonts w:ascii="Arial" w:cs="Arial" w:eastAsia="Arial" w:hAnsi="Arial"/>
                <w:sz w:val="14"/>
                <w:szCs w:val="14"/>
                <w:b w:val="1"/>
                <w:bCs w:val="1"/>
                <w:color w:val="003478"/>
              </w:rPr>
              <w:t>Richard F. Ambrose</w:t>
            </w:r>
          </w:p>
        </w:tc>
        <w:tc>
          <w:tcPr>
            <w:tcW w:w="118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397</w:t>
            </w:r>
          </w:p>
        </w:tc>
        <w:tc>
          <w:tcPr>
            <w:tcW w:w="400" w:type="dxa"/>
            <w:vAlign w:val="bottom"/>
            <w:tcBorders>
              <w:bottom w:val="single" w:sz="8" w:color="9D9D9C"/>
            </w:tcBorders>
          </w:tcPr>
          <w:p>
            <w:pPr>
              <w:spacing w:after="0"/>
              <w:rPr>
                <w:sz w:val="15"/>
                <w:szCs w:val="15"/>
                <w:color w:val="auto"/>
              </w:rPr>
            </w:pPr>
          </w:p>
        </w:tc>
        <w:tc>
          <w:tcPr>
            <w:tcW w:w="880" w:type="dxa"/>
            <w:vAlign w:val="bottom"/>
            <w:tcBorders>
              <w:bottom w:val="single" w:sz="8" w:color="9D9D9C"/>
            </w:tcBorders>
          </w:tcPr>
          <w:p>
            <w:pPr>
              <w:jc w:val="right"/>
              <w:ind w:right="9"/>
              <w:spacing w:after="0"/>
              <w:rPr>
                <w:sz w:val="20"/>
                <w:szCs w:val="20"/>
                <w:color w:val="auto"/>
              </w:rPr>
            </w:pPr>
            <w:r>
              <w:rPr>
                <w:rFonts w:ascii="Arial" w:cs="Arial" w:eastAsia="Arial" w:hAnsi="Arial"/>
                <w:sz w:val="14"/>
                <w:szCs w:val="14"/>
                <w:color w:val="auto"/>
              </w:rPr>
              <w:t>22,276</w:t>
            </w:r>
          </w:p>
        </w:tc>
        <w:tc>
          <w:tcPr>
            <w:tcW w:w="580" w:type="dxa"/>
            <w:vAlign w:val="bottom"/>
            <w:tcBorders>
              <w:bottom w:val="single" w:sz="8" w:color="9D9D9C"/>
            </w:tcBorders>
          </w:tcPr>
          <w:p>
            <w:pPr>
              <w:spacing w:after="0"/>
              <w:rPr>
                <w:sz w:val="20"/>
                <w:szCs w:val="20"/>
                <w:color w:val="auto"/>
              </w:rPr>
            </w:pPr>
            <w:r>
              <w:rPr>
                <w:rFonts w:ascii="Arial" w:cs="Arial" w:eastAsia="Arial" w:hAnsi="Arial"/>
                <w:sz w:val="11"/>
                <w:szCs w:val="11"/>
                <w:color w:val="auto"/>
              </w:rPr>
              <w:t>9,10,11</w:t>
            </w:r>
          </w:p>
        </w:tc>
        <w:tc>
          <w:tcPr>
            <w:tcW w:w="78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22,673</w:t>
            </w:r>
          </w:p>
        </w:tc>
        <w:tc>
          <w:tcPr>
            <w:tcW w:w="0" w:type="dxa"/>
            <w:vAlign w:val="bottom"/>
          </w:tcPr>
          <w:p>
            <w:pPr>
              <w:spacing w:after="0"/>
              <w:rPr>
                <w:sz w:val="1"/>
                <w:szCs w:val="1"/>
                <w:color w:val="auto"/>
              </w:rPr>
            </w:pPr>
          </w:p>
        </w:tc>
      </w:tr>
      <w:tr>
        <w:trPr>
          <w:trHeight w:val="182"/>
        </w:trPr>
        <w:tc>
          <w:tcPr>
            <w:tcW w:w="7420" w:type="dxa"/>
            <w:vAlign w:val="bottom"/>
            <w:tcBorders>
              <w:bottom w:val="single" w:sz="8" w:color="9D9D9C"/>
            </w:tcBorders>
            <w:shd w:val="clear" w:color="auto" w:fill="E5E7EF"/>
          </w:tcPr>
          <w:p>
            <w:pPr>
              <w:ind w:left="20"/>
              <w:spacing w:after="0"/>
              <w:rPr>
                <w:sz w:val="20"/>
                <w:szCs w:val="20"/>
                <w:color w:val="auto"/>
              </w:rPr>
            </w:pPr>
            <w:r>
              <w:rPr>
                <w:rFonts w:ascii="Arial" w:cs="Arial" w:eastAsia="Arial" w:hAnsi="Arial"/>
                <w:sz w:val="14"/>
                <w:szCs w:val="14"/>
                <w:b w:val="1"/>
                <w:bCs w:val="1"/>
                <w:color w:val="003478"/>
              </w:rPr>
              <w:t>David B. Burritt</w:t>
            </w:r>
          </w:p>
        </w:tc>
        <w:tc>
          <w:tcPr>
            <w:tcW w:w="1180" w:type="dxa"/>
            <w:vAlign w:val="bottom"/>
            <w:tcBorders>
              <w:bottom w:val="single" w:sz="8" w:color="9D9D9C"/>
            </w:tcBorders>
            <w:shd w:val="clear" w:color="auto" w:fill="E5E7EF"/>
          </w:tcPr>
          <w:p>
            <w:pPr>
              <w:jc w:val="right"/>
              <w:spacing w:after="0"/>
              <w:rPr>
                <w:sz w:val="20"/>
                <w:szCs w:val="20"/>
                <w:color w:val="auto"/>
              </w:rPr>
            </w:pPr>
            <w:r>
              <w:rPr>
                <w:rFonts w:ascii="Arial" w:cs="Arial" w:eastAsia="Arial" w:hAnsi="Arial"/>
                <w:sz w:val="14"/>
                <w:szCs w:val="14"/>
                <w:color w:val="auto"/>
              </w:rPr>
              <w:t>6,527</w:t>
            </w:r>
          </w:p>
        </w:tc>
        <w:tc>
          <w:tcPr>
            <w:tcW w:w="400" w:type="dxa"/>
            <w:vAlign w:val="bottom"/>
            <w:tcBorders>
              <w:bottom w:val="single" w:sz="8" w:color="9D9D9C"/>
            </w:tcBorders>
            <w:shd w:val="clear" w:color="auto" w:fill="E5E7EF"/>
          </w:tcPr>
          <w:p>
            <w:pPr>
              <w:jc w:val="right"/>
              <w:ind w:right="226"/>
              <w:spacing w:after="0"/>
              <w:rPr>
                <w:sz w:val="20"/>
                <w:szCs w:val="20"/>
                <w:color w:val="auto"/>
              </w:rPr>
            </w:pPr>
            <w:r>
              <w:rPr>
                <w:rFonts w:ascii="Arial" w:cs="Arial" w:eastAsia="Arial" w:hAnsi="Arial"/>
                <w:sz w:val="11"/>
                <w:szCs w:val="11"/>
                <w:color w:val="auto"/>
              </w:rPr>
              <w:t>5</w:t>
            </w:r>
          </w:p>
        </w:tc>
        <w:tc>
          <w:tcPr>
            <w:tcW w:w="880" w:type="dxa"/>
            <w:vAlign w:val="bottom"/>
            <w:tcBorders>
              <w:bottom w:val="single" w:sz="8" w:color="9D9D9C"/>
            </w:tcBorders>
            <w:shd w:val="clear" w:color="auto" w:fill="E5E7EF"/>
          </w:tcPr>
          <w:p>
            <w:pPr>
              <w:jc w:val="right"/>
              <w:ind w:right="9"/>
              <w:spacing w:after="0"/>
              <w:rPr>
                <w:sz w:val="20"/>
                <w:szCs w:val="20"/>
                <w:color w:val="auto"/>
              </w:rPr>
            </w:pPr>
            <w:r>
              <w:rPr>
                <w:rFonts w:ascii="Arial" w:cs="Arial" w:eastAsia="Arial" w:hAnsi="Arial"/>
                <w:sz w:val="14"/>
                <w:szCs w:val="14"/>
                <w:color w:val="auto"/>
              </w:rPr>
              <w:t>19,399</w:t>
            </w:r>
          </w:p>
        </w:tc>
        <w:tc>
          <w:tcPr>
            <w:tcW w:w="580" w:type="dxa"/>
            <w:vAlign w:val="bottom"/>
            <w:tcBorders>
              <w:bottom w:val="single" w:sz="8" w:color="9D9D9C"/>
            </w:tcBorders>
            <w:shd w:val="clear" w:color="auto" w:fill="E5E7EF"/>
          </w:tcPr>
          <w:p>
            <w:pPr>
              <w:spacing w:after="0"/>
              <w:rPr>
                <w:sz w:val="20"/>
                <w:szCs w:val="20"/>
                <w:color w:val="auto"/>
              </w:rPr>
            </w:pPr>
            <w:r>
              <w:rPr>
                <w:rFonts w:ascii="Arial" w:cs="Arial" w:eastAsia="Arial" w:hAnsi="Arial"/>
                <w:sz w:val="11"/>
                <w:szCs w:val="11"/>
                <w:color w:val="auto"/>
              </w:rPr>
              <w:t>7,8</w:t>
            </w:r>
          </w:p>
        </w:tc>
        <w:tc>
          <w:tcPr>
            <w:tcW w:w="780" w:type="dxa"/>
            <w:vAlign w:val="bottom"/>
            <w:tcBorders>
              <w:bottom w:val="single" w:sz="8" w:color="9D9D9C"/>
            </w:tcBorders>
            <w:shd w:val="clear" w:color="auto" w:fill="E5E7EF"/>
          </w:tcPr>
          <w:p>
            <w:pPr>
              <w:jc w:val="right"/>
              <w:spacing w:after="0"/>
              <w:rPr>
                <w:sz w:val="20"/>
                <w:szCs w:val="20"/>
                <w:color w:val="auto"/>
              </w:rPr>
            </w:pPr>
            <w:r>
              <w:rPr>
                <w:rFonts w:ascii="Arial" w:cs="Arial" w:eastAsia="Arial" w:hAnsi="Arial"/>
                <w:sz w:val="14"/>
                <w:szCs w:val="14"/>
                <w:color w:val="auto"/>
              </w:rPr>
              <w:t>25,926</w:t>
            </w:r>
          </w:p>
        </w:tc>
        <w:tc>
          <w:tcPr>
            <w:tcW w:w="0" w:type="dxa"/>
            <w:vAlign w:val="bottom"/>
          </w:tcPr>
          <w:p>
            <w:pPr>
              <w:spacing w:after="0"/>
              <w:rPr>
                <w:sz w:val="1"/>
                <w:szCs w:val="1"/>
                <w:color w:val="auto"/>
              </w:rPr>
            </w:pPr>
          </w:p>
        </w:tc>
      </w:tr>
      <w:tr>
        <w:trPr>
          <w:trHeight w:val="182"/>
        </w:trPr>
        <w:tc>
          <w:tcPr>
            <w:tcW w:w="7420" w:type="dxa"/>
            <w:vAlign w:val="bottom"/>
            <w:tcBorders>
              <w:bottom w:val="single" w:sz="8" w:color="9D9D9C"/>
            </w:tcBorders>
          </w:tcPr>
          <w:p>
            <w:pPr>
              <w:ind w:left="20"/>
              <w:spacing w:after="0"/>
              <w:rPr>
                <w:sz w:val="20"/>
                <w:szCs w:val="20"/>
                <w:color w:val="auto"/>
              </w:rPr>
            </w:pPr>
            <w:r>
              <w:rPr>
                <w:rFonts w:ascii="Arial" w:cs="Arial" w:eastAsia="Arial" w:hAnsi="Arial"/>
                <w:sz w:val="14"/>
                <w:szCs w:val="14"/>
                <w:b w:val="1"/>
                <w:bCs w:val="1"/>
                <w:color w:val="003478"/>
              </w:rPr>
              <w:t>Bruce A. Carlson</w:t>
            </w:r>
          </w:p>
        </w:tc>
        <w:tc>
          <w:tcPr>
            <w:tcW w:w="118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1,723</w:t>
            </w:r>
          </w:p>
        </w:tc>
        <w:tc>
          <w:tcPr>
            <w:tcW w:w="400" w:type="dxa"/>
            <w:vAlign w:val="bottom"/>
            <w:tcBorders>
              <w:bottom w:val="single" w:sz="8" w:color="9D9D9C"/>
            </w:tcBorders>
          </w:tcPr>
          <w:p>
            <w:pPr>
              <w:spacing w:after="0"/>
              <w:rPr>
                <w:sz w:val="15"/>
                <w:szCs w:val="15"/>
                <w:color w:val="auto"/>
              </w:rPr>
            </w:pPr>
          </w:p>
        </w:tc>
        <w:tc>
          <w:tcPr>
            <w:tcW w:w="880" w:type="dxa"/>
            <w:vAlign w:val="bottom"/>
            <w:tcBorders>
              <w:bottom w:val="single" w:sz="8" w:color="9D9D9C"/>
            </w:tcBorders>
          </w:tcPr>
          <w:p>
            <w:pPr>
              <w:jc w:val="right"/>
              <w:ind w:right="9"/>
              <w:spacing w:after="0"/>
              <w:rPr>
                <w:sz w:val="20"/>
                <w:szCs w:val="20"/>
                <w:color w:val="auto"/>
              </w:rPr>
            </w:pPr>
            <w:r>
              <w:rPr>
                <w:rFonts w:ascii="Arial" w:cs="Arial" w:eastAsia="Arial" w:hAnsi="Arial"/>
                <w:sz w:val="14"/>
                <w:szCs w:val="14"/>
                <w:color w:val="auto"/>
              </w:rPr>
              <w:t>2,917</w:t>
            </w:r>
          </w:p>
        </w:tc>
        <w:tc>
          <w:tcPr>
            <w:tcW w:w="580" w:type="dxa"/>
            <w:vAlign w:val="bottom"/>
            <w:tcBorders>
              <w:bottom w:val="single" w:sz="8" w:color="9D9D9C"/>
            </w:tcBorders>
          </w:tcPr>
          <w:p>
            <w:pPr>
              <w:spacing w:after="0"/>
              <w:rPr>
                <w:sz w:val="20"/>
                <w:szCs w:val="20"/>
                <w:color w:val="auto"/>
              </w:rPr>
            </w:pPr>
            <w:r>
              <w:rPr>
                <w:rFonts w:ascii="Arial" w:cs="Arial" w:eastAsia="Arial" w:hAnsi="Arial"/>
                <w:sz w:val="11"/>
                <w:szCs w:val="11"/>
                <w:color w:val="auto"/>
              </w:rPr>
              <w:t>7,8</w:t>
            </w:r>
          </w:p>
        </w:tc>
        <w:tc>
          <w:tcPr>
            <w:tcW w:w="78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4,640</w:t>
            </w:r>
          </w:p>
        </w:tc>
        <w:tc>
          <w:tcPr>
            <w:tcW w:w="0" w:type="dxa"/>
            <w:vAlign w:val="bottom"/>
          </w:tcPr>
          <w:p>
            <w:pPr>
              <w:spacing w:after="0"/>
              <w:rPr>
                <w:sz w:val="1"/>
                <w:szCs w:val="1"/>
                <w:color w:val="auto"/>
              </w:rPr>
            </w:pPr>
          </w:p>
        </w:tc>
      </w:tr>
      <w:tr>
        <w:trPr>
          <w:trHeight w:val="182"/>
        </w:trPr>
        <w:tc>
          <w:tcPr>
            <w:tcW w:w="7420" w:type="dxa"/>
            <w:vAlign w:val="bottom"/>
            <w:tcBorders>
              <w:bottom w:val="single" w:sz="8" w:color="9D9D9C"/>
            </w:tcBorders>
            <w:shd w:val="clear" w:color="auto" w:fill="E5E7EF"/>
          </w:tcPr>
          <w:p>
            <w:pPr>
              <w:ind w:left="20"/>
              <w:spacing w:after="0"/>
              <w:rPr>
                <w:sz w:val="20"/>
                <w:szCs w:val="20"/>
                <w:color w:val="auto"/>
              </w:rPr>
            </w:pPr>
            <w:r>
              <w:rPr>
                <w:rFonts w:ascii="Arial" w:cs="Arial" w:eastAsia="Arial" w:hAnsi="Arial"/>
                <w:sz w:val="14"/>
                <w:szCs w:val="14"/>
                <w:b w:val="1"/>
                <w:bCs w:val="1"/>
                <w:color w:val="003478"/>
              </w:rPr>
              <w:t>John M. Donovan</w:t>
            </w:r>
          </w:p>
        </w:tc>
        <w:tc>
          <w:tcPr>
            <w:tcW w:w="1180" w:type="dxa"/>
            <w:vAlign w:val="bottom"/>
            <w:tcBorders>
              <w:bottom w:val="single" w:sz="8" w:color="9D9D9C"/>
            </w:tcBorders>
            <w:shd w:val="clear" w:color="auto" w:fill="E5E7EF"/>
          </w:tcPr>
          <w:p>
            <w:pPr>
              <w:jc w:val="right"/>
              <w:spacing w:after="0"/>
              <w:rPr>
                <w:sz w:val="20"/>
                <w:szCs w:val="20"/>
                <w:color w:val="auto"/>
              </w:rPr>
            </w:pPr>
            <w:r>
              <w:rPr>
                <w:rFonts w:ascii="Arial" w:cs="Arial" w:eastAsia="Arial" w:hAnsi="Arial"/>
                <w:sz w:val="14"/>
                <w:szCs w:val="14"/>
                <w:color w:val="auto"/>
              </w:rPr>
              <w:t>82</w:t>
            </w:r>
          </w:p>
        </w:tc>
        <w:tc>
          <w:tcPr>
            <w:tcW w:w="400" w:type="dxa"/>
            <w:vAlign w:val="bottom"/>
            <w:tcBorders>
              <w:bottom w:val="single" w:sz="8" w:color="9D9D9C"/>
            </w:tcBorders>
            <w:shd w:val="clear" w:color="auto" w:fill="E5E7EF"/>
          </w:tcPr>
          <w:p>
            <w:pPr>
              <w:spacing w:after="0"/>
              <w:rPr>
                <w:sz w:val="15"/>
                <w:szCs w:val="15"/>
                <w:color w:val="auto"/>
              </w:rPr>
            </w:pPr>
          </w:p>
        </w:tc>
        <w:tc>
          <w:tcPr>
            <w:tcW w:w="880" w:type="dxa"/>
            <w:vAlign w:val="bottom"/>
            <w:tcBorders>
              <w:bottom w:val="single" w:sz="8" w:color="9D9D9C"/>
            </w:tcBorders>
            <w:shd w:val="clear" w:color="auto" w:fill="E5E7EF"/>
          </w:tcPr>
          <w:p>
            <w:pPr>
              <w:jc w:val="right"/>
              <w:ind w:right="9"/>
              <w:spacing w:after="0"/>
              <w:rPr>
                <w:sz w:val="20"/>
                <w:szCs w:val="20"/>
                <w:color w:val="auto"/>
              </w:rPr>
            </w:pPr>
            <w:r>
              <w:rPr>
                <w:rFonts w:ascii="Arial" w:cs="Arial" w:eastAsia="Arial" w:hAnsi="Arial"/>
                <w:sz w:val="14"/>
                <w:szCs w:val="14"/>
                <w:color w:val="auto"/>
              </w:rPr>
              <w:t>497</w:t>
            </w:r>
          </w:p>
        </w:tc>
        <w:tc>
          <w:tcPr>
            <w:tcW w:w="580" w:type="dxa"/>
            <w:vAlign w:val="bottom"/>
            <w:tcBorders>
              <w:bottom w:val="single" w:sz="8" w:color="9D9D9C"/>
            </w:tcBorders>
            <w:shd w:val="clear" w:color="auto" w:fill="E5E7EF"/>
          </w:tcPr>
          <w:p>
            <w:pPr>
              <w:spacing w:after="0"/>
              <w:rPr>
                <w:sz w:val="20"/>
                <w:szCs w:val="20"/>
                <w:color w:val="auto"/>
              </w:rPr>
            </w:pPr>
            <w:r>
              <w:rPr>
                <w:rFonts w:ascii="Arial" w:cs="Arial" w:eastAsia="Arial" w:hAnsi="Arial"/>
                <w:sz w:val="11"/>
                <w:szCs w:val="11"/>
                <w:color w:val="auto"/>
              </w:rPr>
              <w:t>7,8</w:t>
            </w:r>
          </w:p>
        </w:tc>
        <w:tc>
          <w:tcPr>
            <w:tcW w:w="780" w:type="dxa"/>
            <w:vAlign w:val="bottom"/>
            <w:tcBorders>
              <w:bottom w:val="single" w:sz="8" w:color="9D9D9C"/>
            </w:tcBorders>
            <w:shd w:val="clear" w:color="auto" w:fill="E5E7EF"/>
          </w:tcPr>
          <w:p>
            <w:pPr>
              <w:jc w:val="right"/>
              <w:spacing w:after="0"/>
              <w:rPr>
                <w:sz w:val="20"/>
                <w:szCs w:val="20"/>
                <w:color w:val="auto"/>
              </w:rPr>
            </w:pPr>
            <w:r>
              <w:rPr>
                <w:rFonts w:ascii="Arial" w:cs="Arial" w:eastAsia="Arial" w:hAnsi="Arial"/>
                <w:sz w:val="14"/>
                <w:szCs w:val="14"/>
                <w:color w:val="auto"/>
              </w:rPr>
              <w:t>579</w:t>
            </w:r>
          </w:p>
        </w:tc>
        <w:tc>
          <w:tcPr>
            <w:tcW w:w="0" w:type="dxa"/>
            <w:vAlign w:val="bottom"/>
          </w:tcPr>
          <w:p>
            <w:pPr>
              <w:spacing w:after="0"/>
              <w:rPr>
                <w:sz w:val="1"/>
                <w:szCs w:val="1"/>
                <w:color w:val="auto"/>
              </w:rPr>
            </w:pPr>
          </w:p>
        </w:tc>
      </w:tr>
      <w:tr>
        <w:trPr>
          <w:trHeight w:val="182"/>
        </w:trPr>
        <w:tc>
          <w:tcPr>
            <w:tcW w:w="7420" w:type="dxa"/>
            <w:vAlign w:val="bottom"/>
            <w:tcBorders>
              <w:bottom w:val="single" w:sz="8" w:color="9D9D9C"/>
            </w:tcBorders>
          </w:tcPr>
          <w:p>
            <w:pPr>
              <w:ind w:left="20"/>
              <w:spacing w:after="0"/>
              <w:rPr>
                <w:sz w:val="20"/>
                <w:szCs w:val="20"/>
                <w:color w:val="auto"/>
              </w:rPr>
            </w:pPr>
            <w:r>
              <w:rPr>
                <w:rFonts w:ascii="Arial" w:cs="Arial" w:eastAsia="Arial" w:hAnsi="Arial"/>
                <w:sz w:val="14"/>
                <w:szCs w:val="14"/>
                <w:b w:val="1"/>
                <w:bCs w:val="1"/>
                <w:color w:val="003478"/>
              </w:rPr>
              <w:t>Joseph F. Dunford, Jr.</w:t>
            </w:r>
          </w:p>
        </w:tc>
        <w:tc>
          <w:tcPr>
            <w:tcW w:w="118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890</w:t>
            </w:r>
          </w:p>
        </w:tc>
        <w:tc>
          <w:tcPr>
            <w:tcW w:w="400" w:type="dxa"/>
            <w:vAlign w:val="bottom"/>
            <w:tcBorders>
              <w:bottom w:val="single" w:sz="8" w:color="9D9D9C"/>
            </w:tcBorders>
          </w:tcPr>
          <w:p>
            <w:pPr>
              <w:spacing w:after="0"/>
              <w:rPr>
                <w:sz w:val="15"/>
                <w:szCs w:val="15"/>
                <w:color w:val="auto"/>
              </w:rPr>
            </w:pPr>
          </w:p>
        </w:tc>
        <w:tc>
          <w:tcPr>
            <w:tcW w:w="880" w:type="dxa"/>
            <w:vAlign w:val="bottom"/>
            <w:tcBorders>
              <w:bottom w:val="single" w:sz="8" w:color="9D9D9C"/>
            </w:tcBorders>
          </w:tcPr>
          <w:p>
            <w:pPr>
              <w:jc w:val="right"/>
              <w:ind w:right="9"/>
              <w:spacing w:after="0"/>
              <w:rPr>
                <w:sz w:val="20"/>
                <w:szCs w:val="20"/>
                <w:color w:val="auto"/>
              </w:rPr>
            </w:pPr>
            <w:r>
              <w:rPr>
                <w:rFonts w:ascii="Arial" w:cs="Arial" w:eastAsia="Arial" w:hAnsi="Arial"/>
                <w:sz w:val="14"/>
                <w:szCs w:val="14"/>
                <w:color w:val="auto"/>
              </w:rPr>
              <w:t>418</w:t>
            </w:r>
          </w:p>
        </w:tc>
        <w:tc>
          <w:tcPr>
            <w:tcW w:w="580" w:type="dxa"/>
            <w:vAlign w:val="bottom"/>
            <w:tcBorders>
              <w:bottom w:val="single" w:sz="8" w:color="9D9D9C"/>
            </w:tcBorders>
          </w:tcPr>
          <w:p>
            <w:pPr>
              <w:spacing w:after="0"/>
              <w:rPr>
                <w:sz w:val="20"/>
                <w:szCs w:val="20"/>
                <w:color w:val="auto"/>
              </w:rPr>
            </w:pPr>
            <w:r>
              <w:rPr>
                <w:rFonts w:ascii="Arial" w:cs="Arial" w:eastAsia="Arial" w:hAnsi="Arial"/>
                <w:sz w:val="11"/>
                <w:szCs w:val="11"/>
                <w:color w:val="auto"/>
              </w:rPr>
              <w:t>7</w:t>
            </w:r>
          </w:p>
        </w:tc>
        <w:tc>
          <w:tcPr>
            <w:tcW w:w="78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1,307</w:t>
            </w:r>
          </w:p>
        </w:tc>
        <w:tc>
          <w:tcPr>
            <w:tcW w:w="0" w:type="dxa"/>
            <w:vAlign w:val="bottom"/>
          </w:tcPr>
          <w:p>
            <w:pPr>
              <w:spacing w:after="0"/>
              <w:rPr>
                <w:sz w:val="1"/>
                <w:szCs w:val="1"/>
                <w:color w:val="auto"/>
              </w:rPr>
            </w:pPr>
          </w:p>
        </w:tc>
      </w:tr>
      <w:tr>
        <w:trPr>
          <w:trHeight w:val="182"/>
        </w:trPr>
        <w:tc>
          <w:tcPr>
            <w:tcW w:w="7420" w:type="dxa"/>
            <w:vAlign w:val="bottom"/>
            <w:tcBorders>
              <w:bottom w:val="single" w:sz="8" w:color="9D9D9C"/>
            </w:tcBorders>
            <w:shd w:val="clear" w:color="auto" w:fill="E5E7EF"/>
          </w:tcPr>
          <w:p>
            <w:pPr>
              <w:ind w:left="20"/>
              <w:spacing w:after="0"/>
              <w:rPr>
                <w:sz w:val="20"/>
                <w:szCs w:val="20"/>
                <w:color w:val="auto"/>
              </w:rPr>
            </w:pPr>
            <w:r>
              <w:rPr>
                <w:rFonts w:ascii="Arial" w:cs="Arial" w:eastAsia="Arial" w:hAnsi="Arial"/>
                <w:sz w:val="14"/>
                <w:szCs w:val="14"/>
                <w:b w:val="1"/>
                <w:bCs w:val="1"/>
                <w:color w:val="003478"/>
              </w:rPr>
              <w:t>James O. Ellis, Jr.</w:t>
            </w:r>
          </w:p>
        </w:tc>
        <w:tc>
          <w:tcPr>
            <w:tcW w:w="1180" w:type="dxa"/>
            <w:vAlign w:val="bottom"/>
            <w:tcBorders>
              <w:bottom w:val="single" w:sz="8" w:color="9D9D9C"/>
            </w:tcBorders>
            <w:shd w:val="clear" w:color="auto" w:fill="E5E7EF"/>
          </w:tcPr>
          <w:p>
            <w:pPr>
              <w:jc w:val="right"/>
              <w:spacing w:after="0"/>
              <w:rPr>
                <w:sz w:val="20"/>
                <w:szCs w:val="20"/>
                <w:color w:val="auto"/>
              </w:rPr>
            </w:pPr>
            <w:r>
              <w:rPr>
                <w:rFonts w:ascii="Arial" w:cs="Arial" w:eastAsia="Arial" w:hAnsi="Arial"/>
                <w:sz w:val="14"/>
                <w:szCs w:val="14"/>
                <w:color w:val="auto"/>
              </w:rPr>
              <w:t>20,603</w:t>
            </w:r>
          </w:p>
        </w:tc>
        <w:tc>
          <w:tcPr>
            <w:tcW w:w="400" w:type="dxa"/>
            <w:vAlign w:val="bottom"/>
            <w:tcBorders>
              <w:bottom w:val="single" w:sz="8" w:color="9D9D9C"/>
            </w:tcBorders>
            <w:shd w:val="clear" w:color="auto" w:fill="E5E7EF"/>
          </w:tcPr>
          <w:p>
            <w:pPr>
              <w:spacing w:after="0"/>
              <w:rPr>
                <w:sz w:val="15"/>
                <w:szCs w:val="15"/>
                <w:color w:val="auto"/>
              </w:rPr>
            </w:pPr>
          </w:p>
        </w:tc>
        <w:tc>
          <w:tcPr>
            <w:tcW w:w="880" w:type="dxa"/>
            <w:vAlign w:val="bottom"/>
            <w:tcBorders>
              <w:bottom w:val="single" w:sz="8" w:color="9D9D9C"/>
            </w:tcBorders>
            <w:shd w:val="clear" w:color="auto" w:fill="E5E7EF"/>
          </w:tcPr>
          <w:p>
            <w:pPr>
              <w:jc w:val="right"/>
              <w:ind w:right="9"/>
              <w:spacing w:after="0"/>
              <w:rPr>
                <w:sz w:val="20"/>
                <w:szCs w:val="20"/>
                <w:color w:val="auto"/>
              </w:rPr>
            </w:pPr>
            <w:r>
              <w:rPr>
                <w:rFonts w:ascii="Arial" w:cs="Arial" w:eastAsia="Arial" w:hAnsi="Arial"/>
                <w:sz w:val="14"/>
                <w:szCs w:val="14"/>
                <w:color w:val="auto"/>
              </w:rPr>
              <w:t>1,668</w:t>
            </w:r>
          </w:p>
        </w:tc>
        <w:tc>
          <w:tcPr>
            <w:tcW w:w="580" w:type="dxa"/>
            <w:vAlign w:val="bottom"/>
            <w:tcBorders>
              <w:bottom w:val="single" w:sz="8" w:color="9D9D9C"/>
            </w:tcBorders>
            <w:shd w:val="clear" w:color="auto" w:fill="E5E7EF"/>
          </w:tcPr>
          <w:p>
            <w:pPr>
              <w:spacing w:after="0"/>
              <w:rPr>
                <w:sz w:val="20"/>
                <w:szCs w:val="20"/>
                <w:color w:val="auto"/>
              </w:rPr>
            </w:pPr>
            <w:r>
              <w:rPr>
                <w:rFonts w:ascii="Arial" w:cs="Arial" w:eastAsia="Arial" w:hAnsi="Arial"/>
                <w:sz w:val="11"/>
                <w:szCs w:val="11"/>
                <w:color w:val="auto"/>
              </w:rPr>
              <w:t>7</w:t>
            </w:r>
          </w:p>
        </w:tc>
        <w:tc>
          <w:tcPr>
            <w:tcW w:w="780" w:type="dxa"/>
            <w:vAlign w:val="bottom"/>
            <w:tcBorders>
              <w:bottom w:val="single" w:sz="8" w:color="9D9D9C"/>
            </w:tcBorders>
            <w:shd w:val="clear" w:color="auto" w:fill="E5E7EF"/>
          </w:tcPr>
          <w:p>
            <w:pPr>
              <w:jc w:val="right"/>
              <w:spacing w:after="0"/>
              <w:rPr>
                <w:sz w:val="20"/>
                <w:szCs w:val="20"/>
                <w:color w:val="auto"/>
              </w:rPr>
            </w:pPr>
            <w:r>
              <w:rPr>
                <w:rFonts w:ascii="Arial" w:cs="Arial" w:eastAsia="Arial" w:hAnsi="Arial"/>
                <w:sz w:val="14"/>
                <w:szCs w:val="14"/>
                <w:color w:val="auto"/>
              </w:rPr>
              <w:t>22,271</w:t>
            </w:r>
          </w:p>
        </w:tc>
        <w:tc>
          <w:tcPr>
            <w:tcW w:w="0" w:type="dxa"/>
            <w:vAlign w:val="bottom"/>
          </w:tcPr>
          <w:p>
            <w:pPr>
              <w:spacing w:after="0"/>
              <w:rPr>
                <w:sz w:val="1"/>
                <w:szCs w:val="1"/>
                <w:color w:val="auto"/>
              </w:rPr>
            </w:pPr>
          </w:p>
        </w:tc>
      </w:tr>
      <w:tr>
        <w:trPr>
          <w:trHeight w:val="182"/>
        </w:trPr>
        <w:tc>
          <w:tcPr>
            <w:tcW w:w="7420" w:type="dxa"/>
            <w:vAlign w:val="bottom"/>
            <w:tcBorders>
              <w:bottom w:val="single" w:sz="8" w:color="9D9D9C"/>
            </w:tcBorders>
          </w:tcPr>
          <w:p>
            <w:pPr>
              <w:ind w:left="20"/>
              <w:spacing w:after="0"/>
              <w:rPr>
                <w:sz w:val="20"/>
                <w:szCs w:val="20"/>
                <w:color w:val="auto"/>
              </w:rPr>
            </w:pPr>
            <w:r>
              <w:rPr>
                <w:rFonts w:ascii="Arial" w:cs="Arial" w:eastAsia="Arial" w:hAnsi="Arial"/>
                <w:sz w:val="14"/>
                <w:szCs w:val="14"/>
                <w:b w:val="1"/>
                <w:bCs w:val="1"/>
                <w:color w:val="003478"/>
              </w:rPr>
              <w:t>Thomas J. Falk</w:t>
            </w:r>
          </w:p>
        </w:tc>
        <w:tc>
          <w:tcPr>
            <w:tcW w:w="118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5,250</w:t>
            </w:r>
          </w:p>
        </w:tc>
        <w:tc>
          <w:tcPr>
            <w:tcW w:w="400" w:type="dxa"/>
            <w:vAlign w:val="bottom"/>
            <w:tcBorders>
              <w:bottom w:val="single" w:sz="8" w:color="9D9D9C"/>
            </w:tcBorders>
          </w:tcPr>
          <w:p>
            <w:pPr>
              <w:jc w:val="right"/>
              <w:ind w:right="226"/>
              <w:spacing w:after="0"/>
              <w:rPr>
                <w:sz w:val="20"/>
                <w:szCs w:val="20"/>
                <w:color w:val="auto"/>
              </w:rPr>
            </w:pPr>
            <w:r>
              <w:rPr>
                <w:rFonts w:ascii="Arial" w:cs="Arial" w:eastAsia="Arial" w:hAnsi="Arial"/>
                <w:sz w:val="11"/>
                <w:szCs w:val="11"/>
                <w:color w:val="auto"/>
              </w:rPr>
              <w:t>6</w:t>
            </w:r>
          </w:p>
        </w:tc>
        <w:tc>
          <w:tcPr>
            <w:tcW w:w="880" w:type="dxa"/>
            <w:vAlign w:val="bottom"/>
            <w:tcBorders>
              <w:bottom w:val="single" w:sz="8" w:color="9D9D9C"/>
            </w:tcBorders>
          </w:tcPr>
          <w:p>
            <w:pPr>
              <w:jc w:val="right"/>
              <w:ind w:right="9"/>
              <w:spacing w:after="0"/>
              <w:rPr>
                <w:sz w:val="20"/>
                <w:szCs w:val="20"/>
                <w:color w:val="auto"/>
              </w:rPr>
            </w:pPr>
            <w:r>
              <w:rPr>
                <w:rFonts w:ascii="Arial" w:cs="Arial" w:eastAsia="Arial" w:hAnsi="Arial"/>
                <w:sz w:val="14"/>
                <w:szCs w:val="14"/>
                <w:color w:val="auto"/>
              </w:rPr>
              <w:t>12,556</w:t>
            </w:r>
          </w:p>
        </w:tc>
        <w:tc>
          <w:tcPr>
            <w:tcW w:w="580" w:type="dxa"/>
            <w:vAlign w:val="bottom"/>
            <w:tcBorders>
              <w:bottom w:val="single" w:sz="8" w:color="9D9D9C"/>
            </w:tcBorders>
          </w:tcPr>
          <w:p>
            <w:pPr>
              <w:spacing w:after="0"/>
              <w:rPr>
                <w:sz w:val="20"/>
                <w:szCs w:val="20"/>
                <w:color w:val="auto"/>
              </w:rPr>
            </w:pPr>
            <w:r>
              <w:rPr>
                <w:rFonts w:ascii="Arial" w:cs="Arial" w:eastAsia="Arial" w:hAnsi="Arial"/>
                <w:sz w:val="11"/>
                <w:szCs w:val="11"/>
                <w:color w:val="auto"/>
              </w:rPr>
              <w:t>7</w:t>
            </w:r>
          </w:p>
        </w:tc>
        <w:tc>
          <w:tcPr>
            <w:tcW w:w="78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17,806</w:t>
            </w:r>
          </w:p>
        </w:tc>
        <w:tc>
          <w:tcPr>
            <w:tcW w:w="0" w:type="dxa"/>
            <w:vAlign w:val="bottom"/>
          </w:tcPr>
          <w:p>
            <w:pPr>
              <w:spacing w:after="0"/>
              <w:rPr>
                <w:sz w:val="1"/>
                <w:szCs w:val="1"/>
                <w:color w:val="auto"/>
              </w:rPr>
            </w:pPr>
          </w:p>
        </w:tc>
      </w:tr>
      <w:tr>
        <w:trPr>
          <w:trHeight w:val="182"/>
        </w:trPr>
        <w:tc>
          <w:tcPr>
            <w:tcW w:w="7420" w:type="dxa"/>
            <w:vAlign w:val="bottom"/>
            <w:tcBorders>
              <w:bottom w:val="single" w:sz="8" w:color="9D9D9C"/>
            </w:tcBorders>
            <w:shd w:val="clear" w:color="auto" w:fill="E5E7EF"/>
          </w:tcPr>
          <w:p>
            <w:pPr>
              <w:ind w:left="20"/>
              <w:spacing w:after="0"/>
              <w:rPr>
                <w:sz w:val="20"/>
                <w:szCs w:val="20"/>
                <w:color w:val="auto"/>
              </w:rPr>
            </w:pPr>
            <w:r>
              <w:rPr>
                <w:rFonts w:ascii="Arial" w:cs="Arial" w:eastAsia="Arial" w:hAnsi="Arial"/>
                <w:sz w:val="14"/>
                <w:szCs w:val="14"/>
                <w:b w:val="1"/>
                <w:bCs w:val="1"/>
                <w:color w:val="003478"/>
              </w:rPr>
              <w:t>Ilene S. Gordon</w:t>
            </w:r>
          </w:p>
        </w:tc>
        <w:tc>
          <w:tcPr>
            <w:tcW w:w="1180" w:type="dxa"/>
            <w:vAlign w:val="bottom"/>
            <w:tcBorders>
              <w:bottom w:val="single" w:sz="8" w:color="9D9D9C"/>
            </w:tcBorders>
            <w:shd w:val="clear" w:color="auto" w:fill="E5E7EF"/>
          </w:tcPr>
          <w:p>
            <w:pPr>
              <w:jc w:val="right"/>
              <w:spacing w:after="0"/>
              <w:rPr>
                <w:sz w:val="20"/>
                <w:szCs w:val="20"/>
                <w:color w:val="auto"/>
              </w:rPr>
            </w:pPr>
            <w:r>
              <w:rPr>
                <w:rFonts w:ascii="Arial" w:cs="Arial" w:eastAsia="Arial" w:hAnsi="Arial"/>
                <w:sz w:val="14"/>
                <w:szCs w:val="14"/>
                <w:color w:val="auto"/>
              </w:rPr>
              <w:t>1,291</w:t>
            </w:r>
          </w:p>
        </w:tc>
        <w:tc>
          <w:tcPr>
            <w:tcW w:w="400" w:type="dxa"/>
            <w:vAlign w:val="bottom"/>
            <w:tcBorders>
              <w:bottom w:val="single" w:sz="8" w:color="9D9D9C"/>
            </w:tcBorders>
            <w:shd w:val="clear" w:color="auto" w:fill="E5E7EF"/>
          </w:tcPr>
          <w:p>
            <w:pPr>
              <w:spacing w:after="0"/>
              <w:rPr>
                <w:sz w:val="15"/>
                <w:szCs w:val="15"/>
                <w:color w:val="auto"/>
              </w:rPr>
            </w:pPr>
          </w:p>
        </w:tc>
        <w:tc>
          <w:tcPr>
            <w:tcW w:w="880" w:type="dxa"/>
            <w:vAlign w:val="bottom"/>
            <w:tcBorders>
              <w:bottom w:val="single" w:sz="8" w:color="9D9D9C"/>
            </w:tcBorders>
            <w:shd w:val="clear" w:color="auto" w:fill="E5E7EF"/>
          </w:tcPr>
          <w:p>
            <w:pPr>
              <w:jc w:val="right"/>
              <w:ind w:right="9"/>
              <w:spacing w:after="0"/>
              <w:rPr>
                <w:sz w:val="20"/>
                <w:szCs w:val="20"/>
                <w:color w:val="auto"/>
              </w:rPr>
            </w:pPr>
            <w:r>
              <w:rPr>
                <w:rFonts w:ascii="Arial" w:cs="Arial" w:eastAsia="Arial" w:hAnsi="Arial"/>
                <w:sz w:val="14"/>
                <w:szCs w:val="14"/>
                <w:color w:val="auto"/>
              </w:rPr>
              <w:t>2,684</w:t>
            </w:r>
          </w:p>
        </w:tc>
        <w:tc>
          <w:tcPr>
            <w:tcW w:w="580" w:type="dxa"/>
            <w:vAlign w:val="bottom"/>
            <w:tcBorders>
              <w:bottom w:val="single" w:sz="8" w:color="9D9D9C"/>
            </w:tcBorders>
            <w:shd w:val="clear" w:color="auto" w:fill="E5E7EF"/>
          </w:tcPr>
          <w:p>
            <w:pPr>
              <w:spacing w:after="0"/>
              <w:rPr>
                <w:sz w:val="20"/>
                <w:szCs w:val="20"/>
                <w:color w:val="auto"/>
              </w:rPr>
            </w:pPr>
            <w:r>
              <w:rPr>
                <w:rFonts w:ascii="Arial" w:cs="Arial" w:eastAsia="Arial" w:hAnsi="Arial"/>
                <w:sz w:val="11"/>
                <w:szCs w:val="11"/>
                <w:color w:val="auto"/>
              </w:rPr>
              <w:t>7</w:t>
            </w:r>
          </w:p>
        </w:tc>
        <w:tc>
          <w:tcPr>
            <w:tcW w:w="780" w:type="dxa"/>
            <w:vAlign w:val="bottom"/>
            <w:tcBorders>
              <w:bottom w:val="single" w:sz="8" w:color="9D9D9C"/>
            </w:tcBorders>
            <w:shd w:val="clear" w:color="auto" w:fill="E5E7EF"/>
          </w:tcPr>
          <w:p>
            <w:pPr>
              <w:jc w:val="right"/>
              <w:spacing w:after="0"/>
              <w:rPr>
                <w:sz w:val="20"/>
                <w:szCs w:val="20"/>
                <w:color w:val="auto"/>
              </w:rPr>
            </w:pPr>
            <w:r>
              <w:rPr>
                <w:rFonts w:ascii="Arial" w:cs="Arial" w:eastAsia="Arial" w:hAnsi="Arial"/>
                <w:sz w:val="14"/>
                <w:szCs w:val="14"/>
                <w:color w:val="auto"/>
              </w:rPr>
              <w:t>3,975</w:t>
            </w:r>
          </w:p>
        </w:tc>
        <w:tc>
          <w:tcPr>
            <w:tcW w:w="0" w:type="dxa"/>
            <w:vAlign w:val="bottom"/>
          </w:tcPr>
          <w:p>
            <w:pPr>
              <w:spacing w:after="0"/>
              <w:rPr>
                <w:sz w:val="1"/>
                <w:szCs w:val="1"/>
                <w:color w:val="auto"/>
              </w:rPr>
            </w:pPr>
          </w:p>
        </w:tc>
      </w:tr>
      <w:tr>
        <w:trPr>
          <w:trHeight w:val="182"/>
        </w:trPr>
        <w:tc>
          <w:tcPr>
            <w:tcW w:w="7420" w:type="dxa"/>
            <w:vAlign w:val="bottom"/>
            <w:tcBorders>
              <w:bottom w:val="single" w:sz="8" w:color="9D9D9C"/>
            </w:tcBorders>
          </w:tcPr>
          <w:p>
            <w:pPr>
              <w:ind w:left="20"/>
              <w:spacing w:after="0"/>
              <w:rPr>
                <w:sz w:val="20"/>
                <w:szCs w:val="20"/>
                <w:color w:val="auto"/>
              </w:rPr>
            </w:pPr>
            <w:r>
              <w:rPr>
                <w:rFonts w:ascii="Arial" w:cs="Arial" w:eastAsia="Arial" w:hAnsi="Arial"/>
                <w:sz w:val="14"/>
                <w:szCs w:val="14"/>
                <w:b w:val="1"/>
                <w:bCs w:val="1"/>
                <w:color w:val="003478"/>
              </w:rPr>
              <w:t>Marillyn A. Hewson</w:t>
            </w:r>
          </w:p>
        </w:tc>
        <w:tc>
          <w:tcPr>
            <w:tcW w:w="118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91,758</w:t>
            </w:r>
          </w:p>
        </w:tc>
        <w:tc>
          <w:tcPr>
            <w:tcW w:w="400" w:type="dxa"/>
            <w:vAlign w:val="bottom"/>
            <w:tcBorders>
              <w:bottom w:val="single" w:sz="8" w:color="9D9D9C"/>
            </w:tcBorders>
          </w:tcPr>
          <w:p>
            <w:pPr>
              <w:spacing w:after="0"/>
              <w:rPr>
                <w:sz w:val="15"/>
                <w:szCs w:val="15"/>
                <w:color w:val="auto"/>
              </w:rPr>
            </w:pPr>
          </w:p>
        </w:tc>
        <w:tc>
          <w:tcPr>
            <w:tcW w:w="880" w:type="dxa"/>
            <w:vAlign w:val="bottom"/>
            <w:tcBorders>
              <w:bottom w:val="single" w:sz="8" w:color="9D9D9C"/>
            </w:tcBorders>
          </w:tcPr>
          <w:p>
            <w:pPr>
              <w:jc w:val="right"/>
              <w:ind w:right="9"/>
              <w:spacing w:after="0"/>
              <w:rPr>
                <w:sz w:val="20"/>
                <w:szCs w:val="20"/>
                <w:color w:val="auto"/>
              </w:rPr>
            </w:pPr>
            <w:r>
              <w:rPr>
                <w:rFonts w:ascii="Arial" w:cs="Arial" w:eastAsia="Arial" w:hAnsi="Arial"/>
                <w:sz w:val="14"/>
                <w:szCs w:val="14"/>
                <w:color w:val="auto"/>
              </w:rPr>
              <w:t>25,022</w:t>
            </w:r>
          </w:p>
        </w:tc>
        <w:tc>
          <w:tcPr>
            <w:tcW w:w="580" w:type="dxa"/>
            <w:vAlign w:val="bottom"/>
            <w:tcBorders>
              <w:bottom w:val="single" w:sz="8" w:color="9D9D9C"/>
            </w:tcBorders>
          </w:tcPr>
          <w:p>
            <w:pPr>
              <w:spacing w:after="0"/>
              <w:rPr>
                <w:sz w:val="20"/>
                <w:szCs w:val="20"/>
                <w:color w:val="auto"/>
              </w:rPr>
            </w:pPr>
            <w:r>
              <w:rPr>
                <w:rFonts w:ascii="Arial" w:cs="Arial" w:eastAsia="Arial" w:hAnsi="Arial"/>
                <w:sz w:val="11"/>
                <w:szCs w:val="11"/>
                <w:color w:val="auto"/>
              </w:rPr>
              <w:t>9,10,11</w:t>
            </w:r>
          </w:p>
        </w:tc>
        <w:tc>
          <w:tcPr>
            <w:tcW w:w="78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116,780</w:t>
            </w:r>
          </w:p>
        </w:tc>
        <w:tc>
          <w:tcPr>
            <w:tcW w:w="0" w:type="dxa"/>
            <w:vAlign w:val="bottom"/>
          </w:tcPr>
          <w:p>
            <w:pPr>
              <w:spacing w:after="0"/>
              <w:rPr>
                <w:sz w:val="1"/>
                <w:szCs w:val="1"/>
                <w:color w:val="auto"/>
              </w:rPr>
            </w:pPr>
          </w:p>
        </w:tc>
      </w:tr>
      <w:tr>
        <w:trPr>
          <w:trHeight w:val="182"/>
        </w:trPr>
        <w:tc>
          <w:tcPr>
            <w:tcW w:w="7420" w:type="dxa"/>
            <w:vAlign w:val="bottom"/>
            <w:tcBorders>
              <w:bottom w:val="single" w:sz="8" w:color="9D9D9C"/>
            </w:tcBorders>
            <w:shd w:val="clear" w:color="auto" w:fill="E4E6EF"/>
          </w:tcPr>
          <w:p>
            <w:pPr>
              <w:ind w:left="20"/>
              <w:spacing w:after="0"/>
              <w:rPr>
                <w:sz w:val="20"/>
                <w:szCs w:val="20"/>
                <w:color w:val="auto"/>
              </w:rPr>
            </w:pPr>
            <w:r>
              <w:rPr>
                <w:rFonts w:ascii="Arial" w:cs="Arial" w:eastAsia="Arial" w:hAnsi="Arial"/>
                <w:sz w:val="14"/>
                <w:szCs w:val="14"/>
                <w:b w:val="1"/>
                <w:bCs w:val="1"/>
                <w:color w:val="003478"/>
              </w:rPr>
              <w:t>Stephanie C. Hill</w:t>
            </w:r>
          </w:p>
        </w:tc>
        <w:tc>
          <w:tcPr>
            <w:tcW w:w="1180" w:type="dxa"/>
            <w:vAlign w:val="bottom"/>
            <w:tcBorders>
              <w:bottom w:val="single" w:sz="8" w:color="9D9D9C"/>
            </w:tcBorders>
            <w:shd w:val="clear" w:color="auto" w:fill="E4E6EF"/>
          </w:tcPr>
          <w:p>
            <w:pPr>
              <w:jc w:val="right"/>
              <w:spacing w:after="0"/>
              <w:rPr>
                <w:sz w:val="20"/>
                <w:szCs w:val="20"/>
                <w:color w:val="auto"/>
              </w:rPr>
            </w:pPr>
            <w:r>
              <w:rPr>
                <w:rFonts w:ascii="Arial" w:cs="Arial" w:eastAsia="Arial" w:hAnsi="Arial"/>
                <w:sz w:val="14"/>
                <w:szCs w:val="14"/>
                <w:color w:val="auto"/>
              </w:rPr>
              <w:t>17,280</w:t>
            </w:r>
          </w:p>
        </w:tc>
        <w:tc>
          <w:tcPr>
            <w:tcW w:w="400" w:type="dxa"/>
            <w:vAlign w:val="bottom"/>
            <w:tcBorders>
              <w:bottom w:val="single" w:sz="8" w:color="9D9D9C"/>
            </w:tcBorders>
            <w:shd w:val="clear" w:color="auto" w:fill="E4E6EF"/>
          </w:tcPr>
          <w:p>
            <w:pPr>
              <w:spacing w:after="0"/>
              <w:rPr>
                <w:sz w:val="15"/>
                <w:szCs w:val="15"/>
                <w:color w:val="auto"/>
              </w:rPr>
            </w:pPr>
          </w:p>
        </w:tc>
        <w:tc>
          <w:tcPr>
            <w:tcW w:w="880" w:type="dxa"/>
            <w:vAlign w:val="bottom"/>
            <w:tcBorders>
              <w:bottom w:val="single" w:sz="8" w:color="9D9D9C"/>
            </w:tcBorders>
            <w:shd w:val="clear" w:color="auto" w:fill="E4E6EF"/>
          </w:tcPr>
          <w:p>
            <w:pPr>
              <w:jc w:val="right"/>
              <w:ind w:right="9"/>
              <w:spacing w:after="0"/>
              <w:rPr>
                <w:sz w:val="20"/>
                <w:szCs w:val="20"/>
                <w:color w:val="auto"/>
              </w:rPr>
            </w:pPr>
            <w:r>
              <w:rPr>
                <w:rFonts w:ascii="Arial" w:cs="Arial" w:eastAsia="Arial" w:hAnsi="Arial"/>
                <w:sz w:val="14"/>
                <w:szCs w:val="14"/>
                <w:color w:val="auto"/>
              </w:rPr>
              <w:t>14,241</w:t>
            </w:r>
          </w:p>
        </w:tc>
        <w:tc>
          <w:tcPr>
            <w:tcW w:w="580" w:type="dxa"/>
            <w:vAlign w:val="bottom"/>
            <w:tcBorders>
              <w:bottom w:val="single" w:sz="8" w:color="9D9D9C"/>
            </w:tcBorders>
            <w:shd w:val="clear" w:color="auto" w:fill="E4E6EF"/>
          </w:tcPr>
          <w:p>
            <w:pPr>
              <w:spacing w:after="0"/>
              <w:rPr>
                <w:sz w:val="20"/>
                <w:szCs w:val="20"/>
                <w:color w:val="auto"/>
              </w:rPr>
            </w:pPr>
            <w:r>
              <w:rPr>
                <w:rFonts w:ascii="Arial" w:cs="Arial" w:eastAsia="Arial" w:hAnsi="Arial"/>
                <w:sz w:val="11"/>
                <w:szCs w:val="11"/>
                <w:color w:val="auto"/>
              </w:rPr>
              <w:t>9,11</w:t>
            </w:r>
          </w:p>
        </w:tc>
        <w:tc>
          <w:tcPr>
            <w:tcW w:w="780" w:type="dxa"/>
            <w:vAlign w:val="bottom"/>
            <w:tcBorders>
              <w:bottom w:val="single" w:sz="8" w:color="9D9D9C"/>
            </w:tcBorders>
            <w:shd w:val="clear" w:color="auto" w:fill="E4E6EF"/>
          </w:tcPr>
          <w:p>
            <w:pPr>
              <w:jc w:val="right"/>
              <w:spacing w:after="0"/>
              <w:rPr>
                <w:sz w:val="20"/>
                <w:szCs w:val="20"/>
                <w:color w:val="auto"/>
              </w:rPr>
            </w:pPr>
            <w:r>
              <w:rPr>
                <w:rFonts w:ascii="Arial" w:cs="Arial" w:eastAsia="Arial" w:hAnsi="Arial"/>
                <w:sz w:val="14"/>
                <w:szCs w:val="14"/>
                <w:color w:val="auto"/>
              </w:rPr>
              <w:t>31,521</w:t>
            </w:r>
          </w:p>
        </w:tc>
        <w:tc>
          <w:tcPr>
            <w:tcW w:w="0" w:type="dxa"/>
            <w:vAlign w:val="bottom"/>
          </w:tcPr>
          <w:p>
            <w:pPr>
              <w:spacing w:after="0"/>
              <w:rPr>
                <w:sz w:val="1"/>
                <w:szCs w:val="1"/>
                <w:color w:val="auto"/>
              </w:rPr>
            </w:pPr>
          </w:p>
        </w:tc>
      </w:tr>
      <w:tr>
        <w:trPr>
          <w:trHeight w:val="182"/>
        </w:trPr>
        <w:tc>
          <w:tcPr>
            <w:tcW w:w="7420" w:type="dxa"/>
            <w:vAlign w:val="bottom"/>
            <w:tcBorders>
              <w:bottom w:val="single" w:sz="8" w:color="9D9D9C"/>
            </w:tcBorders>
          </w:tcPr>
          <w:p>
            <w:pPr>
              <w:ind w:left="20"/>
              <w:spacing w:after="0"/>
              <w:rPr>
                <w:sz w:val="20"/>
                <w:szCs w:val="20"/>
                <w:color w:val="auto"/>
              </w:rPr>
            </w:pPr>
            <w:r>
              <w:rPr>
                <w:rFonts w:ascii="Arial" w:cs="Arial" w:eastAsia="Arial" w:hAnsi="Arial"/>
                <w:sz w:val="14"/>
                <w:szCs w:val="14"/>
                <w:b w:val="1"/>
                <w:bCs w:val="1"/>
                <w:color w:val="003478"/>
              </w:rPr>
              <w:t>Vicki A. Hollub</w:t>
            </w:r>
          </w:p>
        </w:tc>
        <w:tc>
          <w:tcPr>
            <w:tcW w:w="118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1,754</w:t>
            </w:r>
          </w:p>
        </w:tc>
        <w:tc>
          <w:tcPr>
            <w:tcW w:w="400" w:type="dxa"/>
            <w:vAlign w:val="bottom"/>
            <w:tcBorders>
              <w:bottom w:val="single" w:sz="8" w:color="9D9D9C"/>
            </w:tcBorders>
          </w:tcPr>
          <w:p>
            <w:pPr>
              <w:spacing w:after="0"/>
              <w:rPr>
                <w:sz w:val="15"/>
                <w:szCs w:val="15"/>
                <w:color w:val="auto"/>
              </w:rPr>
            </w:pPr>
          </w:p>
        </w:tc>
        <w:tc>
          <w:tcPr>
            <w:tcW w:w="880" w:type="dxa"/>
            <w:vAlign w:val="bottom"/>
            <w:tcBorders>
              <w:bottom w:val="single" w:sz="8" w:color="9D9D9C"/>
            </w:tcBorders>
          </w:tcPr>
          <w:p>
            <w:pPr>
              <w:jc w:val="right"/>
              <w:ind w:right="9"/>
              <w:spacing w:after="0"/>
              <w:rPr>
                <w:sz w:val="20"/>
                <w:szCs w:val="20"/>
                <w:color w:val="auto"/>
              </w:rPr>
            </w:pPr>
            <w:r>
              <w:rPr>
                <w:rFonts w:ascii="Arial" w:cs="Arial" w:eastAsia="Arial" w:hAnsi="Arial"/>
                <w:sz w:val="14"/>
                <w:szCs w:val="14"/>
                <w:color w:val="auto"/>
              </w:rPr>
              <w:t>1,619</w:t>
            </w:r>
          </w:p>
        </w:tc>
        <w:tc>
          <w:tcPr>
            <w:tcW w:w="580" w:type="dxa"/>
            <w:vAlign w:val="bottom"/>
            <w:tcBorders>
              <w:bottom w:val="single" w:sz="8" w:color="9D9D9C"/>
            </w:tcBorders>
          </w:tcPr>
          <w:p>
            <w:pPr>
              <w:spacing w:after="0"/>
              <w:rPr>
                <w:sz w:val="20"/>
                <w:szCs w:val="20"/>
                <w:color w:val="auto"/>
              </w:rPr>
            </w:pPr>
            <w:r>
              <w:rPr>
                <w:rFonts w:ascii="Arial" w:cs="Arial" w:eastAsia="Arial" w:hAnsi="Arial"/>
                <w:sz w:val="11"/>
                <w:szCs w:val="11"/>
                <w:color w:val="auto"/>
              </w:rPr>
              <w:t>7,8</w:t>
            </w:r>
          </w:p>
        </w:tc>
        <w:tc>
          <w:tcPr>
            <w:tcW w:w="78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3,373</w:t>
            </w:r>
          </w:p>
        </w:tc>
        <w:tc>
          <w:tcPr>
            <w:tcW w:w="0" w:type="dxa"/>
            <w:vAlign w:val="bottom"/>
          </w:tcPr>
          <w:p>
            <w:pPr>
              <w:spacing w:after="0"/>
              <w:rPr>
                <w:sz w:val="1"/>
                <w:szCs w:val="1"/>
                <w:color w:val="auto"/>
              </w:rPr>
            </w:pPr>
          </w:p>
        </w:tc>
      </w:tr>
      <w:tr>
        <w:trPr>
          <w:trHeight w:val="182"/>
        </w:trPr>
        <w:tc>
          <w:tcPr>
            <w:tcW w:w="7420" w:type="dxa"/>
            <w:vAlign w:val="bottom"/>
            <w:tcBorders>
              <w:bottom w:val="single" w:sz="8" w:color="9D9D9C"/>
            </w:tcBorders>
            <w:shd w:val="clear" w:color="auto" w:fill="E4E6EF"/>
          </w:tcPr>
          <w:p>
            <w:pPr>
              <w:ind w:left="20"/>
              <w:spacing w:after="0"/>
              <w:rPr>
                <w:sz w:val="20"/>
                <w:szCs w:val="20"/>
                <w:color w:val="auto"/>
              </w:rPr>
            </w:pPr>
            <w:r>
              <w:rPr>
                <w:rFonts w:ascii="Arial" w:cs="Arial" w:eastAsia="Arial" w:hAnsi="Arial"/>
                <w:sz w:val="14"/>
                <w:szCs w:val="14"/>
                <w:b w:val="1"/>
                <w:bCs w:val="1"/>
                <w:color w:val="003478"/>
              </w:rPr>
              <w:t>Jeh C. Johnson</w:t>
            </w:r>
          </w:p>
        </w:tc>
        <w:tc>
          <w:tcPr>
            <w:tcW w:w="1180" w:type="dxa"/>
            <w:vAlign w:val="bottom"/>
            <w:tcBorders>
              <w:bottom w:val="single" w:sz="8" w:color="9D9D9C"/>
            </w:tcBorders>
            <w:shd w:val="clear" w:color="auto" w:fill="E4E6EF"/>
          </w:tcPr>
          <w:p>
            <w:pPr>
              <w:jc w:val="right"/>
              <w:spacing w:after="0"/>
              <w:rPr>
                <w:sz w:val="20"/>
                <w:szCs w:val="20"/>
                <w:color w:val="auto"/>
              </w:rPr>
            </w:pPr>
            <w:r>
              <w:rPr>
                <w:rFonts w:ascii="Arial" w:cs="Arial" w:eastAsia="Arial" w:hAnsi="Arial"/>
                <w:sz w:val="14"/>
                <w:szCs w:val="14"/>
                <w:color w:val="auto"/>
              </w:rPr>
              <w:t>1,978</w:t>
            </w:r>
          </w:p>
        </w:tc>
        <w:tc>
          <w:tcPr>
            <w:tcW w:w="400" w:type="dxa"/>
            <w:vAlign w:val="bottom"/>
            <w:tcBorders>
              <w:bottom w:val="single" w:sz="8" w:color="9D9D9C"/>
            </w:tcBorders>
            <w:shd w:val="clear" w:color="auto" w:fill="E4E6EF"/>
          </w:tcPr>
          <w:p>
            <w:pPr>
              <w:spacing w:after="0"/>
              <w:rPr>
                <w:sz w:val="15"/>
                <w:szCs w:val="15"/>
                <w:color w:val="auto"/>
              </w:rPr>
            </w:pPr>
          </w:p>
        </w:tc>
        <w:tc>
          <w:tcPr>
            <w:tcW w:w="880" w:type="dxa"/>
            <w:vAlign w:val="bottom"/>
            <w:tcBorders>
              <w:bottom w:val="single" w:sz="8" w:color="9D9D9C"/>
            </w:tcBorders>
            <w:shd w:val="clear" w:color="auto" w:fill="E4E6EF"/>
          </w:tcPr>
          <w:p>
            <w:pPr>
              <w:jc w:val="right"/>
              <w:ind w:right="9"/>
              <w:spacing w:after="0"/>
              <w:rPr>
                <w:sz w:val="20"/>
                <w:szCs w:val="20"/>
                <w:color w:val="auto"/>
              </w:rPr>
            </w:pPr>
            <w:r>
              <w:rPr>
                <w:rFonts w:ascii="Arial" w:cs="Arial" w:eastAsia="Arial" w:hAnsi="Arial"/>
                <w:sz w:val="14"/>
                <w:szCs w:val="14"/>
                <w:color w:val="auto"/>
              </w:rPr>
              <w:t>418</w:t>
            </w:r>
          </w:p>
        </w:tc>
        <w:tc>
          <w:tcPr>
            <w:tcW w:w="580" w:type="dxa"/>
            <w:vAlign w:val="bottom"/>
            <w:tcBorders>
              <w:bottom w:val="single" w:sz="8" w:color="9D9D9C"/>
            </w:tcBorders>
            <w:shd w:val="clear" w:color="auto" w:fill="E4E6EF"/>
          </w:tcPr>
          <w:p>
            <w:pPr>
              <w:spacing w:after="0"/>
              <w:rPr>
                <w:sz w:val="20"/>
                <w:szCs w:val="20"/>
                <w:color w:val="auto"/>
              </w:rPr>
            </w:pPr>
            <w:r>
              <w:rPr>
                <w:rFonts w:ascii="Arial" w:cs="Arial" w:eastAsia="Arial" w:hAnsi="Arial"/>
                <w:sz w:val="11"/>
                <w:szCs w:val="11"/>
                <w:color w:val="auto"/>
              </w:rPr>
              <w:t>7</w:t>
            </w:r>
          </w:p>
        </w:tc>
        <w:tc>
          <w:tcPr>
            <w:tcW w:w="780" w:type="dxa"/>
            <w:vAlign w:val="bottom"/>
            <w:tcBorders>
              <w:bottom w:val="single" w:sz="8" w:color="9D9D9C"/>
            </w:tcBorders>
            <w:shd w:val="clear" w:color="auto" w:fill="E4E6EF"/>
          </w:tcPr>
          <w:p>
            <w:pPr>
              <w:jc w:val="right"/>
              <w:spacing w:after="0"/>
              <w:rPr>
                <w:sz w:val="20"/>
                <w:szCs w:val="20"/>
                <w:color w:val="auto"/>
              </w:rPr>
            </w:pPr>
            <w:r>
              <w:rPr>
                <w:rFonts w:ascii="Arial" w:cs="Arial" w:eastAsia="Arial" w:hAnsi="Arial"/>
                <w:sz w:val="14"/>
                <w:szCs w:val="14"/>
                <w:color w:val="auto"/>
              </w:rPr>
              <w:t>2,396</w:t>
            </w:r>
          </w:p>
        </w:tc>
        <w:tc>
          <w:tcPr>
            <w:tcW w:w="0" w:type="dxa"/>
            <w:vAlign w:val="bottom"/>
          </w:tcPr>
          <w:p>
            <w:pPr>
              <w:spacing w:after="0"/>
              <w:rPr>
                <w:sz w:val="1"/>
                <w:szCs w:val="1"/>
                <w:color w:val="auto"/>
              </w:rPr>
            </w:pPr>
          </w:p>
        </w:tc>
      </w:tr>
      <w:tr>
        <w:trPr>
          <w:trHeight w:val="182"/>
        </w:trPr>
        <w:tc>
          <w:tcPr>
            <w:tcW w:w="7420" w:type="dxa"/>
            <w:vAlign w:val="bottom"/>
            <w:tcBorders>
              <w:bottom w:val="single" w:sz="8" w:color="9D9D9C"/>
            </w:tcBorders>
          </w:tcPr>
          <w:p>
            <w:pPr>
              <w:ind w:left="20"/>
              <w:spacing w:after="0"/>
              <w:rPr>
                <w:sz w:val="20"/>
                <w:szCs w:val="20"/>
                <w:color w:val="auto"/>
              </w:rPr>
            </w:pPr>
            <w:r>
              <w:rPr>
                <w:rFonts w:ascii="Arial" w:cs="Arial" w:eastAsia="Arial" w:hAnsi="Arial"/>
                <w:sz w:val="14"/>
                <w:szCs w:val="14"/>
                <w:b w:val="1"/>
                <w:bCs w:val="1"/>
                <w:color w:val="003478"/>
              </w:rPr>
              <w:t>John W. Mollard</w:t>
            </w:r>
          </w:p>
        </w:tc>
        <w:tc>
          <w:tcPr>
            <w:tcW w:w="118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8,245</w:t>
            </w:r>
          </w:p>
        </w:tc>
        <w:tc>
          <w:tcPr>
            <w:tcW w:w="400" w:type="dxa"/>
            <w:vAlign w:val="bottom"/>
            <w:tcBorders>
              <w:bottom w:val="single" w:sz="8" w:color="9D9D9C"/>
            </w:tcBorders>
          </w:tcPr>
          <w:p>
            <w:pPr>
              <w:spacing w:after="0"/>
              <w:rPr>
                <w:sz w:val="15"/>
                <w:szCs w:val="15"/>
                <w:color w:val="auto"/>
              </w:rPr>
            </w:pPr>
          </w:p>
        </w:tc>
        <w:tc>
          <w:tcPr>
            <w:tcW w:w="880" w:type="dxa"/>
            <w:vAlign w:val="bottom"/>
            <w:tcBorders>
              <w:bottom w:val="single" w:sz="8" w:color="9D9D9C"/>
            </w:tcBorders>
          </w:tcPr>
          <w:p>
            <w:pPr>
              <w:jc w:val="right"/>
              <w:ind w:right="9"/>
              <w:spacing w:after="0"/>
              <w:rPr>
                <w:sz w:val="20"/>
                <w:szCs w:val="20"/>
                <w:color w:val="auto"/>
              </w:rPr>
            </w:pPr>
            <w:r>
              <w:rPr>
                <w:rFonts w:ascii="Arial" w:cs="Arial" w:eastAsia="Arial" w:hAnsi="Arial"/>
                <w:sz w:val="14"/>
                <w:szCs w:val="14"/>
                <w:color w:val="auto"/>
              </w:rPr>
              <w:t>5,540</w:t>
            </w:r>
          </w:p>
        </w:tc>
        <w:tc>
          <w:tcPr>
            <w:tcW w:w="580" w:type="dxa"/>
            <w:vAlign w:val="bottom"/>
            <w:tcBorders>
              <w:bottom w:val="single" w:sz="8" w:color="9D9D9C"/>
            </w:tcBorders>
          </w:tcPr>
          <w:p>
            <w:pPr>
              <w:spacing w:after="0"/>
              <w:rPr>
                <w:sz w:val="20"/>
                <w:szCs w:val="20"/>
                <w:color w:val="auto"/>
              </w:rPr>
            </w:pPr>
            <w:r>
              <w:rPr>
                <w:rFonts w:ascii="Arial" w:cs="Arial" w:eastAsia="Arial" w:hAnsi="Arial"/>
                <w:sz w:val="11"/>
                <w:szCs w:val="11"/>
                <w:color w:val="auto"/>
              </w:rPr>
              <w:t>10,11</w:t>
            </w:r>
          </w:p>
        </w:tc>
        <w:tc>
          <w:tcPr>
            <w:tcW w:w="78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13,785</w:t>
            </w:r>
          </w:p>
        </w:tc>
        <w:tc>
          <w:tcPr>
            <w:tcW w:w="0" w:type="dxa"/>
            <w:vAlign w:val="bottom"/>
          </w:tcPr>
          <w:p>
            <w:pPr>
              <w:spacing w:after="0"/>
              <w:rPr>
                <w:sz w:val="1"/>
                <w:szCs w:val="1"/>
                <w:color w:val="auto"/>
              </w:rPr>
            </w:pPr>
          </w:p>
        </w:tc>
      </w:tr>
      <w:tr>
        <w:trPr>
          <w:trHeight w:val="182"/>
        </w:trPr>
        <w:tc>
          <w:tcPr>
            <w:tcW w:w="7420" w:type="dxa"/>
            <w:vAlign w:val="bottom"/>
            <w:tcBorders>
              <w:bottom w:val="single" w:sz="8" w:color="9D9D9C"/>
            </w:tcBorders>
            <w:shd w:val="clear" w:color="auto" w:fill="E4E6EF"/>
          </w:tcPr>
          <w:p>
            <w:pPr>
              <w:ind w:left="20"/>
              <w:spacing w:after="0"/>
              <w:rPr>
                <w:sz w:val="20"/>
                <w:szCs w:val="20"/>
                <w:color w:val="auto"/>
              </w:rPr>
            </w:pPr>
            <w:r>
              <w:rPr>
                <w:rFonts w:ascii="Arial" w:cs="Arial" w:eastAsia="Arial" w:hAnsi="Arial"/>
                <w:sz w:val="14"/>
                <w:szCs w:val="14"/>
                <w:b w:val="1"/>
                <w:bCs w:val="1"/>
                <w:color w:val="003478"/>
              </w:rPr>
              <w:t>Kenneth R. Possenriede</w:t>
            </w:r>
          </w:p>
        </w:tc>
        <w:tc>
          <w:tcPr>
            <w:tcW w:w="1180" w:type="dxa"/>
            <w:vAlign w:val="bottom"/>
            <w:tcBorders>
              <w:bottom w:val="single" w:sz="8" w:color="9D9D9C"/>
            </w:tcBorders>
            <w:shd w:val="clear" w:color="auto" w:fill="E4E6EF"/>
          </w:tcPr>
          <w:p>
            <w:pPr>
              <w:jc w:val="right"/>
              <w:spacing w:after="0"/>
              <w:rPr>
                <w:sz w:val="20"/>
                <w:szCs w:val="20"/>
                <w:color w:val="auto"/>
              </w:rPr>
            </w:pPr>
            <w:r>
              <w:rPr>
                <w:rFonts w:ascii="Arial" w:cs="Arial" w:eastAsia="Arial" w:hAnsi="Arial"/>
                <w:sz w:val="14"/>
                <w:szCs w:val="14"/>
                <w:color w:val="auto"/>
              </w:rPr>
              <w:t>8,458</w:t>
            </w:r>
          </w:p>
        </w:tc>
        <w:tc>
          <w:tcPr>
            <w:tcW w:w="400" w:type="dxa"/>
            <w:vAlign w:val="bottom"/>
            <w:tcBorders>
              <w:bottom w:val="single" w:sz="8" w:color="9D9D9C"/>
            </w:tcBorders>
            <w:shd w:val="clear" w:color="auto" w:fill="E4E6EF"/>
          </w:tcPr>
          <w:p>
            <w:pPr>
              <w:spacing w:after="0"/>
              <w:rPr>
                <w:sz w:val="15"/>
                <w:szCs w:val="15"/>
                <w:color w:val="auto"/>
              </w:rPr>
            </w:pPr>
          </w:p>
        </w:tc>
        <w:tc>
          <w:tcPr>
            <w:tcW w:w="880" w:type="dxa"/>
            <w:vAlign w:val="bottom"/>
            <w:tcBorders>
              <w:bottom w:val="single" w:sz="8" w:color="9D9D9C"/>
            </w:tcBorders>
            <w:shd w:val="clear" w:color="auto" w:fill="E4E6EF"/>
          </w:tcPr>
          <w:p>
            <w:pPr>
              <w:jc w:val="right"/>
              <w:ind w:right="9"/>
              <w:spacing w:after="0"/>
              <w:rPr>
                <w:sz w:val="20"/>
                <w:szCs w:val="20"/>
                <w:color w:val="auto"/>
              </w:rPr>
            </w:pPr>
            <w:r>
              <w:rPr>
                <w:rFonts w:ascii="Arial" w:cs="Arial" w:eastAsia="Arial" w:hAnsi="Arial"/>
                <w:sz w:val="14"/>
                <w:szCs w:val="14"/>
                <w:color w:val="auto"/>
              </w:rPr>
              <w:t>6,759</w:t>
            </w:r>
          </w:p>
        </w:tc>
        <w:tc>
          <w:tcPr>
            <w:tcW w:w="580" w:type="dxa"/>
            <w:vAlign w:val="bottom"/>
            <w:tcBorders>
              <w:bottom w:val="single" w:sz="8" w:color="9D9D9C"/>
            </w:tcBorders>
            <w:shd w:val="clear" w:color="auto" w:fill="E4E6EF"/>
          </w:tcPr>
          <w:p>
            <w:pPr>
              <w:spacing w:after="0"/>
              <w:rPr>
                <w:sz w:val="20"/>
                <w:szCs w:val="20"/>
                <w:color w:val="auto"/>
              </w:rPr>
            </w:pPr>
            <w:r>
              <w:rPr>
                <w:rFonts w:ascii="Arial" w:cs="Arial" w:eastAsia="Arial" w:hAnsi="Arial"/>
                <w:sz w:val="11"/>
                <w:szCs w:val="11"/>
                <w:color w:val="auto"/>
              </w:rPr>
              <w:t>9,10,11</w:t>
            </w:r>
          </w:p>
        </w:tc>
        <w:tc>
          <w:tcPr>
            <w:tcW w:w="780" w:type="dxa"/>
            <w:vAlign w:val="bottom"/>
            <w:tcBorders>
              <w:bottom w:val="single" w:sz="8" w:color="9D9D9C"/>
            </w:tcBorders>
            <w:shd w:val="clear" w:color="auto" w:fill="E4E6EF"/>
          </w:tcPr>
          <w:p>
            <w:pPr>
              <w:jc w:val="right"/>
              <w:spacing w:after="0"/>
              <w:rPr>
                <w:sz w:val="20"/>
                <w:szCs w:val="20"/>
                <w:color w:val="auto"/>
              </w:rPr>
            </w:pPr>
            <w:r>
              <w:rPr>
                <w:rFonts w:ascii="Arial" w:cs="Arial" w:eastAsia="Arial" w:hAnsi="Arial"/>
                <w:sz w:val="14"/>
                <w:szCs w:val="14"/>
                <w:color w:val="auto"/>
              </w:rPr>
              <w:t>15,217</w:t>
            </w:r>
          </w:p>
        </w:tc>
        <w:tc>
          <w:tcPr>
            <w:tcW w:w="0" w:type="dxa"/>
            <w:vAlign w:val="bottom"/>
          </w:tcPr>
          <w:p>
            <w:pPr>
              <w:spacing w:after="0"/>
              <w:rPr>
                <w:sz w:val="1"/>
                <w:szCs w:val="1"/>
                <w:color w:val="auto"/>
              </w:rPr>
            </w:pPr>
          </w:p>
        </w:tc>
      </w:tr>
      <w:tr>
        <w:trPr>
          <w:trHeight w:val="182"/>
        </w:trPr>
        <w:tc>
          <w:tcPr>
            <w:tcW w:w="7420" w:type="dxa"/>
            <w:vAlign w:val="bottom"/>
            <w:tcBorders>
              <w:bottom w:val="single" w:sz="8" w:color="9D9D9C"/>
            </w:tcBorders>
          </w:tcPr>
          <w:p>
            <w:pPr>
              <w:ind w:left="20"/>
              <w:spacing w:after="0"/>
              <w:rPr>
                <w:sz w:val="20"/>
                <w:szCs w:val="20"/>
                <w:color w:val="auto"/>
              </w:rPr>
            </w:pPr>
            <w:r>
              <w:rPr>
                <w:rFonts w:ascii="Arial" w:cs="Arial" w:eastAsia="Arial" w:hAnsi="Arial"/>
                <w:sz w:val="14"/>
                <w:szCs w:val="14"/>
                <w:b w:val="1"/>
                <w:bCs w:val="1"/>
                <w:color w:val="003478"/>
              </w:rPr>
              <w:t>Debra L. Reed-Klages</w:t>
            </w:r>
          </w:p>
        </w:tc>
        <w:tc>
          <w:tcPr>
            <w:tcW w:w="118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1,137</w:t>
            </w:r>
          </w:p>
        </w:tc>
        <w:tc>
          <w:tcPr>
            <w:tcW w:w="400" w:type="dxa"/>
            <w:vAlign w:val="bottom"/>
            <w:tcBorders>
              <w:bottom w:val="single" w:sz="8" w:color="9D9D9C"/>
            </w:tcBorders>
          </w:tcPr>
          <w:p>
            <w:pPr>
              <w:spacing w:after="0"/>
              <w:rPr>
                <w:sz w:val="15"/>
                <w:szCs w:val="15"/>
                <w:color w:val="auto"/>
              </w:rPr>
            </w:pPr>
          </w:p>
        </w:tc>
        <w:tc>
          <w:tcPr>
            <w:tcW w:w="880" w:type="dxa"/>
            <w:vAlign w:val="bottom"/>
            <w:tcBorders>
              <w:bottom w:val="single" w:sz="8" w:color="9D9D9C"/>
            </w:tcBorders>
          </w:tcPr>
          <w:p>
            <w:pPr>
              <w:jc w:val="right"/>
              <w:ind w:right="9"/>
              <w:spacing w:after="0"/>
              <w:rPr>
                <w:sz w:val="20"/>
                <w:szCs w:val="20"/>
                <w:color w:val="auto"/>
              </w:rPr>
            </w:pPr>
            <w:r>
              <w:rPr>
                <w:rFonts w:ascii="Arial" w:cs="Arial" w:eastAsia="Arial" w:hAnsi="Arial"/>
                <w:sz w:val="14"/>
                <w:szCs w:val="14"/>
                <w:color w:val="auto"/>
              </w:rPr>
              <w:t>418</w:t>
            </w:r>
          </w:p>
        </w:tc>
        <w:tc>
          <w:tcPr>
            <w:tcW w:w="580" w:type="dxa"/>
            <w:vAlign w:val="bottom"/>
            <w:tcBorders>
              <w:bottom w:val="single" w:sz="8" w:color="9D9D9C"/>
            </w:tcBorders>
          </w:tcPr>
          <w:p>
            <w:pPr>
              <w:spacing w:after="0"/>
              <w:rPr>
                <w:sz w:val="20"/>
                <w:szCs w:val="20"/>
                <w:color w:val="auto"/>
              </w:rPr>
            </w:pPr>
            <w:r>
              <w:rPr>
                <w:rFonts w:ascii="Arial" w:cs="Arial" w:eastAsia="Arial" w:hAnsi="Arial"/>
                <w:sz w:val="11"/>
                <w:szCs w:val="11"/>
                <w:color w:val="auto"/>
              </w:rPr>
              <w:t>7</w:t>
            </w:r>
          </w:p>
        </w:tc>
        <w:tc>
          <w:tcPr>
            <w:tcW w:w="780" w:type="dxa"/>
            <w:vAlign w:val="bottom"/>
            <w:tcBorders>
              <w:bottom w:val="single" w:sz="8" w:color="9D9D9C"/>
            </w:tcBorders>
          </w:tcPr>
          <w:p>
            <w:pPr>
              <w:jc w:val="right"/>
              <w:spacing w:after="0"/>
              <w:rPr>
                <w:sz w:val="20"/>
                <w:szCs w:val="20"/>
                <w:color w:val="auto"/>
              </w:rPr>
            </w:pPr>
            <w:r>
              <w:rPr>
                <w:rFonts w:ascii="Arial" w:cs="Arial" w:eastAsia="Arial" w:hAnsi="Arial"/>
                <w:sz w:val="14"/>
                <w:szCs w:val="14"/>
                <w:color w:val="auto"/>
              </w:rPr>
              <w:t>1,555</w:t>
            </w:r>
          </w:p>
        </w:tc>
        <w:tc>
          <w:tcPr>
            <w:tcW w:w="0" w:type="dxa"/>
            <w:vAlign w:val="bottom"/>
          </w:tcPr>
          <w:p>
            <w:pPr>
              <w:spacing w:after="0"/>
              <w:rPr>
                <w:sz w:val="1"/>
                <w:szCs w:val="1"/>
                <w:color w:val="auto"/>
              </w:rPr>
            </w:pPr>
          </w:p>
        </w:tc>
      </w:tr>
      <w:tr>
        <w:trPr>
          <w:trHeight w:val="182"/>
        </w:trPr>
        <w:tc>
          <w:tcPr>
            <w:tcW w:w="7420" w:type="dxa"/>
            <w:vAlign w:val="bottom"/>
            <w:tcBorders>
              <w:bottom w:val="single" w:sz="8" w:color="9D9D9C"/>
            </w:tcBorders>
            <w:shd w:val="clear" w:color="auto" w:fill="E4E6EF"/>
          </w:tcPr>
          <w:p>
            <w:pPr>
              <w:ind w:left="20"/>
              <w:spacing w:after="0"/>
              <w:rPr>
                <w:sz w:val="20"/>
                <w:szCs w:val="20"/>
                <w:color w:val="auto"/>
              </w:rPr>
            </w:pPr>
            <w:r>
              <w:rPr>
                <w:rFonts w:ascii="Arial" w:cs="Arial" w:eastAsia="Arial" w:hAnsi="Arial"/>
                <w:sz w:val="14"/>
                <w:szCs w:val="14"/>
                <w:b w:val="1"/>
                <w:bCs w:val="1"/>
                <w:color w:val="003478"/>
              </w:rPr>
              <w:t>Frank A. St. John</w:t>
            </w:r>
          </w:p>
        </w:tc>
        <w:tc>
          <w:tcPr>
            <w:tcW w:w="1180" w:type="dxa"/>
            <w:vAlign w:val="bottom"/>
            <w:tcBorders>
              <w:bottom w:val="single" w:sz="8" w:color="9D9D9C"/>
            </w:tcBorders>
            <w:shd w:val="clear" w:color="auto" w:fill="E4E6EF"/>
          </w:tcPr>
          <w:p>
            <w:pPr>
              <w:jc w:val="right"/>
              <w:spacing w:after="0"/>
              <w:rPr>
                <w:sz w:val="20"/>
                <w:szCs w:val="20"/>
                <w:color w:val="auto"/>
              </w:rPr>
            </w:pPr>
            <w:r>
              <w:rPr>
                <w:rFonts w:ascii="Arial" w:cs="Arial" w:eastAsia="Arial" w:hAnsi="Arial"/>
                <w:sz w:val="14"/>
                <w:szCs w:val="14"/>
                <w:color w:val="auto"/>
              </w:rPr>
              <w:t>8,072</w:t>
            </w:r>
          </w:p>
        </w:tc>
        <w:tc>
          <w:tcPr>
            <w:tcW w:w="400" w:type="dxa"/>
            <w:vAlign w:val="bottom"/>
            <w:tcBorders>
              <w:bottom w:val="single" w:sz="8" w:color="9D9D9C"/>
            </w:tcBorders>
            <w:shd w:val="clear" w:color="auto" w:fill="E4E6EF"/>
          </w:tcPr>
          <w:p>
            <w:pPr>
              <w:spacing w:after="0"/>
              <w:rPr>
                <w:sz w:val="15"/>
                <w:szCs w:val="15"/>
                <w:color w:val="auto"/>
              </w:rPr>
            </w:pPr>
          </w:p>
        </w:tc>
        <w:tc>
          <w:tcPr>
            <w:tcW w:w="880" w:type="dxa"/>
            <w:vAlign w:val="bottom"/>
            <w:tcBorders>
              <w:bottom w:val="single" w:sz="8" w:color="9D9D9C"/>
            </w:tcBorders>
            <w:shd w:val="clear" w:color="auto" w:fill="E4E6EF"/>
          </w:tcPr>
          <w:p>
            <w:pPr>
              <w:jc w:val="right"/>
              <w:ind w:right="9"/>
              <w:spacing w:after="0"/>
              <w:rPr>
                <w:sz w:val="20"/>
                <w:szCs w:val="20"/>
                <w:color w:val="auto"/>
              </w:rPr>
            </w:pPr>
            <w:r>
              <w:rPr>
                <w:rFonts w:ascii="Arial" w:cs="Arial" w:eastAsia="Arial" w:hAnsi="Arial"/>
                <w:sz w:val="14"/>
                <w:szCs w:val="14"/>
                <w:color w:val="auto"/>
              </w:rPr>
              <w:t>12,976</w:t>
            </w:r>
          </w:p>
        </w:tc>
        <w:tc>
          <w:tcPr>
            <w:tcW w:w="580" w:type="dxa"/>
            <w:vAlign w:val="bottom"/>
            <w:tcBorders>
              <w:bottom w:val="single" w:sz="8" w:color="9D9D9C"/>
            </w:tcBorders>
            <w:shd w:val="clear" w:color="auto" w:fill="E4E6EF"/>
          </w:tcPr>
          <w:p>
            <w:pPr>
              <w:spacing w:after="0"/>
              <w:rPr>
                <w:sz w:val="20"/>
                <w:szCs w:val="20"/>
                <w:color w:val="auto"/>
              </w:rPr>
            </w:pPr>
            <w:r>
              <w:rPr>
                <w:rFonts w:ascii="Arial" w:cs="Arial" w:eastAsia="Arial" w:hAnsi="Arial"/>
                <w:sz w:val="11"/>
                <w:szCs w:val="11"/>
                <w:color w:val="auto"/>
              </w:rPr>
              <w:t>9,10,11</w:t>
            </w:r>
          </w:p>
        </w:tc>
        <w:tc>
          <w:tcPr>
            <w:tcW w:w="780" w:type="dxa"/>
            <w:vAlign w:val="bottom"/>
            <w:tcBorders>
              <w:bottom w:val="single" w:sz="8" w:color="9D9D9C"/>
            </w:tcBorders>
            <w:shd w:val="clear" w:color="auto" w:fill="E4E6EF"/>
          </w:tcPr>
          <w:p>
            <w:pPr>
              <w:jc w:val="right"/>
              <w:spacing w:after="0"/>
              <w:rPr>
                <w:sz w:val="20"/>
                <w:szCs w:val="20"/>
                <w:color w:val="auto"/>
              </w:rPr>
            </w:pPr>
            <w:r>
              <w:rPr>
                <w:rFonts w:ascii="Arial" w:cs="Arial" w:eastAsia="Arial" w:hAnsi="Arial"/>
                <w:sz w:val="14"/>
                <w:szCs w:val="14"/>
                <w:color w:val="auto"/>
              </w:rPr>
              <w:t>21,048</w:t>
            </w:r>
          </w:p>
        </w:tc>
        <w:tc>
          <w:tcPr>
            <w:tcW w:w="0" w:type="dxa"/>
            <w:vAlign w:val="bottom"/>
          </w:tcPr>
          <w:p>
            <w:pPr>
              <w:spacing w:after="0"/>
              <w:rPr>
                <w:sz w:val="1"/>
                <w:szCs w:val="1"/>
                <w:color w:val="auto"/>
              </w:rPr>
            </w:pPr>
          </w:p>
        </w:tc>
      </w:tr>
      <w:tr>
        <w:trPr>
          <w:trHeight w:val="182"/>
        </w:trPr>
        <w:tc>
          <w:tcPr>
            <w:tcW w:w="7420" w:type="dxa"/>
            <w:vAlign w:val="bottom"/>
            <w:tcBorders>
              <w:bottom w:val="single" w:sz="8" w:color="9D9D9C"/>
            </w:tcBorders>
          </w:tcPr>
          <w:p>
            <w:pPr>
              <w:ind w:left="20"/>
              <w:spacing w:after="0"/>
              <w:rPr>
                <w:sz w:val="20"/>
                <w:szCs w:val="20"/>
                <w:color w:val="auto"/>
              </w:rPr>
            </w:pPr>
            <w:r>
              <w:rPr>
                <w:rFonts w:ascii="Arial" w:cs="Arial" w:eastAsia="Arial" w:hAnsi="Arial"/>
                <w:sz w:val="14"/>
                <w:szCs w:val="14"/>
                <w:b w:val="1"/>
                <w:bCs w:val="1"/>
                <w:color w:val="003478"/>
              </w:rPr>
              <w:t>James D. Taiclet</w:t>
            </w:r>
          </w:p>
        </w:tc>
        <w:tc>
          <w:tcPr>
            <w:tcW w:w="118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6,740</w:t>
            </w:r>
          </w:p>
        </w:tc>
        <w:tc>
          <w:tcPr>
            <w:tcW w:w="400" w:type="dxa"/>
            <w:vAlign w:val="bottom"/>
            <w:tcBorders>
              <w:bottom w:val="single" w:sz="8" w:color="929292"/>
            </w:tcBorders>
          </w:tcPr>
          <w:p>
            <w:pPr>
              <w:spacing w:after="0"/>
              <w:rPr>
                <w:sz w:val="15"/>
                <w:szCs w:val="15"/>
                <w:color w:val="auto"/>
              </w:rPr>
            </w:pPr>
          </w:p>
        </w:tc>
        <w:tc>
          <w:tcPr>
            <w:tcW w:w="880" w:type="dxa"/>
            <w:vAlign w:val="bottom"/>
            <w:tcBorders>
              <w:bottom w:val="single" w:sz="8" w:color="929292"/>
            </w:tcBorders>
          </w:tcPr>
          <w:p>
            <w:pPr>
              <w:jc w:val="right"/>
              <w:ind w:right="9"/>
              <w:spacing w:after="0"/>
              <w:rPr>
                <w:sz w:val="20"/>
                <w:szCs w:val="20"/>
                <w:color w:val="auto"/>
              </w:rPr>
            </w:pPr>
            <w:r>
              <w:rPr>
                <w:rFonts w:ascii="Arial" w:cs="Arial" w:eastAsia="Arial" w:hAnsi="Arial"/>
                <w:sz w:val="14"/>
                <w:szCs w:val="14"/>
                <w:color w:val="auto"/>
              </w:rPr>
              <w:t>42,240</w:t>
            </w:r>
          </w:p>
        </w:tc>
        <w:tc>
          <w:tcPr>
            <w:tcW w:w="580" w:type="dxa"/>
            <w:vAlign w:val="bottom"/>
            <w:tcBorders>
              <w:bottom w:val="single" w:sz="8" w:color="929292"/>
            </w:tcBorders>
          </w:tcPr>
          <w:p>
            <w:pPr>
              <w:spacing w:after="0"/>
              <w:rPr>
                <w:sz w:val="20"/>
                <w:szCs w:val="20"/>
                <w:color w:val="auto"/>
              </w:rPr>
            </w:pPr>
            <w:r>
              <w:rPr>
                <w:rFonts w:ascii="Arial" w:cs="Arial" w:eastAsia="Arial" w:hAnsi="Arial"/>
                <w:sz w:val="11"/>
                <w:szCs w:val="11"/>
                <w:color w:val="auto"/>
              </w:rPr>
              <w:t>10,11</w:t>
            </w:r>
          </w:p>
        </w:tc>
        <w:tc>
          <w:tcPr>
            <w:tcW w:w="78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48,980</w:t>
            </w:r>
          </w:p>
        </w:tc>
        <w:tc>
          <w:tcPr>
            <w:tcW w:w="0" w:type="dxa"/>
            <w:vAlign w:val="bottom"/>
          </w:tcPr>
          <w:p>
            <w:pPr>
              <w:spacing w:after="0"/>
              <w:rPr>
                <w:sz w:val="1"/>
                <w:szCs w:val="1"/>
                <w:color w:val="auto"/>
              </w:rPr>
            </w:pPr>
          </w:p>
        </w:tc>
      </w:tr>
      <w:tr>
        <w:trPr>
          <w:trHeight w:val="182"/>
        </w:trPr>
        <w:tc>
          <w:tcPr>
            <w:tcW w:w="7420" w:type="dxa"/>
            <w:vAlign w:val="bottom"/>
            <w:tcBorders>
              <w:bottom w:val="single" w:sz="8" w:color="9D9D9C"/>
            </w:tcBorders>
            <w:shd w:val="clear" w:color="auto" w:fill="E4E6EF"/>
          </w:tcPr>
          <w:p>
            <w:pPr>
              <w:ind w:left="20"/>
              <w:spacing w:after="0"/>
              <w:rPr>
                <w:sz w:val="20"/>
                <w:szCs w:val="20"/>
                <w:color w:val="auto"/>
              </w:rPr>
            </w:pPr>
            <w:r>
              <w:rPr>
                <w:rFonts w:ascii="Arial" w:cs="Arial" w:eastAsia="Arial" w:hAnsi="Arial"/>
                <w:sz w:val="14"/>
                <w:szCs w:val="14"/>
                <w:b w:val="1"/>
                <w:bCs w:val="1"/>
                <w:color w:val="003478"/>
              </w:rPr>
              <w:t>Patricia E. Yarrington</w:t>
            </w:r>
          </w:p>
        </w:tc>
        <w:tc>
          <w:tcPr>
            <w:tcW w:w="1180" w:type="dxa"/>
            <w:vAlign w:val="bottom"/>
            <w:tcBorders>
              <w:bottom w:val="single" w:sz="8" w:color="9D9D9C"/>
            </w:tcBorders>
            <w:shd w:val="clear" w:color="auto" w:fill="E4E6EF"/>
          </w:tcPr>
          <w:p>
            <w:pPr>
              <w:jc w:val="right"/>
              <w:spacing w:after="0"/>
              <w:rPr>
                <w:sz w:val="20"/>
                <w:szCs w:val="20"/>
                <w:color w:val="auto"/>
              </w:rPr>
            </w:pPr>
            <w:r>
              <w:rPr>
                <w:rFonts w:ascii="Arial" w:cs="Arial" w:eastAsia="Arial" w:hAnsi="Arial"/>
                <w:sz w:val="14"/>
                <w:szCs w:val="14"/>
                <w:color w:val="auto"/>
              </w:rPr>
              <w:t>253</w:t>
            </w:r>
          </w:p>
        </w:tc>
        <w:tc>
          <w:tcPr>
            <w:tcW w:w="400" w:type="dxa"/>
            <w:vAlign w:val="bottom"/>
            <w:tcBorders>
              <w:bottom w:val="single" w:sz="8" w:color="9D9D9C"/>
            </w:tcBorders>
            <w:shd w:val="clear" w:color="auto" w:fill="E4E6EF"/>
          </w:tcPr>
          <w:p>
            <w:pPr>
              <w:spacing w:after="0"/>
              <w:rPr>
                <w:sz w:val="15"/>
                <w:szCs w:val="15"/>
                <w:color w:val="auto"/>
              </w:rPr>
            </w:pPr>
          </w:p>
        </w:tc>
        <w:tc>
          <w:tcPr>
            <w:tcW w:w="880" w:type="dxa"/>
            <w:vAlign w:val="bottom"/>
            <w:tcBorders>
              <w:bottom w:val="single" w:sz="8" w:color="9D9D9C"/>
            </w:tcBorders>
            <w:shd w:val="clear" w:color="auto" w:fill="E4E6EF"/>
          </w:tcPr>
          <w:p>
            <w:pPr>
              <w:jc w:val="right"/>
              <w:ind w:right="9"/>
              <w:spacing w:after="0"/>
              <w:rPr>
                <w:sz w:val="20"/>
                <w:szCs w:val="20"/>
                <w:color w:val="auto"/>
              </w:rPr>
            </w:pPr>
            <w:r>
              <w:rPr>
                <w:rFonts w:ascii="Arial" w:cs="Arial" w:eastAsia="Arial" w:hAnsi="Arial"/>
                <w:sz w:val="14"/>
                <w:szCs w:val="14"/>
                <w:color w:val="auto"/>
              </w:rPr>
              <w:t>418</w:t>
            </w:r>
          </w:p>
        </w:tc>
        <w:tc>
          <w:tcPr>
            <w:tcW w:w="580" w:type="dxa"/>
            <w:vAlign w:val="bottom"/>
            <w:tcBorders>
              <w:bottom w:val="single" w:sz="8" w:color="9D9D9C"/>
            </w:tcBorders>
            <w:shd w:val="clear" w:color="auto" w:fill="E4E6EF"/>
          </w:tcPr>
          <w:p>
            <w:pPr>
              <w:spacing w:after="0"/>
              <w:rPr>
                <w:sz w:val="20"/>
                <w:szCs w:val="20"/>
                <w:color w:val="auto"/>
              </w:rPr>
            </w:pPr>
            <w:r>
              <w:rPr>
                <w:rFonts w:ascii="Arial" w:cs="Arial" w:eastAsia="Arial" w:hAnsi="Arial"/>
                <w:sz w:val="11"/>
                <w:szCs w:val="11"/>
                <w:color w:val="auto"/>
              </w:rPr>
              <w:t>7</w:t>
            </w:r>
          </w:p>
        </w:tc>
        <w:tc>
          <w:tcPr>
            <w:tcW w:w="780" w:type="dxa"/>
            <w:vAlign w:val="bottom"/>
            <w:tcBorders>
              <w:bottom w:val="single" w:sz="8" w:color="9D9D9C"/>
            </w:tcBorders>
            <w:shd w:val="clear" w:color="auto" w:fill="E4E6EF"/>
          </w:tcPr>
          <w:p>
            <w:pPr>
              <w:jc w:val="right"/>
              <w:spacing w:after="0"/>
              <w:rPr>
                <w:sz w:val="20"/>
                <w:szCs w:val="20"/>
                <w:color w:val="auto"/>
              </w:rPr>
            </w:pPr>
            <w:r>
              <w:rPr>
                <w:rFonts w:ascii="Arial" w:cs="Arial" w:eastAsia="Arial" w:hAnsi="Arial"/>
                <w:sz w:val="14"/>
                <w:szCs w:val="14"/>
                <w:color w:val="auto"/>
              </w:rPr>
              <w:t>671</w:t>
            </w:r>
          </w:p>
        </w:tc>
        <w:tc>
          <w:tcPr>
            <w:tcW w:w="0" w:type="dxa"/>
            <w:vAlign w:val="bottom"/>
          </w:tcPr>
          <w:p>
            <w:pPr>
              <w:spacing w:after="0"/>
              <w:rPr>
                <w:sz w:val="1"/>
                <w:szCs w:val="1"/>
                <w:color w:val="auto"/>
              </w:rPr>
            </w:pPr>
          </w:p>
        </w:tc>
      </w:tr>
      <w:tr>
        <w:trPr>
          <w:trHeight w:val="141"/>
        </w:trPr>
        <w:tc>
          <w:tcPr>
            <w:tcW w:w="7420" w:type="dxa"/>
            <w:vAlign w:val="bottom"/>
          </w:tcPr>
          <w:p>
            <w:pPr>
              <w:ind w:left="20"/>
              <w:spacing w:after="0" w:line="141" w:lineRule="exact"/>
              <w:rPr>
                <w:sz w:val="20"/>
                <w:szCs w:val="20"/>
                <w:color w:val="auto"/>
              </w:rPr>
            </w:pPr>
            <w:r>
              <w:rPr>
                <w:rFonts w:ascii="Arial" w:cs="Arial" w:eastAsia="Arial" w:hAnsi="Arial"/>
                <w:sz w:val="14"/>
                <w:szCs w:val="14"/>
                <w:b w:val="1"/>
                <w:bCs w:val="1"/>
                <w:color w:val="003478"/>
              </w:rPr>
              <w:t>All NEOs, directors, nominees and other executive officers as a group</w:t>
            </w: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212,336</w:t>
            </w:r>
          </w:p>
        </w:tc>
        <w:tc>
          <w:tcPr>
            <w:tcW w:w="400" w:type="dxa"/>
            <w:vAlign w:val="bottom"/>
          </w:tcPr>
          <w:p>
            <w:pPr>
              <w:spacing w:after="0"/>
              <w:rPr>
                <w:sz w:val="12"/>
                <w:szCs w:val="12"/>
                <w:color w:val="auto"/>
              </w:rPr>
            </w:pPr>
          </w:p>
        </w:tc>
        <w:tc>
          <w:tcPr>
            <w:tcW w:w="880" w:type="dxa"/>
            <w:vAlign w:val="bottom"/>
            <w:vMerge w:val="restart"/>
          </w:tcPr>
          <w:p>
            <w:pPr>
              <w:jc w:val="right"/>
              <w:ind w:right="9"/>
              <w:spacing w:after="0"/>
              <w:rPr>
                <w:sz w:val="20"/>
                <w:szCs w:val="20"/>
                <w:color w:val="auto"/>
              </w:rPr>
            </w:pPr>
            <w:r>
              <w:rPr>
                <w:rFonts w:ascii="Arial" w:cs="Arial" w:eastAsia="Arial" w:hAnsi="Arial"/>
                <w:sz w:val="14"/>
                <w:szCs w:val="14"/>
                <w:color w:val="auto"/>
              </w:rPr>
              <w:t>240,566</w:t>
            </w:r>
          </w:p>
        </w:tc>
        <w:tc>
          <w:tcPr>
            <w:tcW w:w="58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452,901</w:t>
            </w:r>
          </w:p>
        </w:tc>
        <w:tc>
          <w:tcPr>
            <w:tcW w:w="0" w:type="dxa"/>
            <w:vAlign w:val="bottom"/>
          </w:tcPr>
          <w:p>
            <w:pPr>
              <w:spacing w:after="0"/>
              <w:rPr>
                <w:sz w:val="1"/>
                <w:szCs w:val="1"/>
                <w:color w:val="auto"/>
              </w:rPr>
            </w:pPr>
          </w:p>
        </w:tc>
      </w:tr>
      <w:tr>
        <w:trPr>
          <w:trHeight w:val="175"/>
        </w:trPr>
        <w:tc>
          <w:tcPr>
            <w:tcW w:w="7420" w:type="dxa"/>
            <w:vAlign w:val="bottom"/>
            <w:tcBorders>
              <w:bottom w:val="single" w:sz="8" w:color="9D9D9C"/>
            </w:tcBorders>
          </w:tcPr>
          <w:p>
            <w:pPr>
              <w:ind w:left="20"/>
              <w:spacing w:after="0"/>
              <w:rPr>
                <w:sz w:val="20"/>
                <w:szCs w:val="20"/>
                <w:color w:val="auto"/>
              </w:rPr>
            </w:pPr>
            <w:r>
              <w:rPr>
                <w:rFonts w:ascii="Arial" w:cs="Arial" w:eastAsia="Arial" w:hAnsi="Arial"/>
                <w:sz w:val="14"/>
                <w:szCs w:val="14"/>
                <w:b w:val="1"/>
                <w:bCs w:val="1"/>
                <w:color w:val="003478"/>
              </w:rPr>
              <w:t>(25 individuals)</w:t>
            </w:r>
          </w:p>
        </w:tc>
        <w:tc>
          <w:tcPr>
            <w:tcW w:w="1180" w:type="dxa"/>
            <w:vAlign w:val="bottom"/>
            <w:tcBorders>
              <w:bottom w:val="single" w:sz="8" w:color="9D9D9C"/>
            </w:tcBorders>
            <w:vMerge w:val="continue"/>
          </w:tcPr>
          <w:p>
            <w:pPr>
              <w:spacing w:after="0"/>
              <w:rPr>
                <w:sz w:val="15"/>
                <w:szCs w:val="15"/>
                <w:color w:val="auto"/>
              </w:rPr>
            </w:pPr>
          </w:p>
        </w:tc>
        <w:tc>
          <w:tcPr>
            <w:tcW w:w="400" w:type="dxa"/>
            <w:vAlign w:val="bottom"/>
            <w:tcBorders>
              <w:bottom w:val="single" w:sz="8" w:color="9D9D9C"/>
            </w:tcBorders>
          </w:tcPr>
          <w:p>
            <w:pPr>
              <w:spacing w:after="0"/>
              <w:rPr>
                <w:sz w:val="15"/>
                <w:szCs w:val="15"/>
                <w:color w:val="auto"/>
              </w:rPr>
            </w:pPr>
          </w:p>
        </w:tc>
        <w:tc>
          <w:tcPr>
            <w:tcW w:w="880" w:type="dxa"/>
            <w:vAlign w:val="bottom"/>
            <w:tcBorders>
              <w:bottom w:val="single" w:sz="8" w:color="9D9D9C"/>
            </w:tcBorders>
            <w:vMerge w:val="continue"/>
          </w:tcPr>
          <w:p>
            <w:pPr>
              <w:spacing w:after="0"/>
              <w:rPr>
                <w:sz w:val="15"/>
                <w:szCs w:val="15"/>
                <w:color w:val="auto"/>
              </w:rPr>
            </w:pPr>
          </w:p>
        </w:tc>
        <w:tc>
          <w:tcPr>
            <w:tcW w:w="580" w:type="dxa"/>
            <w:vAlign w:val="bottom"/>
            <w:tcBorders>
              <w:bottom w:val="single" w:sz="8" w:color="9D9D9C"/>
            </w:tcBorders>
          </w:tcPr>
          <w:p>
            <w:pPr>
              <w:spacing w:after="0"/>
              <w:rPr>
                <w:sz w:val="15"/>
                <w:szCs w:val="15"/>
                <w:color w:val="auto"/>
              </w:rPr>
            </w:pPr>
          </w:p>
        </w:tc>
        <w:tc>
          <w:tcPr>
            <w:tcW w:w="780" w:type="dxa"/>
            <w:vAlign w:val="bottom"/>
            <w:tcBorders>
              <w:bottom w:val="single" w:sz="8" w:color="9D9D9C"/>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40" w:right="160" w:hanging="233"/>
        <w:spacing w:after="0" w:line="231" w:lineRule="auto"/>
        <w:tabs>
          <w:tab w:leader="none" w:pos="215" w:val="left"/>
        </w:tabs>
        <w:numPr>
          <w:ilvl w:val="0"/>
          <w:numId w:val="114"/>
        </w:numPr>
        <w:rPr>
          <w:rFonts w:ascii="Arial" w:cs="Arial" w:eastAsia="Arial" w:hAnsi="Arial"/>
          <w:sz w:val="19"/>
          <w:szCs w:val="19"/>
          <w:color w:val="auto"/>
          <w:vertAlign w:val="superscript"/>
        </w:rPr>
      </w:pPr>
      <w:r>
        <w:rPr>
          <w:rFonts w:ascii="Arial" w:cs="Arial" w:eastAsia="Arial" w:hAnsi="Arial"/>
          <w:sz w:val="14"/>
          <w:szCs w:val="14"/>
          <w:color w:val="auto"/>
        </w:rPr>
        <w:t>Includes shares payable at termination with respect to vested stock units credited under the Directors Equity Plan for which a director has elected payment in stock for Mr. Burritt 524; Mr. Carlson 1,723; Mr. Donovan 82; Mr. Dunford 890; Mr. Ellis 20,403; Ms. Gordon 310; Ms. Hollub 1,754; Mr. Johnson 1,978; Ms. Reed-Klages 982; Mr. Taiclet 1,067; and Ms. Yarrington 253. Units for which a director has elected payment in cash are reported in the “Stock Units” column.</w:t>
      </w:r>
    </w:p>
    <w:p>
      <w:pPr>
        <w:spacing w:after="0" w:line="57" w:lineRule="exact"/>
        <w:rPr>
          <w:rFonts w:ascii="Arial" w:cs="Arial" w:eastAsia="Arial" w:hAnsi="Arial"/>
          <w:sz w:val="19"/>
          <w:szCs w:val="19"/>
          <w:color w:val="auto"/>
          <w:vertAlign w:val="superscript"/>
        </w:rPr>
      </w:pPr>
    </w:p>
    <w:p>
      <w:pPr>
        <w:ind w:left="240" w:right="60" w:hanging="233"/>
        <w:spacing w:after="0" w:line="219" w:lineRule="auto"/>
        <w:tabs>
          <w:tab w:leader="none" w:pos="215" w:val="left"/>
        </w:tabs>
        <w:numPr>
          <w:ilvl w:val="0"/>
          <w:numId w:val="114"/>
        </w:numPr>
        <w:rPr>
          <w:rFonts w:ascii="Arial" w:cs="Arial" w:eastAsia="Arial" w:hAnsi="Arial"/>
          <w:sz w:val="19"/>
          <w:szCs w:val="19"/>
          <w:color w:val="auto"/>
          <w:vertAlign w:val="superscript"/>
        </w:rPr>
      </w:pPr>
      <w:r>
        <w:rPr>
          <w:rFonts w:ascii="Arial" w:cs="Arial" w:eastAsia="Arial" w:hAnsi="Arial"/>
          <w:sz w:val="14"/>
          <w:szCs w:val="14"/>
          <w:color w:val="auto"/>
        </w:rPr>
        <w:t>Includes shares attributable to the participant’s account in the Lockheed Martin Salaried Savings Plan for Mr. Ambrose 397; Ms. Hewson 553; Ms. Hill 3,688; Mr. Mollard 278; Mr. Possenriede 827; Mr. St. John 9; and Mr. Taiclet 33. Participants have voting power and investment power over the shares.</w:t>
      </w:r>
    </w:p>
    <w:p>
      <w:pPr>
        <w:spacing w:after="0" w:line="9" w:lineRule="exact"/>
        <w:rPr>
          <w:rFonts w:ascii="Arial" w:cs="Arial" w:eastAsia="Arial" w:hAnsi="Arial"/>
          <w:sz w:val="19"/>
          <w:szCs w:val="19"/>
          <w:color w:val="auto"/>
          <w:vertAlign w:val="superscript"/>
        </w:rPr>
      </w:pPr>
    </w:p>
    <w:p>
      <w:pPr>
        <w:ind w:left="220" w:hanging="213"/>
        <w:spacing w:after="0"/>
        <w:tabs>
          <w:tab w:leader="none" w:pos="220" w:val="left"/>
        </w:tabs>
        <w:numPr>
          <w:ilvl w:val="0"/>
          <w:numId w:val="114"/>
        </w:numPr>
        <w:rPr>
          <w:rFonts w:ascii="Arial" w:cs="Arial" w:eastAsia="Arial" w:hAnsi="Arial"/>
          <w:sz w:val="19"/>
          <w:szCs w:val="19"/>
          <w:color w:val="auto"/>
          <w:vertAlign w:val="superscript"/>
        </w:rPr>
      </w:pPr>
      <w:r>
        <w:rPr>
          <w:rFonts w:ascii="Arial" w:cs="Arial" w:eastAsia="Arial" w:hAnsi="Arial"/>
          <w:sz w:val="14"/>
          <w:szCs w:val="14"/>
          <w:color w:val="auto"/>
        </w:rPr>
        <w:t>Does not include PSUs. There are no voting rights associated with stock units or RSUs.</w:t>
      </w:r>
    </w:p>
    <w:p>
      <w:pPr>
        <w:spacing w:after="0" w:line="56" w:lineRule="exact"/>
        <w:rPr>
          <w:rFonts w:ascii="Arial" w:cs="Arial" w:eastAsia="Arial" w:hAnsi="Arial"/>
          <w:sz w:val="19"/>
          <w:szCs w:val="19"/>
          <w:color w:val="auto"/>
          <w:vertAlign w:val="superscript"/>
        </w:rPr>
      </w:pPr>
    </w:p>
    <w:p>
      <w:pPr>
        <w:ind w:left="220" w:hanging="213"/>
        <w:spacing w:after="0" w:line="188" w:lineRule="auto"/>
        <w:tabs>
          <w:tab w:leader="none" w:pos="220" w:val="left"/>
        </w:tabs>
        <w:numPr>
          <w:ilvl w:val="0"/>
          <w:numId w:val="114"/>
        </w:numPr>
        <w:rPr>
          <w:rFonts w:ascii="Arial" w:cs="Arial" w:eastAsia="Arial" w:hAnsi="Arial"/>
          <w:sz w:val="19"/>
          <w:szCs w:val="19"/>
          <w:color w:val="auto"/>
          <w:vertAlign w:val="superscript"/>
        </w:rPr>
      </w:pPr>
      <w:r>
        <w:rPr>
          <w:rFonts w:ascii="Arial" w:cs="Arial" w:eastAsia="Arial" w:hAnsi="Arial"/>
          <w:sz w:val="14"/>
          <w:szCs w:val="14"/>
          <w:color w:val="auto"/>
        </w:rPr>
        <w:t>For Mr. Akerson, includes 3 shares held by his spouse.</w:t>
      </w:r>
    </w:p>
    <w:p>
      <w:pPr>
        <w:spacing w:after="0" w:line="57" w:lineRule="exact"/>
        <w:rPr>
          <w:rFonts w:ascii="Arial" w:cs="Arial" w:eastAsia="Arial" w:hAnsi="Arial"/>
          <w:sz w:val="19"/>
          <w:szCs w:val="19"/>
          <w:color w:val="auto"/>
          <w:vertAlign w:val="superscript"/>
        </w:rPr>
      </w:pPr>
    </w:p>
    <w:p>
      <w:pPr>
        <w:ind w:left="280" w:hanging="273"/>
        <w:spacing w:after="0" w:line="188" w:lineRule="auto"/>
        <w:tabs>
          <w:tab w:leader="none" w:pos="280" w:val="left"/>
        </w:tabs>
        <w:numPr>
          <w:ilvl w:val="0"/>
          <w:numId w:val="114"/>
        </w:numPr>
        <w:rPr>
          <w:rFonts w:ascii="Arial" w:cs="Arial" w:eastAsia="Arial" w:hAnsi="Arial"/>
          <w:sz w:val="19"/>
          <w:szCs w:val="19"/>
          <w:color w:val="auto"/>
          <w:vertAlign w:val="superscript"/>
        </w:rPr>
      </w:pPr>
      <w:r>
        <w:rPr>
          <w:rFonts w:ascii="Arial" w:cs="Arial" w:eastAsia="Arial" w:hAnsi="Arial"/>
          <w:sz w:val="14"/>
          <w:szCs w:val="14"/>
          <w:color w:val="auto"/>
        </w:rPr>
        <w:t>For Mr. Burritt, includes 1,796 shares held by an irrevocable trust for the benefit of members of his immediate family.</w:t>
      </w:r>
    </w:p>
    <w:p>
      <w:pPr>
        <w:spacing w:after="0" w:line="57" w:lineRule="exact"/>
        <w:rPr>
          <w:rFonts w:ascii="Arial" w:cs="Arial" w:eastAsia="Arial" w:hAnsi="Arial"/>
          <w:sz w:val="19"/>
          <w:szCs w:val="19"/>
          <w:color w:val="auto"/>
          <w:vertAlign w:val="superscript"/>
        </w:rPr>
      </w:pPr>
    </w:p>
    <w:p>
      <w:pPr>
        <w:ind w:left="220" w:hanging="213"/>
        <w:spacing w:after="0" w:line="188" w:lineRule="auto"/>
        <w:tabs>
          <w:tab w:leader="none" w:pos="220" w:val="left"/>
        </w:tabs>
        <w:numPr>
          <w:ilvl w:val="0"/>
          <w:numId w:val="114"/>
        </w:numPr>
        <w:rPr>
          <w:rFonts w:ascii="Arial" w:cs="Arial" w:eastAsia="Arial" w:hAnsi="Arial"/>
          <w:sz w:val="19"/>
          <w:szCs w:val="19"/>
          <w:color w:val="auto"/>
          <w:vertAlign w:val="superscript"/>
        </w:rPr>
      </w:pPr>
      <w:r>
        <w:rPr>
          <w:rFonts w:ascii="Arial" w:cs="Arial" w:eastAsia="Arial" w:hAnsi="Arial"/>
          <w:sz w:val="14"/>
          <w:szCs w:val="14"/>
          <w:color w:val="auto"/>
        </w:rPr>
        <w:t>Represents shares beneficially owned by Mr. Falk and his spouse through a family limited partnership.</w:t>
      </w:r>
    </w:p>
    <w:p>
      <w:pPr>
        <w:spacing w:after="0" w:line="57" w:lineRule="exact"/>
        <w:rPr>
          <w:rFonts w:ascii="Arial" w:cs="Arial" w:eastAsia="Arial" w:hAnsi="Arial"/>
          <w:sz w:val="19"/>
          <w:szCs w:val="19"/>
          <w:color w:val="auto"/>
          <w:vertAlign w:val="superscript"/>
        </w:rPr>
      </w:pPr>
    </w:p>
    <w:p>
      <w:pPr>
        <w:ind w:left="240" w:right="40" w:hanging="233"/>
        <w:spacing w:after="0" w:line="231" w:lineRule="auto"/>
        <w:tabs>
          <w:tab w:leader="none" w:pos="215" w:val="left"/>
        </w:tabs>
        <w:numPr>
          <w:ilvl w:val="0"/>
          <w:numId w:val="114"/>
        </w:numPr>
        <w:rPr>
          <w:rFonts w:ascii="Arial" w:cs="Arial" w:eastAsia="Arial" w:hAnsi="Arial"/>
          <w:sz w:val="19"/>
          <w:szCs w:val="19"/>
          <w:color w:val="auto"/>
          <w:vertAlign w:val="superscript"/>
        </w:rPr>
      </w:pPr>
      <w:r>
        <w:rPr>
          <w:rFonts w:ascii="Arial" w:cs="Arial" w:eastAsia="Arial" w:hAnsi="Arial"/>
          <w:sz w:val="14"/>
          <w:szCs w:val="14"/>
          <w:color w:val="auto"/>
        </w:rPr>
        <w:t>Includes stock units under the Directors Equity Plan for which directors have elected to receive distributions of units in the form of cash and unvested stock units credited on January 31, 2022 (annual equity award 418) for Mr. Akerson 5,517; Mr. Burritt 10,734; Mr. Carlson 2,513; Mr. Donovan 418; Mr. Dunford 418; Mr. Ellis 1,668; Mr. Falk 12,556; Ms. Gordon 2,684; Ms. Hollub 418; Mr. Johnson 418; Ms. Reed-Klages 418; and Ms. Yarrington 418.</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72</w:t>
      </w:r>
    </w:p>
    <w:p>
      <w:pPr>
        <w:sectPr>
          <w:pgSz w:w="11900" w:h="16838" w:orient="portrait"/>
          <w:cols w:equalWidth="0" w:num="1">
            <w:col w:w="11240"/>
          </w:cols>
          <w:pgMar w:left="320" w:top="254" w:right="339" w:bottom="1440" w:gutter="0" w:footer="0" w:header="0"/>
        </w:sectPr>
      </w:pPr>
    </w:p>
    <w:bookmarkStart w:id="78" w:name="page79"/>
    <w:bookmarkEnd w:id="78"/>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Security Ownership of Management and Certain Beneficial Owners</w:t>
      </w:r>
    </w:p>
    <w:p>
      <w:pPr>
        <w:spacing w:after="0" w:line="200" w:lineRule="exact"/>
        <w:rPr>
          <w:sz w:val="20"/>
          <w:szCs w:val="20"/>
          <w:color w:val="auto"/>
        </w:rPr>
      </w:pPr>
    </w:p>
    <w:p>
      <w:pPr>
        <w:spacing w:after="0" w:line="375" w:lineRule="exact"/>
        <w:rPr>
          <w:sz w:val="20"/>
          <w:szCs w:val="20"/>
          <w:color w:val="auto"/>
        </w:rPr>
      </w:pPr>
    </w:p>
    <w:p>
      <w:pPr>
        <w:ind w:left="240" w:right="160" w:hanging="233"/>
        <w:spacing w:after="0" w:line="219" w:lineRule="auto"/>
        <w:tabs>
          <w:tab w:leader="none" w:pos="215" w:val="left"/>
        </w:tabs>
        <w:numPr>
          <w:ilvl w:val="0"/>
          <w:numId w:val="115"/>
        </w:numPr>
        <w:rPr>
          <w:rFonts w:ascii="Arial" w:cs="Arial" w:eastAsia="Arial" w:hAnsi="Arial"/>
          <w:sz w:val="19"/>
          <w:szCs w:val="19"/>
          <w:color w:val="auto"/>
          <w:vertAlign w:val="superscript"/>
        </w:rPr>
      </w:pPr>
      <w:r>
        <w:rPr>
          <w:rFonts w:ascii="Arial" w:cs="Arial" w:eastAsia="Arial" w:hAnsi="Arial"/>
          <w:sz w:val="14"/>
          <w:szCs w:val="14"/>
          <w:color w:val="auto"/>
        </w:rPr>
        <w:t>Includes stock units under the Directors Deferred Compensation Plan representing deferred cash compensation for Mr. Burritt 8,665; Mr. Carlson 403; Mr. Donovan 79; and Ms. Hollub 1,202. The stock units (including dividend equivalents credited as stock units) are distributed in the form of cash.</w:t>
      </w:r>
    </w:p>
    <w:p>
      <w:pPr>
        <w:spacing w:after="0" w:line="56" w:lineRule="exact"/>
        <w:rPr>
          <w:rFonts w:ascii="Arial" w:cs="Arial" w:eastAsia="Arial" w:hAnsi="Arial"/>
          <w:sz w:val="19"/>
          <w:szCs w:val="19"/>
          <w:color w:val="auto"/>
          <w:vertAlign w:val="superscript"/>
        </w:rPr>
      </w:pPr>
    </w:p>
    <w:p>
      <w:pPr>
        <w:ind w:left="240" w:right="80" w:hanging="233"/>
        <w:spacing w:after="0" w:line="231" w:lineRule="auto"/>
        <w:tabs>
          <w:tab w:leader="none" w:pos="215" w:val="left"/>
        </w:tabs>
        <w:numPr>
          <w:ilvl w:val="0"/>
          <w:numId w:val="115"/>
        </w:numPr>
        <w:rPr>
          <w:rFonts w:ascii="Arial" w:cs="Arial" w:eastAsia="Arial" w:hAnsi="Arial"/>
          <w:sz w:val="19"/>
          <w:szCs w:val="19"/>
          <w:color w:val="auto"/>
          <w:vertAlign w:val="superscript"/>
        </w:rPr>
      </w:pPr>
      <w:r>
        <w:rPr>
          <w:rFonts w:ascii="Arial" w:cs="Arial" w:eastAsia="Arial" w:hAnsi="Arial"/>
          <w:sz w:val="14"/>
          <w:szCs w:val="14"/>
          <w:color w:val="auto"/>
        </w:rPr>
        <w:t>Includes stock units attributable to the participant’s account under the DMICP for Mr. Ambrose 12,434; Ms. Hewson 9,512; Ms. Hill 1,566; Mr. Possenriede 1,509; and Mr. St. John 144. Although most of the units will be distributed following termination or retirement in shares of stock, none of the units are convertible into shares of stock within 60 days of February 25, 2022.</w:t>
      </w:r>
    </w:p>
    <w:p>
      <w:pPr>
        <w:spacing w:after="0" w:line="57" w:lineRule="exact"/>
        <w:rPr>
          <w:rFonts w:ascii="Arial" w:cs="Arial" w:eastAsia="Arial" w:hAnsi="Arial"/>
          <w:sz w:val="19"/>
          <w:szCs w:val="19"/>
          <w:color w:val="auto"/>
          <w:vertAlign w:val="superscript"/>
        </w:rPr>
      </w:pPr>
    </w:p>
    <w:p>
      <w:pPr>
        <w:ind w:left="240" w:right="100" w:hanging="233"/>
        <w:spacing w:after="0" w:line="219" w:lineRule="auto"/>
        <w:tabs>
          <w:tab w:leader="none" w:pos="267" w:val="left"/>
        </w:tabs>
        <w:numPr>
          <w:ilvl w:val="0"/>
          <w:numId w:val="115"/>
        </w:numPr>
        <w:rPr>
          <w:rFonts w:ascii="Arial" w:cs="Arial" w:eastAsia="Arial" w:hAnsi="Arial"/>
          <w:sz w:val="19"/>
          <w:szCs w:val="19"/>
          <w:color w:val="auto"/>
          <w:vertAlign w:val="superscript"/>
        </w:rPr>
      </w:pPr>
      <w:r>
        <w:rPr>
          <w:rFonts w:ascii="Arial" w:cs="Arial" w:eastAsia="Arial" w:hAnsi="Arial"/>
          <w:sz w:val="14"/>
          <w:szCs w:val="14"/>
          <w:color w:val="auto"/>
        </w:rPr>
        <w:t>Includes stock units attributable to the participant’s account under the NQSSP for Mr. Ambrose 3,479; Ms. Hewson 4,247; Mr. Mollard 1,152; Mr. Possenriede 1,780; Mr. St. John 98; and Mr. Taiclet 206. Amounts credited to a participant’s account in the NQSSP are distributed in cash following termination of employment.</w:t>
      </w:r>
    </w:p>
    <w:p>
      <w:pPr>
        <w:spacing w:after="0" w:line="56" w:lineRule="exact"/>
        <w:rPr>
          <w:rFonts w:ascii="Arial" w:cs="Arial" w:eastAsia="Arial" w:hAnsi="Arial"/>
          <w:sz w:val="19"/>
          <w:szCs w:val="19"/>
          <w:color w:val="auto"/>
          <w:vertAlign w:val="superscript"/>
        </w:rPr>
      </w:pPr>
    </w:p>
    <w:p>
      <w:pPr>
        <w:ind w:left="240" w:hanging="233"/>
        <w:spacing w:after="0" w:line="219" w:lineRule="auto"/>
        <w:tabs>
          <w:tab w:leader="none" w:pos="267" w:val="left"/>
        </w:tabs>
        <w:numPr>
          <w:ilvl w:val="0"/>
          <w:numId w:val="115"/>
        </w:numPr>
        <w:rPr>
          <w:rFonts w:ascii="Arial" w:cs="Arial" w:eastAsia="Arial" w:hAnsi="Arial"/>
          <w:sz w:val="19"/>
          <w:szCs w:val="19"/>
          <w:color w:val="auto"/>
          <w:vertAlign w:val="superscript"/>
        </w:rPr>
      </w:pPr>
      <w:r>
        <w:rPr>
          <w:rFonts w:ascii="Arial" w:cs="Arial" w:eastAsia="Arial" w:hAnsi="Arial"/>
          <w:sz w:val="14"/>
          <w:szCs w:val="14"/>
          <w:color w:val="auto"/>
        </w:rPr>
        <w:t>Includes unvested RSUs for Mr. Ambrose 6,363; Ms. Hewson 11,263; Ms. Hill 12,675; Mr. Mollard 4,388; Mr. Possenriede 3,470; Mr. St. John 12,734; and Mr. Taiclet 42,034. Each RSU represents a contingent right to receive one share of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29"/>
          <w:szCs w:val="29"/>
          <w:color w:val="003478"/>
        </w:rPr>
        <w:t>Security Ownership of Certain Beneficial Owners</w:t>
      </w:r>
    </w:p>
    <w:p>
      <w:pPr>
        <w:spacing w:after="0" w:line="121" w:lineRule="exact"/>
        <w:rPr>
          <w:sz w:val="20"/>
          <w:szCs w:val="20"/>
          <w:color w:val="auto"/>
        </w:rPr>
      </w:pPr>
    </w:p>
    <w:p>
      <w:pPr>
        <w:jc w:val="both"/>
        <w:ind w:right="120"/>
        <w:spacing w:after="0" w:line="267" w:lineRule="auto"/>
        <w:rPr>
          <w:sz w:val="20"/>
          <w:szCs w:val="20"/>
          <w:color w:val="auto"/>
        </w:rPr>
      </w:pPr>
      <w:r>
        <w:rPr>
          <w:rFonts w:ascii="Arial" w:cs="Arial" w:eastAsia="Arial" w:hAnsi="Arial"/>
          <w:sz w:val="17"/>
          <w:szCs w:val="17"/>
          <w:color w:val="auto"/>
        </w:rPr>
        <w:t>The following table shows information regarding each person known to be a “beneficial owner” of more than 5% of our common stock. For purposes of this table, beneficial ownership of securities generally means the power to vote or dispose of securities, or the right to acquire securities within 60 days that may be voted or disposed of, regardless of any economic interest in the securities. All information shown is based on information reported by the filer on a Schedule 13G filed with the SEC on the dates indicated in the footnotes to this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703897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038975"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280" w:type="dxa"/>
            <w:vAlign w:val="bottom"/>
            <w:shd w:val="clear" w:color="auto" w:fill="E5E7EF"/>
          </w:tcPr>
          <w:p>
            <w:pPr>
              <w:spacing w:after="0"/>
              <w:rPr>
                <w:sz w:val="15"/>
                <w:szCs w:val="15"/>
                <w:color w:val="auto"/>
              </w:rPr>
            </w:pPr>
          </w:p>
        </w:tc>
        <w:tc>
          <w:tcPr>
            <w:tcW w:w="4480" w:type="dxa"/>
            <w:vAlign w:val="bottom"/>
            <w:shd w:val="clear" w:color="auto" w:fill="E5E7EF"/>
          </w:tcPr>
          <w:p>
            <w:pPr>
              <w:jc w:val="right"/>
              <w:ind w:right="152"/>
              <w:spacing w:after="0"/>
              <w:rPr>
                <w:sz w:val="20"/>
                <w:szCs w:val="20"/>
                <w:color w:val="auto"/>
              </w:rPr>
            </w:pPr>
            <w:r>
              <w:rPr>
                <w:rFonts w:ascii="Arial" w:cs="Arial" w:eastAsia="Arial" w:hAnsi="Arial"/>
                <w:sz w:val="13"/>
                <w:szCs w:val="13"/>
                <w:color w:val="auto"/>
              </w:rPr>
              <w:t>Amount of</w:t>
            </w:r>
          </w:p>
        </w:tc>
        <w:tc>
          <w:tcPr>
            <w:tcW w:w="1340" w:type="dxa"/>
            <w:vAlign w:val="bottom"/>
            <w:shd w:val="clear" w:color="auto" w:fill="E5E7EF"/>
          </w:tcPr>
          <w:p>
            <w:pPr>
              <w:jc w:val="right"/>
              <w:spacing w:after="0"/>
              <w:rPr>
                <w:sz w:val="20"/>
                <w:szCs w:val="20"/>
                <w:color w:val="auto"/>
              </w:rPr>
            </w:pPr>
            <w:r>
              <w:rPr>
                <w:rFonts w:ascii="Arial" w:cs="Arial" w:eastAsia="Arial" w:hAnsi="Arial"/>
                <w:sz w:val="13"/>
                <w:szCs w:val="13"/>
                <w:color w:val="auto"/>
              </w:rPr>
              <w:t>Percent of</w:t>
            </w:r>
          </w:p>
        </w:tc>
      </w:tr>
      <w:tr>
        <w:trPr>
          <w:trHeight w:val="186"/>
        </w:trPr>
        <w:tc>
          <w:tcPr>
            <w:tcW w:w="528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Name and Address</w:t>
            </w:r>
          </w:p>
        </w:tc>
        <w:tc>
          <w:tcPr>
            <w:tcW w:w="4480" w:type="dxa"/>
            <w:vAlign w:val="bottom"/>
            <w:tcBorders>
              <w:bottom w:val="single" w:sz="8" w:color="E5E7EF"/>
            </w:tcBorders>
            <w:shd w:val="clear" w:color="auto" w:fill="E5E7EF"/>
          </w:tcPr>
          <w:p>
            <w:pPr>
              <w:jc w:val="right"/>
              <w:ind w:right="112"/>
              <w:spacing w:after="0"/>
              <w:rPr>
                <w:sz w:val="20"/>
                <w:szCs w:val="20"/>
                <w:color w:val="auto"/>
              </w:rPr>
            </w:pPr>
            <w:r>
              <w:rPr>
                <w:rFonts w:ascii="Arial" w:cs="Arial" w:eastAsia="Arial" w:hAnsi="Arial"/>
                <w:sz w:val="13"/>
                <w:szCs w:val="13"/>
                <w:color w:val="auto"/>
              </w:rPr>
              <w:t>Common Stock</w:t>
            </w:r>
          </w:p>
        </w:tc>
        <w:tc>
          <w:tcPr>
            <w:tcW w:w="134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Outstanding Shares</w:t>
            </w:r>
          </w:p>
        </w:tc>
      </w:tr>
      <w:tr>
        <w:trPr>
          <w:trHeight w:val="146"/>
        </w:trPr>
        <w:tc>
          <w:tcPr>
            <w:tcW w:w="5280" w:type="dxa"/>
            <w:vAlign w:val="bottom"/>
            <w:tcBorders>
              <w:top w:val="single" w:sz="8" w:color="003478"/>
            </w:tcBorders>
          </w:tcPr>
          <w:p>
            <w:pPr>
              <w:ind w:left="20"/>
              <w:spacing w:after="0" w:line="146" w:lineRule="exact"/>
              <w:rPr>
                <w:sz w:val="20"/>
                <w:szCs w:val="20"/>
                <w:color w:val="auto"/>
              </w:rPr>
            </w:pPr>
            <w:r>
              <w:rPr>
                <w:rFonts w:ascii="Arial" w:cs="Arial" w:eastAsia="Arial" w:hAnsi="Arial"/>
                <w:sz w:val="13"/>
                <w:szCs w:val="13"/>
                <w:color w:val="auto"/>
              </w:rPr>
              <w:t>State Street Corporation</w:t>
            </w:r>
            <w:r>
              <w:rPr>
                <w:rFonts w:ascii="Arial" w:cs="Arial" w:eastAsia="Arial" w:hAnsi="Arial"/>
                <w:sz w:val="16"/>
                <w:szCs w:val="16"/>
                <w:color w:val="auto"/>
                <w:vertAlign w:val="superscript"/>
              </w:rPr>
              <w:t>(1)</w:t>
            </w:r>
          </w:p>
        </w:tc>
        <w:tc>
          <w:tcPr>
            <w:tcW w:w="4480" w:type="dxa"/>
            <w:vAlign w:val="bottom"/>
            <w:tcBorders>
              <w:top w:val="single" w:sz="8" w:color="003478"/>
            </w:tcBorders>
          </w:tcPr>
          <w:p>
            <w:pPr>
              <w:jc w:val="right"/>
              <w:ind w:right="112"/>
              <w:spacing w:after="0" w:line="146" w:lineRule="exact"/>
              <w:rPr>
                <w:sz w:val="20"/>
                <w:szCs w:val="20"/>
                <w:color w:val="auto"/>
              </w:rPr>
            </w:pPr>
            <w:r>
              <w:rPr>
                <w:rFonts w:ascii="Arial" w:cs="Arial" w:eastAsia="Arial" w:hAnsi="Arial"/>
                <w:sz w:val="14"/>
                <w:szCs w:val="14"/>
                <w:color w:val="auto"/>
              </w:rPr>
              <w:t>39,595,732</w:t>
            </w:r>
          </w:p>
        </w:tc>
        <w:tc>
          <w:tcPr>
            <w:tcW w:w="1340" w:type="dxa"/>
            <w:vAlign w:val="bottom"/>
            <w:tcBorders>
              <w:top w:val="single" w:sz="8" w:color="003478"/>
            </w:tcBorders>
          </w:tcPr>
          <w:p>
            <w:pPr>
              <w:jc w:val="right"/>
              <w:spacing w:after="0" w:line="146" w:lineRule="exact"/>
              <w:rPr>
                <w:sz w:val="20"/>
                <w:szCs w:val="20"/>
                <w:color w:val="auto"/>
              </w:rPr>
            </w:pPr>
            <w:r>
              <w:rPr>
                <w:rFonts w:ascii="Arial" w:cs="Arial" w:eastAsia="Arial" w:hAnsi="Arial"/>
                <w:sz w:val="14"/>
                <w:szCs w:val="14"/>
                <w:color w:val="auto"/>
              </w:rPr>
              <w:t>14.36</w:t>
            </w:r>
          </w:p>
        </w:tc>
      </w:tr>
      <w:tr>
        <w:trPr>
          <w:trHeight w:val="134"/>
        </w:trPr>
        <w:tc>
          <w:tcPr>
            <w:tcW w:w="5280" w:type="dxa"/>
            <w:vAlign w:val="bottom"/>
          </w:tcPr>
          <w:p>
            <w:pPr>
              <w:ind w:left="20"/>
              <w:spacing w:after="0" w:line="135" w:lineRule="exact"/>
              <w:rPr>
                <w:sz w:val="20"/>
                <w:szCs w:val="20"/>
                <w:color w:val="auto"/>
              </w:rPr>
            </w:pPr>
            <w:r>
              <w:rPr>
                <w:rFonts w:ascii="Arial" w:cs="Arial" w:eastAsia="Arial" w:hAnsi="Arial"/>
                <w:sz w:val="14"/>
                <w:szCs w:val="14"/>
                <w:color w:val="auto"/>
              </w:rPr>
              <w:t>State Street Financial Center</w:t>
            </w:r>
          </w:p>
        </w:tc>
        <w:tc>
          <w:tcPr>
            <w:tcW w:w="448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34"/>
        </w:trPr>
        <w:tc>
          <w:tcPr>
            <w:tcW w:w="5280" w:type="dxa"/>
            <w:vAlign w:val="bottom"/>
          </w:tcPr>
          <w:p>
            <w:pPr>
              <w:ind w:left="20"/>
              <w:spacing w:after="0" w:line="135" w:lineRule="exact"/>
              <w:rPr>
                <w:sz w:val="20"/>
                <w:szCs w:val="20"/>
                <w:color w:val="auto"/>
              </w:rPr>
            </w:pPr>
            <w:r>
              <w:rPr>
                <w:rFonts w:ascii="Arial" w:cs="Arial" w:eastAsia="Arial" w:hAnsi="Arial"/>
                <w:sz w:val="14"/>
                <w:szCs w:val="14"/>
                <w:color w:val="auto"/>
              </w:rPr>
              <w:t>One Lincoln Street</w:t>
            </w:r>
          </w:p>
        </w:tc>
        <w:tc>
          <w:tcPr>
            <w:tcW w:w="448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70"/>
        </w:trPr>
        <w:tc>
          <w:tcPr>
            <w:tcW w:w="5280" w:type="dxa"/>
            <w:vAlign w:val="bottom"/>
            <w:tcBorders>
              <w:bottom w:val="single" w:sz="8" w:color="808080"/>
            </w:tcBorders>
          </w:tcPr>
          <w:p>
            <w:pPr>
              <w:ind w:left="20"/>
              <w:spacing w:after="0"/>
              <w:rPr>
                <w:sz w:val="20"/>
                <w:szCs w:val="20"/>
                <w:color w:val="auto"/>
              </w:rPr>
            </w:pPr>
            <w:r>
              <w:rPr>
                <w:rFonts w:ascii="Arial" w:cs="Arial" w:eastAsia="Arial" w:hAnsi="Arial"/>
                <w:sz w:val="14"/>
                <w:szCs w:val="14"/>
                <w:color w:val="auto"/>
              </w:rPr>
              <w:t>Boston, MA 02111</w:t>
            </w:r>
          </w:p>
        </w:tc>
        <w:tc>
          <w:tcPr>
            <w:tcW w:w="4480" w:type="dxa"/>
            <w:vAlign w:val="bottom"/>
            <w:tcBorders>
              <w:bottom w:val="single" w:sz="8" w:color="808080"/>
            </w:tcBorders>
          </w:tcPr>
          <w:p>
            <w:pPr>
              <w:spacing w:after="0"/>
              <w:rPr>
                <w:sz w:val="14"/>
                <w:szCs w:val="14"/>
                <w:color w:val="auto"/>
              </w:rPr>
            </w:pPr>
          </w:p>
        </w:tc>
        <w:tc>
          <w:tcPr>
            <w:tcW w:w="1340" w:type="dxa"/>
            <w:vAlign w:val="bottom"/>
            <w:tcBorders>
              <w:bottom w:val="single" w:sz="8" w:color="808080"/>
            </w:tcBorders>
          </w:tcPr>
          <w:p>
            <w:pPr>
              <w:spacing w:after="0"/>
              <w:rPr>
                <w:sz w:val="14"/>
                <w:szCs w:val="14"/>
                <w:color w:val="auto"/>
              </w:rPr>
            </w:pPr>
          </w:p>
        </w:tc>
      </w:tr>
      <w:tr>
        <w:trPr>
          <w:trHeight w:val="146"/>
        </w:trPr>
        <w:tc>
          <w:tcPr>
            <w:tcW w:w="5280" w:type="dxa"/>
            <w:vAlign w:val="bottom"/>
            <w:shd w:val="clear" w:color="auto" w:fill="E5E7EF"/>
          </w:tcPr>
          <w:p>
            <w:pPr>
              <w:ind w:left="20"/>
              <w:spacing w:after="0" w:line="146" w:lineRule="exact"/>
              <w:rPr>
                <w:sz w:val="20"/>
                <w:szCs w:val="20"/>
                <w:color w:val="auto"/>
              </w:rPr>
            </w:pPr>
            <w:r>
              <w:rPr>
                <w:rFonts w:ascii="Arial" w:cs="Arial" w:eastAsia="Arial" w:hAnsi="Arial"/>
                <w:sz w:val="13"/>
                <w:szCs w:val="13"/>
                <w:color w:val="auto"/>
              </w:rPr>
              <w:t>The Vanguard Group</w:t>
            </w:r>
            <w:r>
              <w:rPr>
                <w:rFonts w:ascii="Arial" w:cs="Arial" w:eastAsia="Arial" w:hAnsi="Arial"/>
                <w:sz w:val="16"/>
                <w:szCs w:val="16"/>
                <w:color w:val="auto"/>
                <w:vertAlign w:val="superscript"/>
              </w:rPr>
              <w:t>(2)</w:t>
            </w:r>
          </w:p>
        </w:tc>
        <w:tc>
          <w:tcPr>
            <w:tcW w:w="4480" w:type="dxa"/>
            <w:vAlign w:val="bottom"/>
            <w:shd w:val="clear" w:color="auto" w:fill="E5E7EF"/>
          </w:tcPr>
          <w:p>
            <w:pPr>
              <w:jc w:val="right"/>
              <w:ind w:right="112"/>
              <w:spacing w:after="0" w:line="146" w:lineRule="exact"/>
              <w:rPr>
                <w:sz w:val="20"/>
                <w:szCs w:val="20"/>
                <w:color w:val="auto"/>
              </w:rPr>
            </w:pPr>
            <w:r>
              <w:rPr>
                <w:rFonts w:ascii="Arial" w:cs="Arial" w:eastAsia="Arial" w:hAnsi="Arial"/>
                <w:sz w:val="14"/>
                <w:szCs w:val="14"/>
                <w:color w:val="auto"/>
              </w:rPr>
              <w:t>20,852,508</w:t>
            </w:r>
          </w:p>
        </w:tc>
        <w:tc>
          <w:tcPr>
            <w:tcW w:w="1340" w:type="dxa"/>
            <w:vAlign w:val="bottom"/>
            <w:shd w:val="clear" w:color="auto" w:fill="E5E7EF"/>
          </w:tcPr>
          <w:p>
            <w:pPr>
              <w:jc w:val="right"/>
              <w:spacing w:after="0" w:line="146" w:lineRule="exact"/>
              <w:rPr>
                <w:sz w:val="20"/>
                <w:szCs w:val="20"/>
                <w:color w:val="auto"/>
              </w:rPr>
            </w:pPr>
            <w:r>
              <w:rPr>
                <w:rFonts w:ascii="Arial" w:cs="Arial" w:eastAsia="Arial" w:hAnsi="Arial"/>
                <w:sz w:val="14"/>
                <w:szCs w:val="14"/>
                <w:color w:val="auto"/>
              </w:rPr>
              <w:t>7.56</w:t>
            </w:r>
          </w:p>
        </w:tc>
      </w:tr>
      <w:tr>
        <w:trPr>
          <w:trHeight w:val="134"/>
        </w:trPr>
        <w:tc>
          <w:tcPr>
            <w:tcW w:w="5280" w:type="dxa"/>
            <w:vAlign w:val="bottom"/>
            <w:shd w:val="clear" w:color="auto" w:fill="E5E7EF"/>
          </w:tcPr>
          <w:p>
            <w:pPr>
              <w:ind w:left="20"/>
              <w:spacing w:after="0" w:line="135" w:lineRule="exact"/>
              <w:rPr>
                <w:sz w:val="20"/>
                <w:szCs w:val="20"/>
                <w:color w:val="auto"/>
              </w:rPr>
            </w:pPr>
            <w:r>
              <w:rPr>
                <w:rFonts w:ascii="Arial" w:cs="Arial" w:eastAsia="Arial" w:hAnsi="Arial"/>
                <w:sz w:val="14"/>
                <w:szCs w:val="14"/>
                <w:color w:val="auto"/>
              </w:rPr>
              <w:t>100 Vanguard Boulevard</w:t>
            </w:r>
          </w:p>
        </w:tc>
        <w:tc>
          <w:tcPr>
            <w:tcW w:w="4480" w:type="dxa"/>
            <w:vAlign w:val="bottom"/>
            <w:shd w:val="clear" w:color="auto" w:fill="E5E7EF"/>
          </w:tcPr>
          <w:p>
            <w:pPr>
              <w:spacing w:after="0"/>
              <w:rPr>
                <w:sz w:val="11"/>
                <w:szCs w:val="11"/>
                <w:color w:val="auto"/>
              </w:rPr>
            </w:pPr>
          </w:p>
        </w:tc>
        <w:tc>
          <w:tcPr>
            <w:tcW w:w="1340" w:type="dxa"/>
            <w:vAlign w:val="bottom"/>
            <w:shd w:val="clear" w:color="auto" w:fill="E5E7EF"/>
          </w:tcPr>
          <w:p>
            <w:pPr>
              <w:spacing w:after="0"/>
              <w:rPr>
                <w:sz w:val="11"/>
                <w:szCs w:val="11"/>
                <w:color w:val="auto"/>
              </w:rPr>
            </w:pPr>
          </w:p>
        </w:tc>
      </w:tr>
      <w:tr>
        <w:trPr>
          <w:trHeight w:val="170"/>
        </w:trPr>
        <w:tc>
          <w:tcPr>
            <w:tcW w:w="5280" w:type="dxa"/>
            <w:vAlign w:val="bottom"/>
            <w:tcBorders>
              <w:bottom w:val="single" w:sz="8" w:color="808080"/>
            </w:tcBorders>
            <w:shd w:val="clear" w:color="auto" w:fill="E5E7EF"/>
          </w:tcPr>
          <w:p>
            <w:pPr>
              <w:ind w:left="20"/>
              <w:spacing w:after="0"/>
              <w:rPr>
                <w:sz w:val="20"/>
                <w:szCs w:val="20"/>
                <w:color w:val="auto"/>
              </w:rPr>
            </w:pPr>
            <w:r>
              <w:rPr>
                <w:rFonts w:ascii="Arial" w:cs="Arial" w:eastAsia="Arial" w:hAnsi="Arial"/>
                <w:sz w:val="14"/>
                <w:szCs w:val="14"/>
                <w:color w:val="auto"/>
              </w:rPr>
              <w:t>Malvern, PA 19355</w:t>
            </w:r>
          </w:p>
        </w:tc>
        <w:tc>
          <w:tcPr>
            <w:tcW w:w="4480" w:type="dxa"/>
            <w:vAlign w:val="bottom"/>
            <w:tcBorders>
              <w:bottom w:val="single" w:sz="8" w:color="808080"/>
            </w:tcBorders>
            <w:shd w:val="clear" w:color="auto" w:fill="E5E7EF"/>
          </w:tcPr>
          <w:p>
            <w:pPr>
              <w:spacing w:after="0"/>
              <w:rPr>
                <w:sz w:val="14"/>
                <w:szCs w:val="14"/>
                <w:color w:val="auto"/>
              </w:rPr>
            </w:pPr>
          </w:p>
        </w:tc>
        <w:tc>
          <w:tcPr>
            <w:tcW w:w="1340" w:type="dxa"/>
            <w:vAlign w:val="bottom"/>
            <w:tcBorders>
              <w:bottom w:val="single" w:sz="8" w:color="808080"/>
            </w:tcBorders>
            <w:shd w:val="clear" w:color="auto" w:fill="E5E7EF"/>
          </w:tcPr>
          <w:p>
            <w:pPr>
              <w:spacing w:after="0"/>
              <w:rPr>
                <w:sz w:val="14"/>
                <w:szCs w:val="14"/>
                <w:color w:val="auto"/>
              </w:rPr>
            </w:pPr>
          </w:p>
        </w:tc>
      </w:tr>
      <w:tr>
        <w:trPr>
          <w:trHeight w:val="146"/>
        </w:trPr>
        <w:tc>
          <w:tcPr>
            <w:tcW w:w="5280" w:type="dxa"/>
            <w:vAlign w:val="bottom"/>
          </w:tcPr>
          <w:p>
            <w:pPr>
              <w:ind w:left="20"/>
              <w:spacing w:after="0" w:line="146" w:lineRule="exact"/>
              <w:rPr>
                <w:sz w:val="20"/>
                <w:szCs w:val="20"/>
                <w:color w:val="auto"/>
              </w:rPr>
            </w:pPr>
            <w:r>
              <w:rPr>
                <w:rFonts w:ascii="Arial" w:cs="Arial" w:eastAsia="Arial" w:hAnsi="Arial"/>
                <w:sz w:val="13"/>
                <w:szCs w:val="13"/>
                <w:color w:val="auto"/>
              </w:rPr>
              <w:t>BlackRock, Inc.</w:t>
            </w:r>
            <w:r>
              <w:rPr>
                <w:rFonts w:ascii="Arial" w:cs="Arial" w:eastAsia="Arial" w:hAnsi="Arial"/>
                <w:sz w:val="16"/>
                <w:szCs w:val="16"/>
                <w:color w:val="auto"/>
                <w:vertAlign w:val="superscript"/>
              </w:rPr>
              <w:t>(3)</w:t>
            </w:r>
          </w:p>
        </w:tc>
        <w:tc>
          <w:tcPr>
            <w:tcW w:w="4480" w:type="dxa"/>
            <w:vAlign w:val="bottom"/>
          </w:tcPr>
          <w:p>
            <w:pPr>
              <w:jc w:val="right"/>
              <w:ind w:right="112"/>
              <w:spacing w:after="0" w:line="146" w:lineRule="exact"/>
              <w:rPr>
                <w:sz w:val="20"/>
                <w:szCs w:val="20"/>
                <w:color w:val="auto"/>
              </w:rPr>
            </w:pPr>
            <w:r>
              <w:rPr>
                <w:rFonts w:ascii="Arial" w:cs="Arial" w:eastAsia="Arial" w:hAnsi="Arial"/>
                <w:sz w:val="14"/>
                <w:szCs w:val="14"/>
                <w:color w:val="auto"/>
              </w:rPr>
              <w:t>17,560,982</w:t>
            </w:r>
          </w:p>
        </w:tc>
        <w:tc>
          <w:tcPr>
            <w:tcW w:w="1340" w:type="dxa"/>
            <w:vAlign w:val="bottom"/>
          </w:tcPr>
          <w:p>
            <w:pPr>
              <w:jc w:val="right"/>
              <w:spacing w:after="0" w:line="146" w:lineRule="exact"/>
              <w:rPr>
                <w:sz w:val="20"/>
                <w:szCs w:val="20"/>
                <w:color w:val="auto"/>
              </w:rPr>
            </w:pPr>
            <w:r>
              <w:rPr>
                <w:rFonts w:ascii="Arial" w:cs="Arial" w:eastAsia="Arial" w:hAnsi="Arial"/>
                <w:sz w:val="14"/>
                <w:szCs w:val="14"/>
                <w:color w:val="auto"/>
              </w:rPr>
              <w:t>6.40</w:t>
            </w:r>
          </w:p>
        </w:tc>
      </w:tr>
      <w:tr>
        <w:trPr>
          <w:trHeight w:val="134"/>
        </w:trPr>
        <w:tc>
          <w:tcPr>
            <w:tcW w:w="5280" w:type="dxa"/>
            <w:vAlign w:val="bottom"/>
          </w:tcPr>
          <w:p>
            <w:pPr>
              <w:ind w:left="20"/>
              <w:spacing w:after="0" w:line="135" w:lineRule="exact"/>
              <w:rPr>
                <w:sz w:val="20"/>
                <w:szCs w:val="20"/>
                <w:color w:val="auto"/>
              </w:rPr>
            </w:pPr>
            <w:r>
              <w:rPr>
                <w:rFonts w:ascii="Arial" w:cs="Arial" w:eastAsia="Arial" w:hAnsi="Arial"/>
                <w:sz w:val="14"/>
                <w:szCs w:val="14"/>
                <w:color w:val="auto"/>
              </w:rPr>
              <w:t>55 East 52nd Street</w:t>
            </w:r>
          </w:p>
        </w:tc>
        <w:tc>
          <w:tcPr>
            <w:tcW w:w="448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170"/>
        </w:trPr>
        <w:tc>
          <w:tcPr>
            <w:tcW w:w="5280" w:type="dxa"/>
            <w:vAlign w:val="bottom"/>
            <w:tcBorders>
              <w:bottom w:val="single" w:sz="8" w:color="9D9D9C"/>
            </w:tcBorders>
          </w:tcPr>
          <w:p>
            <w:pPr>
              <w:ind w:left="20"/>
              <w:spacing w:after="0"/>
              <w:rPr>
                <w:sz w:val="20"/>
                <w:szCs w:val="20"/>
                <w:color w:val="auto"/>
              </w:rPr>
            </w:pPr>
            <w:r>
              <w:rPr>
                <w:rFonts w:ascii="Arial" w:cs="Arial" w:eastAsia="Arial" w:hAnsi="Arial"/>
                <w:sz w:val="14"/>
                <w:szCs w:val="14"/>
                <w:color w:val="auto"/>
              </w:rPr>
              <w:t>New York, NY 10055</w:t>
            </w:r>
          </w:p>
        </w:tc>
        <w:tc>
          <w:tcPr>
            <w:tcW w:w="4480" w:type="dxa"/>
            <w:vAlign w:val="bottom"/>
            <w:tcBorders>
              <w:bottom w:val="single" w:sz="8" w:color="9D9D9C"/>
            </w:tcBorders>
          </w:tcPr>
          <w:p>
            <w:pPr>
              <w:spacing w:after="0"/>
              <w:rPr>
                <w:sz w:val="14"/>
                <w:szCs w:val="14"/>
                <w:color w:val="auto"/>
              </w:rPr>
            </w:pPr>
          </w:p>
        </w:tc>
        <w:tc>
          <w:tcPr>
            <w:tcW w:w="1340" w:type="dxa"/>
            <w:vAlign w:val="bottom"/>
            <w:tcBorders>
              <w:bottom w:val="single" w:sz="8" w:color="9D9D9C"/>
            </w:tcBorders>
          </w:tcPr>
          <w:p>
            <w:pPr>
              <w:spacing w:after="0"/>
              <w:rPr>
                <w:sz w:val="14"/>
                <w:szCs w:val="14"/>
                <w:color w:val="auto"/>
              </w:rPr>
            </w:pPr>
          </w:p>
        </w:tc>
      </w:tr>
    </w:tbl>
    <w:p>
      <w:pPr>
        <w:spacing w:after="0" w:line="206" w:lineRule="exact"/>
        <w:rPr>
          <w:sz w:val="20"/>
          <w:szCs w:val="20"/>
          <w:color w:val="auto"/>
        </w:rPr>
      </w:pPr>
    </w:p>
    <w:p>
      <w:pPr>
        <w:ind w:left="240" w:hanging="233"/>
        <w:spacing w:after="0" w:line="249" w:lineRule="auto"/>
        <w:tabs>
          <w:tab w:leader="none" w:pos="246" w:val="left"/>
        </w:tabs>
        <w:numPr>
          <w:ilvl w:val="0"/>
          <w:numId w:val="116"/>
        </w:numPr>
        <w:rPr>
          <w:rFonts w:ascii="Arial" w:cs="Arial" w:eastAsia="Arial" w:hAnsi="Arial"/>
          <w:sz w:val="19"/>
          <w:szCs w:val="19"/>
          <w:color w:val="auto"/>
          <w:vertAlign w:val="superscript"/>
        </w:rPr>
      </w:pPr>
      <w:r>
        <w:rPr>
          <w:rFonts w:ascii="Arial" w:cs="Arial" w:eastAsia="Arial" w:hAnsi="Arial"/>
          <w:sz w:val="14"/>
          <w:szCs w:val="14"/>
          <w:color w:val="auto"/>
        </w:rPr>
        <w:t>As reported on a Schedule 13G/A filed on February 14, 2022 by State Street Corporation on behalf of itself and specified direct and indirect subsidiaries (State Street) in their various fiduciary and other capacities. State Street had shared voting power with respect to 38,783,116 shares and shared dispositive power with respect to 39,593,795 shares and did not have sole dispositive or sole voting power over any shares. State Street Bank and Trust Company (SSBTC) is the trustee and State Street Global Advisors Trust Company (SSGA) is the independent fiduciary and investment manager for Lockheed Martin common stock held in a master trust for Lockheed Martin benefit plans. SSBTC beneficially owns 30,066,118 of the shares held by State Street all of which are held in its capacity as trustee for various Lockheed Martin benefit plans and SSBTC had shared voting power over 30,066,118 shares and shared dispositive power over 1,231,182 shares. SSGA beneficially owns 34,832,222 of the shares held by State Street of which 28,835,530 were held by SSGA as independent fiduciary and investment manager for Lockheed Martin employee benefit plans and SSGA had shared voting power over 5,356,310 shares and shared dispositive power over 34,831,558 shares.</w:t>
      </w:r>
    </w:p>
    <w:p>
      <w:pPr>
        <w:spacing w:after="0" w:line="55" w:lineRule="exact"/>
        <w:rPr>
          <w:rFonts w:ascii="Arial" w:cs="Arial" w:eastAsia="Arial" w:hAnsi="Arial"/>
          <w:sz w:val="19"/>
          <w:szCs w:val="19"/>
          <w:color w:val="auto"/>
          <w:vertAlign w:val="superscript"/>
        </w:rPr>
      </w:pPr>
    </w:p>
    <w:p>
      <w:pPr>
        <w:ind w:left="240" w:right="360" w:hanging="233"/>
        <w:spacing w:after="0" w:line="219" w:lineRule="auto"/>
        <w:tabs>
          <w:tab w:leader="none" w:pos="246" w:val="left"/>
        </w:tabs>
        <w:numPr>
          <w:ilvl w:val="0"/>
          <w:numId w:val="116"/>
        </w:numPr>
        <w:rPr>
          <w:rFonts w:ascii="Arial" w:cs="Arial" w:eastAsia="Arial" w:hAnsi="Arial"/>
          <w:sz w:val="19"/>
          <w:szCs w:val="19"/>
          <w:color w:val="auto"/>
          <w:vertAlign w:val="superscript"/>
        </w:rPr>
      </w:pPr>
      <w:r>
        <w:rPr>
          <w:rFonts w:ascii="Arial" w:cs="Arial" w:eastAsia="Arial" w:hAnsi="Arial"/>
          <w:sz w:val="14"/>
          <w:szCs w:val="14"/>
          <w:color w:val="auto"/>
        </w:rPr>
        <w:t>As reported on a Schedule 13G/A filed on February 10, 2022 by The Vanguard Group. The Vanguard Group had sole dispositive power over 19,855,188 shares, shared dispositive power over 997,320 shares, shared voting power over 391,907 shares and did not have sole voting power over any shares.</w:t>
      </w:r>
    </w:p>
    <w:p>
      <w:pPr>
        <w:spacing w:after="0" w:line="56" w:lineRule="exact"/>
        <w:rPr>
          <w:rFonts w:ascii="Arial" w:cs="Arial" w:eastAsia="Arial" w:hAnsi="Arial"/>
          <w:sz w:val="19"/>
          <w:szCs w:val="19"/>
          <w:color w:val="auto"/>
          <w:vertAlign w:val="superscript"/>
        </w:rPr>
      </w:pPr>
    </w:p>
    <w:p>
      <w:pPr>
        <w:ind w:left="240" w:right="260" w:hanging="233"/>
        <w:spacing w:after="0" w:line="219" w:lineRule="auto"/>
        <w:tabs>
          <w:tab w:leader="none" w:pos="246" w:val="left"/>
        </w:tabs>
        <w:numPr>
          <w:ilvl w:val="0"/>
          <w:numId w:val="116"/>
        </w:numPr>
        <w:rPr>
          <w:rFonts w:ascii="Arial" w:cs="Arial" w:eastAsia="Arial" w:hAnsi="Arial"/>
          <w:sz w:val="19"/>
          <w:szCs w:val="19"/>
          <w:color w:val="auto"/>
          <w:vertAlign w:val="superscript"/>
        </w:rPr>
      </w:pPr>
      <w:r>
        <w:rPr>
          <w:rFonts w:ascii="Arial" w:cs="Arial" w:eastAsia="Arial" w:hAnsi="Arial"/>
          <w:sz w:val="14"/>
          <w:szCs w:val="14"/>
          <w:color w:val="auto"/>
        </w:rPr>
        <w:t>As reported on a Schedule 13G/A filed on February 3, 2022 by BlackRock, Inc. BlackRock, Inc. had sole dispositive power over 17,560,982 shares and sole voting power over 16,096,173 shares and did not have shared dispositive or shared voting power over any shares.</w:t>
      </w:r>
    </w:p>
    <w:p>
      <w:pPr>
        <w:spacing w:after="0" w:line="102" w:lineRule="exact"/>
        <w:rPr>
          <w:sz w:val="20"/>
          <w:szCs w:val="20"/>
          <w:color w:val="auto"/>
        </w:rPr>
      </w:pPr>
    </w:p>
    <w:p>
      <w:pPr>
        <w:spacing w:after="0"/>
        <w:rPr>
          <w:sz w:val="20"/>
          <w:szCs w:val="20"/>
          <w:color w:val="auto"/>
        </w:rPr>
      </w:pPr>
      <w:r>
        <w:rPr>
          <w:rFonts w:ascii="Arial" w:cs="Arial" w:eastAsia="Arial" w:hAnsi="Arial"/>
          <w:sz w:val="29"/>
          <w:szCs w:val="29"/>
          <w:color w:val="003478"/>
        </w:rPr>
        <w:t>Delinquent Section 16(a) Reports</w:t>
      </w:r>
    </w:p>
    <w:p>
      <w:pPr>
        <w:spacing w:after="0" w:line="12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Section 16(a) of the Securities Exchange Act of 1934, as amended, requires our executive officers and directors (and persons who own more than 10% of our equity securities) to file reports of ownership and changes in ownership with the SEC. Based solely on our review of forms filed electronically with the SEC and written representations from the reporting persons, the Company has determined that no reporting person known to it was delinquent with respect to their reporting obligations during 2021 or prior years, other than as previously disclosed, except for a late Form 4 filed on June 16, 2021 for each of John W. Mollard and Brian P. Colan to report the vesting of RSUs and concurrent disposition to the Company of shares to satisfy each reporting person’s tax withholding obligation on April 25, 2021. These delinquent filings were due to an administrative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483870</wp:posOffset>
            </wp:positionV>
            <wp:extent cx="963930" cy="2216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73</w:t>
      </w:r>
    </w:p>
    <w:p>
      <w:pPr>
        <w:sectPr>
          <w:pgSz w:w="11900" w:h="16838" w:orient="portrait"/>
          <w:cols w:equalWidth="0" w:num="1">
            <w:col w:w="11220"/>
          </w:cols>
          <w:pgMar w:left="320" w:top="254" w:right="359" w:bottom="1440" w:gutter="0" w:footer="0" w:header="0"/>
        </w:sectPr>
      </w:pPr>
    </w:p>
    <w:bookmarkStart w:id="79" w:name="page80"/>
    <w:bookmarkEnd w:id="79"/>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570865</wp:posOffset>
            </wp:positionV>
            <wp:extent cx="7030720" cy="7080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030720" cy="708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left="20" w:right="1120" w:hanging="124"/>
        <w:spacing w:after="0" w:line="241" w:lineRule="auto"/>
        <w:rPr>
          <w:sz w:val="20"/>
          <w:szCs w:val="20"/>
          <w:color w:val="auto"/>
        </w:rPr>
      </w:pPr>
      <w:r>
        <w:rPr>
          <w:rFonts w:ascii="Arial" w:cs="Arial" w:eastAsia="Arial" w:hAnsi="Arial"/>
          <w:sz w:val="20"/>
          <w:szCs w:val="20"/>
          <w:color w:val="003478"/>
        </w:rPr>
        <w:t>PROPOSAL 4: STOCKHOLDER PROPOSAL TO REDUCE THRESHOLD FOR CALLING SPECIAL STOCKHOLDER MEETINGS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620" w:hanging="160"/>
        <w:spacing w:after="0" w:line="257" w:lineRule="auto"/>
        <w:rPr>
          <w:sz w:val="20"/>
          <w:szCs w:val="20"/>
          <w:color w:val="auto"/>
        </w:rPr>
      </w:pPr>
      <w:r>
        <w:rPr>
          <w:rFonts w:ascii="Arial" w:cs="Arial" w:eastAsia="Arial" w:hAnsi="Arial"/>
          <w:sz w:val="17"/>
          <w:szCs w:val="17"/>
          <w:color w:val="012E6C"/>
        </w:rPr>
        <w:t xml:space="preserve">The Board unanimously recommends that you vote </w:t>
      </w:r>
      <w:r>
        <w:rPr>
          <w:rFonts w:ascii="Arial" w:cs="Arial" w:eastAsia="Arial" w:hAnsi="Arial"/>
          <w:sz w:val="17"/>
          <w:szCs w:val="17"/>
          <w:b w:val="1"/>
          <w:bCs w:val="1"/>
          <w:color w:val="012E6C"/>
        </w:rPr>
        <w:t xml:space="preserve">AGAINST </w:t>
      </w:r>
      <w:r>
        <w:rPr>
          <w:rFonts w:ascii="Arial" w:cs="Arial" w:eastAsia="Arial" w:hAnsi="Arial"/>
          <w:sz w:val="17"/>
          <w:szCs w:val="17"/>
          <w:color w:val="012E6C"/>
        </w:rPr>
        <w:t>Proposal 4.</w:t>
      </w:r>
    </w:p>
    <w:p>
      <w:pPr>
        <w:spacing w:after="0" w:line="476" w:lineRule="exact"/>
        <w:rPr>
          <w:sz w:val="20"/>
          <w:szCs w:val="20"/>
          <w:color w:val="auto"/>
        </w:rPr>
      </w:pPr>
    </w:p>
    <w:p>
      <w:pPr>
        <w:sectPr>
          <w:pgSz w:w="11900" w:h="16838" w:orient="portrait"/>
          <w:cols w:equalWidth="0" w:num="2">
            <w:col w:w="6180" w:space="720"/>
            <w:col w:w="4320"/>
          </w:cols>
          <w:pgMar w:left="320" w:top="254" w:right="35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Mr. John Chevedden, owner of 20 shares, has informed us that he intends to introduce the proposal set forth below at the Annual Meeting.</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Beginning of Stockholder Proposal—Text and Graphic are Reprinted from the Stockholder Submission: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Proposal 4 — Special Shareholder Meeting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2180590</wp:posOffset>
            </wp:positionH>
            <wp:positionV relativeFrom="paragraph">
              <wp:posOffset>173990</wp:posOffset>
            </wp:positionV>
            <wp:extent cx="2781300" cy="537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781300" cy="537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20" w:right="60"/>
        <w:spacing w:after="0" w:line="274" w:lineRule="auto"/>
        <w:rPr>
          <w:sz w:val="20"/>
          <w:szCs w:val="20"/>
          <w:color w:val="auto"/>
        </w:rPr>
      </w:pPr>
      <w:r>
        <w:rPr>
          <w:rFonts w:ascii="Arial" w:cs="Arial" w:eastAsia="Arial" w:hAnsi="Arial"/>
          <w:sz w:val="17"/>
          <w:szCs w:val="17"/>
          <w:color w:val="auto"/>
        </w:rPr>
        <w:t>Shareholders ask our board to take the steps necessary to give the owners of a combined 10% of our outstanding common stock the power to call a special shareholder meeting.</w:t>
      </w:r>
    </w:p>
    <w:p>
      <w:pPr>
        <w:spacing w:after="0" w:line="91" w:lineRule="exact"/>
        <w:rPr>
          <w:sz w:val="20"/>
          <w:szCs w:val="20"/>
          <w:color w:val="auto"/>
        </w:rPr>
      </w:pPr>
    </w:p>
    <w:p>
      <w:pPr>
        <w:ind w:left="20" w:right="100"/>
        <w:spacing w:after="0" w:line="269" w:lineRule="auto"/>
        <w:rPr>
          <w:sz w:val="20"/>
          <w:szCs w:val="20"/>
          <w:color w:val="auto"/>
        </w:rPr>
      </w:pPr>
      <w:r>
        <w:rPr>
          <w:rFonts w:ascii="Arial" w:cs="Arial" w:eastAsia="Arial" w:hAnsi="Arial"/>
          <w:sz w:val="17"/>
          <w:szCs w:val="17"/>
          <w:color w:val="auto"/>
        </w:rPr>
        <w:t>Management already seems to be in agreement with proposal because management provides for one shareholder to call a special meeting if the shareholder owns 10% of our stock. A group of shareholders should have the same right as one shareholder when both parties have the same 10% stock ownership. Why should one large shareholder get special treatment when his money at risk is the same as a group of smaller shareholders?</w:t>
      </w:r>
    </w:p>
    <w:p>
      <w:pPr>
        <w:spacing w:after="0" w:line="95" w:lineRule="exact"/>
        <w:rPr>
          <w:sz w:val="20"/>
          <w:szCs w:val="20"/>
          <w:color w:val="auto"/>
        </w:rPr>
      </w:pPr>
    </w:p>
    <w:p>
      <w:pPr>
        <w:ind w:left="20" w:right="400"/>
        <w:spacing w:after="0" w:line="274" w:lineRule="auto"/>
        <w:rPr>
          <w:sz w:val="20"/>
          <w:szCs w:val="20"/>
          <w:color w:val="auto"/>
        </w:rPr>
      </w:pPr>
      <w:r>
        <w:rPr>
          <w:rFonts w:ascii="Arial" w:cs="Arial" w:eastAsia="Arial" w:hAnsi="Arial"/>
          <w:sz w:val="17"/>
          <w:szCs w:val="17"/>
          <w:color w:val="auto"/>
        </w:rPr>
        <w:t>We gave 42% support to this proposal topic in 2016. This 42% likely represented 51% support from the shares that have access to independent proxy voting advice and are not forced to rely on the biased view of management.</w:t>
      </w:r>
    </w:p>
    <w:p>
      <w:pPr>
        <w:spacing w:after="0" w:line="91" w:lineRule="exact"/>
        <w:rPr>
          <w:sz w:val="20"/>
          <w:szCs w:val="20"/>
          <w:color w:val="auto"/>
        </w:rPr>
      </w:pPr>
    </w:p>
    <w:p>
      <w:pPr>
        <w:ind w:left="20" w:right="220"/>
        <w:spacing w:after="0" w:line="269" w:lineRule="auto"/>
        <w:rPr>
          <w:sz w:val="20"/>
          <w:szCs w:val="20"/>
          <w:color w:val="auto"/>
        </w:rPr>
      </w:pPr>
      <w:r>
        <w:rPr>
          <w:rFonts w:ascii="Arial" w:cs="Arial" w:eastAsia="Arial" w:hAnsi="Arial"/>
          <w:sz w:val="17"/>
          <w:szCs w:val="17"/>
          <w:color w:val="auto"/>
        </w:rPr>
        <w:t>It theoretically takes 25% of shares to call for a special shareholder meeting. This theoretical 25% translates into 33% of shares that cast ballots at our annual meeting. It would be hopeless to expect that shares that do not have the time to vote would have the time to go through the special procedural stops to call for a special shareholder meeting.</w:t>
      </w:r>
    </w:p>
    <w:p>
      <w:pPr>
        <w:spacing w:after="0" w:line="95" w:lineRule="exact"/>
        <w:rPr>
          <w:sz w:val="20"/>
          <w:szCs w:val="20"/>
          <w:color w:val="auto"/>
        </w:rPr>
      </w:pPr>
    </w:p>
    <w:p>
      <w:pPr>
        <w:ind w:left="20" w:right="80"/>
        <w:spacing w:after="0" w:line="267" w:lineRule="auto"/>
        <w:rPr>
          <w:sz w:val="20"/>
          <w:szCs w:val="20"/>
          <w:color w:val="auto"/>
        </w:rPr>
      </w:pPr>
      <w:r>
        <w:rPr>
          <w:rFonts w:ascii="Arial" w:cs="Arial" w:eastAsia="Arial" w:hAnsi="Arial"/>
          <w:sz w:val="17"/>
          <w:szCs w:val="17"/>
          <w:color w:val="auto"/>
        </w:rPr>
        <w:t>It is also important to have a more reasonable stock ownership percentage to call for a special shareholder meeting to help make up for the fact that we do not have a right to act by written consent. Many companies provide for both a shareholder right to call a special shareholder meeting and a shareholder right to act by written consent. Southwest Airlines and Target are companies that do not provide for shareholder written consent and yet provide for 10% of shares to call for a special shareholder meeting.</w:t>
      </w:r>
    </w:p>
    <w:p>
      <w:pPr>
        <w:spacing w:after="0" w:line="98" w:lineRule="exact"/>
        <w:rPr>
          <w:sz w:val="20"/>
          <w:szCs w:val="20"/>
          <w:color w:val="auto"/>
        </w:rPr>
      </w:pPr>
    </w:p>
    <w:p>
      <w:pPr>
        <w:ind w:left="20" w:right="540"/>
        <w:spacing w:after="0" w:line="274" w:lineRule="auto"/>
        <w:rPr>
          <w:sz w:val="20"/>
          <w:szCs w:val="20"/>
          <w:color w:val="auto"/>
        </w:rPr>
      </w:pPr>
      <w:r>
        <w:rPr>
          <w:rFonts w:ascii="Arial" w:cs="Arial" w:eastAsia="Arial" w:hAnsi="Arial"/>
          <w:sz w:val="17"/>
          <w:szCs w:val="17"/>
          <w:color w:val="auto"/>
        </w:rPr>
        <w:t>In 2021 we gave 46%-support to a shareholder proposal for a right to act by written consent in spite of management resistance propped up by misleading management statements.</w:t>
      </w:r>
    </w:p>
    <w:p>
      <w:pPr>
        <w:spacing w:after="0" w:line="91" w:lineRule="exact"/>
        <w:rPr>
          <w:sz w:val="20"/>
          <w:szCs w:val="20"/>
          <w:color w:val="auto"/>
        </w:rPr>
      </w:pPr>
    </w:p>
    <w:p>
      <w:pPr>
        <w:ind w:left="20" w:right="40"/>
        <w:spacing w:after="0" w:line="269" w:lineRule="auto"/>
        <w:rPr>
          <w:sz w:val="20"/>
          <w:szCs w:val="20"/>
          <w:color w:val="auto"/>
        </w:rPr>
      </w:pPr>
      <w:r>
        <w:rPr>
          <w:rFonts w:ascii="Arial" w:cs="Arial" w:eastAsia="Arial" w:hAnsi="Arial"/>
          <w:sz w:val="17"/>
          <w:szCs w:val="17"/>
          <w:color w:val="auto"/>
        </w:rPr>
        <w:t>When reading the management statement next to this proposal, or any shareholder proposal, please remember that there is a formal process to root out any supposedly misleading shareholder text in a shareholder proposal but there is no formal process to root out misleading management text next to a shareholder proposal.</w:t>
      </w:r>
    </w:p>
    <w:p>
      <w:pPr>
        <w:spacing w:after="0" w:line="95" w:lineRule="exact"/>
        <w:rPr>
          <w:sz w:val="20"/>
          <w:szCs w:val="20"/>
          <w:color w:val="auto"/>
        </w:rPr>
      </w:pPr>
    </w:p>
    <w:p>
      <w:pPr>
        <w:ind w:left="20" w:right="280"/>
        <w:spacing w:after="0" w:line="274" w:lineRule="auto"/>
        <w:rPr>
          <w:sz w:val="20"/>
          <w:szCs w:val="20"/>
          <w:color w:val="auto"/>
        </w:rPr>
      </w:pPr>
      <w:r>
        <w:rPr>
          <w:rFonts w:ascii="Arial" w:cs="Arial" w:eastAsia="Arial" w:hAnsi="Arial"/>
          <w:sz w:val="17"/>
          <w:szCs w:val="17"/>
          <w:color w:val="auto"/>
        </w:rPr>
        <w:t>This 46% shareholder support in 2021 most likely represented 51% of the shares that have access to independent proxy voting advice. Lockheed Martin management is thus getting a free ride on the backs of small shareholders who have no access to independent proxy voting advice.</w:t>
      </w:r>
    </w:p>
    <w:p>
      <w:pPr>
        <w:spacing w:after="0" w:line="91" w:lineRule="exact"/>
        <w:rPr>
          <w:sz w:val="20"/>
          <w:szCs w:val="20"/>
          <w:color w:val="auto"/>
        </w:rPr>
      </w:pPr>
    </w:p>
    <w:p>
      <w:pPr>
        <w:ind w:left="20" w:right="200"/>
        <w:spacing w:after="0" w:line="274" w:lineRule="auto"/>
        <w:rPr>
          <w:sz w:val="20"/>
          <w:szCs w:val="20"/>
          <w:color w:val="auto"/>
        </w:rPr>
      </w:pPr>
      <w:r>
        <w:rPr>
          <w:rFonts w:ascii="Arial" w:cs="Arial" w:eastAsia="Arial" w:hAnsi="Arial"/>
          <w:sz w:val="17"/>
          <w:szCs w:val="17"/>
          <w:color w:val="auto"/>
        </w:rPr>
        <w:t>Management makes the worn-out claim that this shareholder right can be misused. However companies that make this worn-out claim do not back the claim up with one example from a universe of 3000 companies during the last 10-years.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Please vote yes: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Special Shareholder Meeting Improvement — Proposal 4</w:t>
      </w: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End of Stockholder Proposal—Board Vote Recommendation on Proposal 4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74</w:t>
      </w:r>
    </w:p>
    <w:p>
      <w:pPr>
        <w:sectPr>
          <w:pgSz w:w="11900" w:h="16838" w:orient="portrait"/>
          <w:cols w:equalWidth="0" w:num="1">
            <w:col w:w="11220"/>
          </w:cols>
          <w:pgMar w:left="320" w:top="254" w:right="359" w:bottom="1440" w:gutter="0" w:footer="0" w:header="0"/>
          <w:type w:val="continuous"/>
        </w:sectPr>
      </w:pPr>
    </w:p>
    <w:bookmarkStart w:id="80" w:name="page81"/>
    <w:bookmarkEnd w:id="80"/>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Proposal 4: Stockholder Proposal to Reduce Threshold for Calling Special Stockholder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379095</wp:posOffset>
            </wp:positionV>
            <wp:extent cx="7132955" cy="67316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955" cy="6731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Arial" w:cs="Arial" w:eastAsia="Arial" w:hAnsi="Arial"/>
          <w:sz w:val="29"/>
          <w:szCs w:val="29"/>
          <w:color w:val="003478"/>
        </w:rPr>
        <w:t>Board of Directors Vote Recommendation on Proposal 4</w:t>
      </w:r>
    </w:p>
    <w:p>
      <w:pPr>
        <w:spacing w:after="0" w:line="101" w:lineRule="exact"/>
        <w:rPr>
          <w:sz w:val="20"/>
          <w:szCs w:val="20"/>
          <w:color w:val="auto"/>
        </w:rPr>
      </w:pPr>
    </w:p>
    <w:p>
      <w:pPr>
        <w:ind w:left="100" w:right="480"/>
        <w:spacing w:after="0" w:line="281" w:lineRule="auto"/>
        <w:rPr>
          <w:sz w:val="20"/>
          <w:szCs w:val="20"/>
          <w:color w:val="auto"/>
        </w:rPr>
      </w:pPr>
      <w:r>
        <w:rPr>
          <w:rFonts w:ascii="Arial" w:cs="Arial" w:eastAsia="Arial" w:hAnsi="Arial"/>
          <w:sz w:val="17"/>
          <w:szCs w:val="17"/>
          <w:color w:val="auto"/>
        </w:rPr>
        <w:t xml:space="preserve">The Board recommends that stockholders vote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this proposal because stockholders already have a meaningful right to call special meetings and the Company has strong corporate governance practices with Board accountability to stockholders. The Board believes the requested change is unnecessary and is not in the best interests of the stockholders.</w:t>
      </w:r>
    </w:p>
    <w:p>
      <w:pPr>
        <w:spacing w:after="0" w:line="66" w:lineRule="exact"/>
        <w:rPr>
          <w:sz w:val="20"/>
          <w:szCs w:val="20"/>
          <w:color w:val="auto"/>
        </w:rPr>
      </w:pPr>
    </w:p>
    <w:p>
      <w:pPr>
        <w:ind w:left="260" w:right="20" w:hanging="154"/>
        <w:spacing w:after="0" w:line="272" w:lineRule="auto"/>
        <w:tabs>
          <w:tab w:leader="none" w:pos="225" w:val="left"/>
        </w:tabs>
        <w:numPr>
          <w:ilvl w:val="0"/>
          <w:numId w:val="117"/>
        </w:numPr>
        <w:rPr>
          <w:rFonts w:ascii="Arial" w:cs="Arial" w:eastAsia="Arial" w:hAnsi="Arial"/>
          <w:sz w:val="17"/>
          <w:szCs w:val="17"/>
          <w:color w:val="003478"/>
        </w:rPr>
      </w:pPr>
      <w:r>
        <w:rPr>
          <w:rFonts w:ascii="Arial" w:cs="Arial" w:eastAsia="Arial" w:hAnsi="Arial"/>
          <w:sz w:val="17"/>
          <w:szCs w:val="17"/>
          <w:b w:val="1"/>
          <w:bCs w:val="1"/>
          <w:color w:val="003478"/>
        </w:rPr>
        <w:t xml:space="preserve">Our stockholders already have a meaningful right to call a special meeting at any time. </w:t>
      </w:r>
      <w:r>
        <w:rPr>
          <w:rFonts w:ascii="Arial" w:cs="Arial" w:eastAsia="Arial" w:hAnsi="Arial"/>
          <w:sz w:val="17"/>
          <w:szCs w:val="17"/>
          <w:color w:val="000000"/>
        </w:rPr>
        <w:t>A special meeting may be called by a stockholder</w:t>
      </w:r>
      <w:r>
        <w:rPr>
          <w:rFonts w:ascii="Arial" w:cs="Arial" w:eastAsia="Arial" w:hAnsi="Arial"/>
          <w:sz w:val="17"/>
          <w:szCs w:val="17"/>
          <w:b w:val="1"/>
          <w:bCs w:val="1"/>
          <w:color w:val="003478"/>
        </w:rPr>
        <w:t xml:space="preserve"> </w:t>
      </w:r>
      <w:r>
        <w:rPr>
          <w:rFonts w:ascii="Arial" w:cs="Arial" w:eastAsia="Arial" w:hAnsi="Arial"/>
          <w:sz w:val="17"/>
          <w:szCs w:val="17"/>
          <w:color w:val="000000"/>
        </w:rPr>
        <w:t>owning 10 percent of our outstanding common stock or by a group of stockholders owning 25 percent of our outstanding common stock. Our Bylaws do not restrict the timing of a request for a special meeting. The only subject matter restriction is that we are not required to call a special meeting to consider a matter that is substantially the same as voted on at a special meeting within the preceding 12 months unless requested by a majority of all stockholders. See “Stockholder Right to Call Special Meeting” on page 30.</w:t>
      </w:r>
    </w:p>
    <w:p>
      <w:pPr>
        <w:spacing w:after="0" w:line="74" w:lineRule="exact"/>
        <w:rPr>
          <w:rFonts w:ascii="Arial" w:cs="Arial" w:eastAsia="Arial" w:hAnsi="Arial"/>
          <w:sz w:val="17"/>
          <w:szCs w:val="17"/>
          <w:color w:val="003478"/>
        </w:rPr>
      </w:pPr>
    </w:p>
    <w:p>
      <w:pPr>
        <w:jc w:val="both"/>
        <w:ind w:left="260" w:right="280" w:hanging="154"/>
        <w:spacing w:after="0" w:line="272" w:lineRule="auto"/>
        <w:tabs>
          <w:tab w:leader="none" w:pos="225" w:val="left"/>
        </w:tabs>
        <w:numPr>
          <w:ilvl w:val="0"/>
          <w:numId w:val="117"/>
        </w:numPr>
        <w:rPr>
          <w:rFonts w:ascii="Arial" w:cs="Arial" w:eastAsia="Arial" w:hAnsi="Arial"/>
          <w:sz w:val="17"/>
          <w:szCs w:val="17"/>
          <w:color w:val="003478"/>
        </w:rPr>
      </w:pPr>
      <w:r>
        <w:rPr>
          <w:rFonts w:ascii="Arial" w:cs="Arial" w:eastAsia="Arial" w:hAnsi="Arial"/>
          <w:sz w:val="17"/>
          <w:szCs w:val="17"/>
          <w:b w:val="1"/>
          <w:bCs w:val="1"/>
          <w:color w:val="003478"/>
        </w:rPr>
        <w:t xml:space="preserve">Our current ownership thresholds reflect corporate governance best practices. </w:t>
      </w:r>
      <w:r>
        <w:rPr>
          <w:rFonts w:ascii="Arial" w:cs="Arial" w:eastAsia="Arial" w:hAnsi="Arial"/>
          <w:sz w:val="17"/>
          <w:szCs w:val="17"/>
          <w:color w:val="000000"/>
        </w:rPr>
        <w:t>Our 25 percent aggregate ownership threshold to call a</w:t>
      </w:r>
      <w:r>
        <w:rPr>
          <w:rFonts w:ascii="Arial" w:cs="Arial" w:eastAsia="Arial" w:hAnsi="Arial"/>
          <w:sz w:val="17"/>
          <w:szCs w:val="17"/>
          <w:b w:val="1"/>
          <w:bCs w:val="1"/>
          <w:color w:val="003478"/>
        </w:rPr>
        <w:t xml:space="preserve"> </w:t>
      </w:r>
      <w:r>
        <w:rPr>
          <w:rFonts w:ascii="Arial" w:cs="Arial" w:eastAsia="Arial" w:hAnsi="Arial"/>
          <w:sz w:val="17"/>
          <w:szCs w:val="17"/>
          <w:color w:val="000000"/>
        </w:rPr>
        <w:t>special meeting is the most prevalent standard among our comparator group and S&amp;P 500 companies and is also consistent with the default provision under Maryland law. We go further by permitting an individual stockholder owning 10 percent to call a special meeting, providing an additional stockholder right that most companies do not offer. Of S&amp;P 500 companies, only 11% permit stockholders to call a special meeting and have a 10 percent or lower ownership threshold.</w:t>
      </w:r>
    </w:p>
    <w:p>
      <w:pPr>
        <w:spacing w:after="0" w:line="74" w:lineRule="exact"/>
        <w:rPr>
          <w:rFonts w:ascii="Arial" w:cs="Arial" w:eastAsia="Arial" w:hAnsi="Arial"/>
          <w:sz w:val="17"/>
          <w:szCs w:val="17"/>
          <w:color w:val="003478"/>
        </w:rPr>
      </w:pPr>
    </w:p>
    <w:p>
      <w:pPr>
        <w:ind w:left="260" w:right="20" w:hanging="154"/>
        <w:spacing w:after="0" w:line="270" w:lineRule="auto"/>
        <w:tabs>
          <w:tab w:leader="none" w:pos="225" w:val="left"/>
        </w:tabs>
        <w:numPr>
          <w:ilvl w:val="0"/>
          <w:numId w:val="117"/>
        </w:numPr>
        <w:rPr>
          <w:rFonts w:ascii="Arial" w:cs="Arial" w:eastAsia="Arial" w:hAnsi="Arial"/>
          <w:sz w:val="17"/>
          <w:szCs w:val="17"/>
          <w:color w:val="003478"/>
        </w:rPr>
      </w:pPr>
      <w:r>
        <w:rPr>
          <w:rFonts w:ascii="Arial" w:cs="Arial" w:eastAsia="Arial" w:hAnsi="Arial"/>
          <w:sz w:val="17"/>
          <w:szCs w:val="17"/>
          <w:b w:val="1"/>
          <w:bCs w:val="1"/>
          <w:color w:val="003478"/>
        </w:rPr>
        <w:t xml:space="preserve">Our Board continues to believe our current ownership thresholds are reasonable and appropriate. </w:t>
      </w:r>
      <w:r>
        <w:rPr>
          <w:rFonts w:ascii="Arial" w:cs="Arial" w:eastAsia="Arial" w:hAnsi="Arial"/>
          <w:sz w:val="17"/>
          <w:szCs w:val="17"/>
          <w:color w:val="000000"/>
        </w:rPr>
        <w:t>The Board believes that the aggregate</w:t>
      </w:r>
      <w:r>
        <w:rPr>
          <w:rFonts w:ascii="Arial" w:cs="Arial" w:eastAsia="Arial" w:hAnsi="Arial"/>
          <w:sz w:val="17"/>
          <w:szCs w:val="17"/>
          <w:b w:val="1"/>
          <w:bCs w:val="1"/>
          <w:color w:val="003478"/>
        </w:rPr>
        <w:t xml:space="preserve"> </w:t>
      </w:r>
      <w:r>
        <w:rPr>
          <w:rFonts w:ascii="Arial" w:cs="Arial" w:eastAsia="Arial" w:hAnsi="Arial"/>
          <w:sz w:val="17"/>
          <w:szCs w:val="17"/>
          <w:color w:val="000000"/>
        </w:rPr>
        <w:t>10 percent threshold suggested by the proponent is unduly low and could result in a small group of stockholders, none of whom individually has a significant stake in the Company, to use the mechanism of special meetings to advance their own interest, which may not be shared by a broad base of stockholders and may be contrary to the long-term best interests of the Company and its stockholders. For example, event-driven investors could join together to use special meetings to disrupt our business plans or facilitate self-serving short-term financial strategies that may encourage short-term stock ownership manipulation.</w:t>
      </w:r>
    </w:p>
    <w:p>
      <w:pPr>
        <w:spacing w:after="0" w:line="98" w:lineRule="exact"/>
        <w:rPr>
          <w:sz w:val="20"/>
          <w:szCs w:val="20"/>
          <w:color w:val="auto"/>
        </w:rPr>
      </w:pPr>
    </w:p>
    <w:p>
      <w:pPr>
        <w:ind w:left="260" w:right="40"/>
        <w:spacing w:after="0" w:line="265" w:lineRule="auto"/>
        <w:rPr>
          <w:sz w:val="20"/>
          <w:szCs w:val="20"/>
          <w:color w:val="auto"/>
        </w:rPr>
      </w:pPr>
      <w:r>
        <w:rPr>
          <w:rFonts w:ascii="Arial" w:cs="Arial" w:eastAsia="Arial" w:hAnsi="Arial"/>
          <w:sz w:val="17"/>
          <w:szCs w:val="17"/>
          <w:color w:val="auto"/>
        </w:rPr>
        <w:t>Special meetings can be costly, time-consuming and disruptive to normal business operations, and may divert Board and management time and attention from focusing on strategy and execution. Given the considerable investment of time and resources necessary to hold a special meeting, the Board believes the right should be exercised only in rare cases when delaying the consideration of a matter until the next annual meeting would be detrimental to stockholder value. We believe that our current 25 percent aggregate ownership threshold (or 10 percent for a single stockholder) is consistent with the long-term interests of our stockholders and strikes the appropriate balance between providing stockholders a meaningful mechanism to call a special meeting if they deem appropriate and protecting the Company and other stockholders from risks associated with misuse of this right.</w:t>
      </w:r>
    </w:p>
    <w:p>
      <w:pPr>
        <w:spacing w:after="0" w:line="82" w:lineRule="exact"/>
        <w:rPr>
          <w:sz w:val="20"/>
          <w:szCs w:val="20"/>
          <w:color w:val="auto"/>
        </w:rPr>
      </w:pPr>
    </w:p>
    <w:p>
      <w:pPr>
        <w:ind w:left="260" w:right="260" w:hanging="154"/>
        <w:spacing w:after="0" w:line="275" w:lineRule="auto"/>
        <w:tabs>
          <w:tab w:leader="none" w:pos="225" w:val="left"/>
        </w:tabs>
        <w:numPr>
          <w:ilvl w:val="0"/>
          <w:numId w:val="118"/>
        </w:numPr>
        <w:rPr>
          <w:rFonts w:ascii="Arial" w:cs="Arial" w:eastAsia="Arial" w:hAnsi="Arial"/>
          <w:sz w:val="17"/>
          <w:szCs w:val="17"/>
          <w:color w:val="003478"/>
        </w:rPr>
      </w:pPr>
      <w:r>
        <w:rPr>
          <w:rFonts w:ascii="Arial" w:cs="Arial" w:eastAsia="Arial" w:hAnsi="Arial"/>
          <w:sz w:val="17"/>
          <w:szCs w:val="17"/>
          <w:b w:val="1"/>
          <w:bCs w:val="1"/>
          <w:color w:val="003478"/>
        </w:rPr>
        <w:t xml:space="preserve">A stockholder vote in 2016 rejected a similar proposal with a higher percentage threshold. </w:t>
      </w:r>
      <w:r>
        <w:rPr>
          <w:rFonts w:ascii="Arial" w:cs="Arial" w:eastAsia="Arial" w:hAnsi="Arial"/>
          <w:sz w:val="17"/>
          <w:szCs w:val="17"/>
          <w:color w:val="000000"/>
        </w:rPr>
        <w:t>In 2016, the same proponent proposed, and</w:t>
      </w:r>
      <w:r>
        <w:rPr>
          <w:rFonts w:ascii="Arial" w:cs="Arial" w:eastAsia="Arial" w:hAnsi="Arial"/>
          <w:sz w:val="17"/>
          <w:szCs w:val="17"/>
          <w:b w:val="1"/>
          <w:bCs w:val="1"/>
          <w:color w:val="003478"/>
        </w:rPr>
        <w:t xml:space="preserve"> </w:t>
      </w:r>
      <w:r>
        <w:rPr>
          <w:rFonts w:ascii="Arial" w:cs="Arial" w:eastAsia="Arial" w:hAnsi="Arial"/>
          <w:sz w:val="17"/>
          <w:szCs w:val="17"/>
          <w:color w:val="000000"/>
        </w:rPr>
        <w:t>stockholders rejected, a proposal to lower the aggregate ownership threshold for stockholders to call a special meeting from 25 percent to 15 percent. The Board does not believe any material developments have occurred since 2016 that should change stockholders’ views on this proposal, which asserts an even lower ownership threshold than the earlier proposal that was rejected.</w:t>
      </w:r>
    </w:p>
    <w:p>
      <w:pPr>
        <w:spacing w:after="0" w:line="71" w:lineRule="exact"/>
        <w:rPr>
          <w:rFonts w:ascii="Arial" w:cs="Arial" w:eastAsia="Arial" w:hAnsi="Arial"/>
          <w:sz w:val="17"/>
          <w:szCs w:val="17"/>
          <w:color w:val="003478"/>
        </w:rPr>
      </w:pPr>
    </w:p>
    <w:p>
      <w:pPr>
        <w:ind w:left="260" w:hanging="154"/>
        <w:spacing w:after="0" w:line="267" w:lineRule="auto"/>
        <w:tabs>
          <w:tab w:leader="none" w:pos="225" w:val="left"/>
        </w:tabs>
        <w:numPr>
          <w:ilvl w:val="0"/>
          <w:numId w:val="118"/>
        </w:numPr>
        <w:rPr>
          <w:rFonts w:ascii="Arial" w:cs="Arial" w:eastAsia="Arial" w:hAnsi="Arial"/>
          <w:sz w:val="17"/>
          <w:szCs w:val="17"/>
          <w:color w:val="003478"/>
        </w:rPr>
      </w:pPr>
      <w:r>
        <w:rPr>
          <w:rFonts w:ascii="Arial" w:cs="Arial" w:eastAsia="Arial" w:hAnsi="Arial"/>
          <w:sz w:val="17"/>
          <w:szCs w:val="17"/>
          <w:b w:val="1"/>
          <w:bCs w:val="1"/>
          <w:color w:val="003478"/>
        </w:rPr>
        <w:t xml:space="preserve">We have a long-standing commitment to sound corporate governance practices and an active investor engagement program to ensure Board accountability. </w:t>
      </w:r>
      <w:r>
        <w:rPr>
          <w:rFonts w:ascii="Arial" w:cs="Arial" w:eastAsia="Arial" w:hAnsi="Arial"/>
          <w:sz w:val="17"/>
          <w:szCs w:val="17"/>
          <w:color w:val="000000"/>
        </w:rPr>
        <w:t>At the direction of the Board, the Company engages directly with its stockholders throughout the year to seek their views</w:t>
      </w:r>
      <w:r>
        <w:rPr>
          <w:rFonts w:ascii="Arial" w:cs="Arial" w:eastAsia="Arial" w:hAnsi="Arial"/>
          <w:sz w:val="17"/>
          <w:szCs w:val="17"/>
          <w:b w:val="1"/>
          <w:bCs w:val="1"/>
          <w:color w:val="003478"/>
        </w:rPr>
        <w:t xml:space="preserve"> </w:t>
      </w:r>
      <w:r>
        <w:rPr>
          <w:rFonts w:ascii="Arial" w:cs="Arial" w:eastAsia="Arial" w:hAnsi="Arial"/>
          <w:sz w:val="17"/>
          <w:szCs w:val="17"/>
          <w:color w:val="000000"/>
        </w:rPr>
        <w:t>on an array of issues, including corporate governance matters. In addition to the then-existing right to call a special meeting, the Board proactively adopted proxy access in 2016, giving stockholders the right to include director nominations in the Company’s proxy statement for the annual meeting, and proactively amended the Company’s Bylaws in 2017 to provide stockholders the power to amend the Company’s Bylaws. Our directors also remain accountable to our stockholders through annual elections by our stockholders with a majority voting standard and a resignation policy for directors who do not receive a majority of votes cast in an uncontested election. Our Board has demonstrated its commitment to Board refreshment and to the election of highly qualified independent directors who bring diverse perspectives to our Board with skills that are aligned with our long-term business strategy. Over the past five years, seven new independent directors have been elected to the Board. The independent directors also elect annually an independent Lead Director.</w:t>
      </w:r>
    </w:p>
    <w:p>
      <w:pPr>
        <w:spacing w:after="0" w:line="103" w:lineRule="exact"/>
        <w:rPr>
          <w:sz w:val="20"/>
          <w:szCs w:val="20"/>
          <w:color w:val="auto"/>
        </w:rPr>
      </w:pPr>
    </w:p>
    <w:p>
      <w:pPr>
        <w:ind w:left="100" w:right="360"/>
        <w:spacing w:after="0" w:line="274" w:lineRule="auto"/>
        <w:rPr>
          <w:sz w:val="20"/>
          <w:szCs w:val="20"/>
          <w:color w:val="auto"/>
        </w:rPr>
      </w:pPr>
      <w:r>
        <w:rPr>
          <w:rFonts w:ascii="Arial" w:cs="Arial" w:eastAsia="Arial" w:hAnsi="Arial"/>
          <w:sz w:val="17"/>
          <w:szCs w:val="17"/>
          <w:color w:val="auto"/>
        </w:rPr>
        <w:t>The Board will continue to review corporate governance best practices and adopt those practices that it believes, in light of the circumstances, serve the best interests of the Company and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436880</wp:posOffset>
            </wp:positionV>
            <wp:extent cx="963930" cy="2216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75</w:t>
      </w:r>
    </w:p>
    <w:p>
      <w:pPr>
        <w:sectPr>
          <w:pgSz w:w="11900" w:h="16838" w:orient="portrait"/>
          <w:cols w:equalWidth="0" w:num="1">
            <w:col w:w="11120"/>
          </w:cols>
          <w:pgMar w:left="320" w:top="254" w:right="459"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5">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578485</wp:posOffset>
            </wp:positionV>
            <wp:extent cx="7132955" cy="6311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955" cy="631190"/>
                    </a:xfrm>
                    <a:prstGeom prst="rect">
                      <a:avLst/>
                    </a:prstGeom>
                    <a:noFill/>
                  </pic:spPr>
                </pic:pic>
              </a:graphicData>
            </a:graphic>
          </wp:anchor>
        </w:drawing>
      </w:r>
    </w:p>
    <w:p>
      <w:pPr>
        <w:sectPr>
          <w:pgSz w:w="11900" w:h="16838" w:orient="portrait"/>
          <w:cols w:equalWidth="0" w:num="1">
            <w:col w:w="11220"/>
          </w:cols>
          <w:pgMar w:left="320" w:top="25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right="360"/>
        <w:spacing w:after="0" w:line="244" w:lineRule="auto"/>
        <w:rPr>
          <w:sz w:val="20"/>
          <w:szCs w:val="20"/>
          <w:color w:val="auto"/>
        </w:rPr>
      </w:pPr>
      <w:r>
        <w:rPr>
          <w:rFonts w:ascii="Arial" w:cs="Arial" w:eastAsia="Arial" w:hAnsi="Arial"/>
          <w:sz w:val="20"/>
          <w:szCs w:val="20"/>
          <w:color w:val="003478"/>
        </w:rPr>
        <w:t>PROPOSAL 5: STOCKHOLDER PROPOSAL TO ISSUE A HUMAN RIGHTS IMPACT ASSESSMENT 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360"/>
        <w:spacing w:after="0" w:line="257" w:lineRule="auto"/>
        <w:rPr>
          <w:sz w:val="20"/>
          <w:szCs w:val="20"/>
          <w:color w:val="auto"/>
        </w:rPr>
      </w:pPr>
      <w:r>
        <w:rPr>
          <w:rFonts w:ascii="Arial" w:cs="Arial" w:eastAsia="Arial" w:hAnsi="Arial"/>
          <w:sz w:val="17"/>
          <w:szCs w:val="17"/>
          <w:color w:val="012E6C"/>
        </w:rPr>
        <w:t xml:space="preserve">The Board unanimously recommends that you vote </w:t>
      </w:r>
      <w:r>
        <w:rPr>
          <w:rFonts w:ascii="Arial" w:cs="Arial" w:eastAsia="Arial" w:hAnsi="Arial"/>
          <w:sz w:val="17"/>
          <w:szCs w:val="17"/>
          <w:b w:val="1"/>
          <w:bCs w:val="1"/>
          <w:color w:val="012E6C"/>
        </w:rPr>
        <w:t xml:space="preserve">AGAINST </w:t>
      </w:r>
      <w:r>
        <w:rPr>
          <w:rFonts w:ascii="Arial" w:cs="Arial" w:eastAsia="Arial" w:hAnsi="Arial"/>
          <w:sz w:val="17"/>
          <w:szCs w:val="17"/>
          <w:color w:val="012E6C"/>
        </w:rPr>
        <w:t>Proposal 5.</w:t>
      </w:r>
    </w:p>
    <w:p>
      <w:pPr>
        <w:spacing w:after="0" w:line="251" w:lineRule="exact"/>
        <w:rPr>
          <w:sz w:val="20"/>
          <w:szCs w:val="20"/>
          <w:color w:val="auto"/>
        </w:rPr>
      </w:pPr>
    </w:p>
    <w:p>
      <w:pPr>
        <w:sectPr>
          <w:pgSz w:w="11900" w:h="16838" w:orient="portrait"/>
          <w:cols w:equalWidth="0" w:num="2">
            <w:col w:w="6300" w:space="720"/>
            <w:col w:w="4200"/>
          </w:cols>
          <w:pgMar w:left="320" w:top="254" w:right="359" w:bottom="1440" w:gutter="0" w:footer="0" w:header="0"/>
          <w:type w:val="continuous"/>
        </w:sectPr>
      </w:pPr>
    </w:p>
    <w:p>
      <w:pPr>
        <w:spacing w:after="0" w:line="297" w:lineRule="exact"/>
        <w:rPr>
          <w:sz w:val="20"/>
          <w:szCs w:val="20"/>
          <w:color w:val="auto"/>
        </w:rPr>
      </w:pPr>
    </w:p>
    <w:p>
      <w:pPr>
        <w:ind w:right="80"/>
        <w:spacing w:after="0" w:line="237" w:lineRule="auto"/>
        <w:rPr>
          <w:sz w:val="20"/>
          <w:szCs w:val="20"/>
          <w:color w:val="auto"/>
        </w:rPr>
      </w:pPr>
      <w:r>
        <w:rPr>
          <w:rFonts w:ascii="Arial" w:cs="Arial" w:eastAsia="Arial" w:hAnsi="Arial"/>
          <w:sz w:val="17"/>
          <w:szCs w:val="17"/>
          <w:color w:val="auto"/>
        </w:rPr>
        <w:t>We have been informed that the Sisters of Charity of Saint Elizabeth, owner of 40 shares, The Sisters of St. Francis of Philadelphia, owner of shares having a market value greater than $2,000, and the School Sisters of Notre Dame Cooperative Investment Fund, owner of 26 shares, intend to introduce the proposal set forth below at the Annual Meeting.</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Beginning of Stockholder Proposal—Text and Footnotes are Reprinted from the Stockholder Submission:</w:t>
      </w:r>
    </w:p>
    <w:p>
      <w:pPr>
        <w:spacing w:after="0" w:line="181" w:lineRule="exact"/>
        <w:rPr>
          <w:sz w:val="20"/>
          <w:szCs w:val="20"/>
          <w:color w:val="auto"/>
        </w:rPr>
      </w:pPr>
    </w:p>
    <w:p>
      <w:pPr>
        <w:ind w:left="20" w:right="20"/>
        <w:spacing w:after="0" w:line="269"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Lockheed Martin is the world’s largest defense contractor and is exposed to significant actual and potential adverse human rights impacts</w:t>
      </w:r>
      <w:r>
        <w:rPr>
          <w:rFonts w:ascii="Arial" w:cs="Arial" w:eastAsia="Arial" w:hAnsi="Arial"/>
          <w:sz w:val="17"/>
          <w:szCs w:val="17"/>
          <w:b w:val="1"/>
          <w:bCs w:val="1"/>
          <w:color w:val="auto"/>
        </w:rPr>
        <w:t xml:space="preserve"> </w:t>
      </w:r>
      <w:r>
        <w:rPr>
          <w:rFonts w:ascii="Arial" w:cs="Arial" w:eastAsia="Arial" w:hAnsi="Arial"/>
          <w:sz w:val="17"/>
          <w:szCs w:val="17"/>
          <w:color w:val="auto"/>
        </w:rPr>
        <w:t>resulting from the use of its weapons and defense technologies. Potential human rights impacts of Lockheed’s business include the rights to life, liberty and personal security, privacy, a clean, healthy and sustainable environment, nondiscrimination, and peaceful assembly and association. The UN Guiding Principles on Business and Human Rights (UNGPs) outline the roles and responsibilities of states and companies with respect to human rights. While international arms trade falls under national legal jurisdiction, the UNGPs define clear expectations for defense companies to respect human rights in their operations and supply chains, and address risks linked to use of products. A 2019 Amnesty International report found that Lockheed Martin is not meeting its human rights responsibilities despite severe, often irremediable impacts.</w:t>
      </w:r>
      <w:r>
        <w:rPr>
          <w:rFonts w:ascii="Arial" w:cs="Arial" w:eastAsia="Arial" w:hAnsi="Arial"/>
          <w:sz w:val="22"/>
          <w:szCs w:val="22"/>
          <w:color w:val="auto"/>
          <w:vertAlign w:val="superscript"/>
        </w:rPr>
        <w:t>1</w:t>
      </w:r>
    </w:p>
    <w:p>
      <w:pPr>
        <w:spacing w:after="0" w:line="21" w:lineRule="exact"/>
        <w:rPr>
          <w:sz w:val="20"/>
          <w:szCs w:val="20"/>
          <w:color w:val="auto"/>
        </w:rPr>
      </w:pPr>
    </w:p>
    <w:p>
      <w:pPr>
        <w:ind w:left="20"/>
        <w:spacing w:after="0" w:line="242" w:lineRule="auto"/>
        <w:rPr>
          <w:sz w:val="20"/>
          <w:szCs w:val="20"/>
          <w:color w:val="auto"/>
        </w:rPr>
      </w:pPr>
      <w:r>
        <w:rPr>
          <w:rFonts w:ascii="Arial" w:cs="Arial" w:eastAsia="Arial" w:hAnsi="Arial"/>
          <w:sz w:val="17"/>
          <w:szCs w:val="17"/>
          <w:color w:val="auto"/>
        </w:rPr>
        <w:t>Prominent human rights organizations have recorded indiscriminate use of Lockheed Martin products against civilians consistently over time.</w:t>
      </w:r>
      <w:r>
        <w:rPr>
          <w:rFonts w:ascii="Arial" w:cs="Arial" w:eastAsia="Arial" w:hAnsi="Arial"/>
          <w:sz w:val="22"/>
          <w:szCs w:val="22"/>
          <w:color w:val="auto"/>
          <w:vertAlign w:val="superscript"/>
        </w:rPr>
        <w:t>2</w:t>
      </w:r>
      <w:r>
        <w:rPr>
          <w:rFonts w:ascii="Arial" w:cs="Arial" w:eastAsia="Arial" w:hAnsi="Arial"/>
          <w:sz w:val="17"/>
          <w:szCs w:val="17"/>
          <w:color w:val="auto"/>
        </w:rPr>
        <w:t xml:space="preserve"> Lockheed Martin has exported military goods to at least 12 states which are engaged in armed conflict, have a record of human rights violations, or are at risk of corruption and fragility, including Saudi Arabia, Israel, and the United Arab Emirates. Reports have linked Lockheed Martin weaponry to war crimes and violations of international humanitarian law in Yemen, including the widely condemned attack on a school bus in 2018 that resulted in the deaths of dozens of children.</w:t>
      </w:r>
      <w:r>
        <w:rPr>
          <w:rFonts w:ascii="Arial" w:cs="Arial" w:eastAsia="Arial" w:hAnsi="Arial"/>
          <w:sz w:val="22"/>
          <w:szCs w:val="22"/>
          <w:color w:val="auto"/>
          <w:vertAlign w:val="superscript"/>
        </w:rPr>
        <w:t>3</w:t>
      </w:r>
      <w:r>
        <w:rPr>
          <w:rFonts w:ascii="Arial" w:cs="Arial" w:eastAsia="Arial" w:hAnsi="Arial"/>
          <w:sz w:val="17"/>
          <w:szCs w:val="17"/>
          <w:color w:val="auto"/>
        </w:rPr>
        <w:t xml:space="preserve"> Lockheed also played a critical role in the May 2021 attacks on Gaza, where apparent war crimes were committed, including the deaths of at least 129 civilians, of whom 66 were children.</w:t>
      </w:r>
      <w:r>
        <w:rPr>
          <w:rFonts w:ascii="Arial" w:cs="Arial" w:eastAsia="Arial" w:hAnsi="Arial"/>
          <w:sz w:val="22"/>
          <w:szCs w:val="22"/>
          <w:color w:val="auto"/>
          <w:vertAlign w:val="superscript"/>
        </w:rPr>
        <w:t>4</w:t>
      </w:r>
    </w:p>
    <w:p>
      <w:pPr>
        <w:spacing w:after="0" w:line="54" w:lineRule="exact"/>
        <w:rPr>
          <w:sz w:val="20"/>
          <w:szCs w:val="20"/>
          <w:color w:val="auto"/>
        </w:rPr>
      </w:pPr>
    </w:p>
    <w:p>
      <w:pPr>
        <w:ind w:left="20" w:right="100"/>
        <w:spacing w:after="0" w:line="267" w:lineRule="auto"/>
        <w:rPr>
          <w:sz w:val="20"/>
          <w:szCs w:val="20"/>
          <w:color w:val="auto"/>
        </w:rPr>
      </w:pPr>
      <w:r>
        <w:rPr>
          <w:rFonts w:ascii="Arial" w:cs="Arial" w:eastAsia="Arial" w:hAnsi="Arial"/>
          <w:sz w:val="17"/>
          <w:szCs w:val="17"/>
          <w:color w:val="auto"/>
        </w:rPr>
        <w:t>Failure to respect human rights in high-risk business areas exposes the company and its investors to financial, legal, regulatory, reputational, and human capital management risks. In 2021, Lockheed moved forward with a nearly $2.43 billion sale of F-16s to the Philippines, despite congressional opposition due to widespread human rights violations carried out by the Armed Forces of the Philippines, including extrajudicial killing of political activists, organizers, and Indigenous leaders.</w:t>
      </w:r>
      <w:r>
        <w:rPr>
          <w:rFonts w:ascii="Arial" w:cs="Arial" w:eastAsia="Arial" w:hAnsi="Arial"/>
          <w:sz w:val="22"/>
          <w:szCs w:val="22"/>
          <w:color w:val="auto"/>
          <w:vertAlign w:val="superscript"/>
        </w:rPr>
        <w:t>5</w:t>
      </w:r>
    </w:p>
    <w:p>
      <w:pPr>
        <w:spacing w:after="0" w:line="20" w:lineRule="exact"/>
        <w:rPr>
          <w:sz w:val="20"/>
          <w:szCs w:val="20"/>
          <w:color w:val="auto"/>
        </w:rPr>
      </w:pPr>
    </w:p>
    <w:p>
      <w:pPr>
        <w:ind w:left="20" w:right="20"/>
        <w:spacing w:after="0" w:line="233" w:lineRule="auto"/>
        <w:rPr>
          <w:sz w:val="20"/>
          <w:szCs w:val="20"/>
          <w:color w:val="auto"/>
        </w:rPr>
      </w:pPr>
      <w:r>
        <w:rPr>
          <w:rFonts w:ascii="Arial" w:cs="Arial" w:eastAsia="Arial" w:hAnsi="Arial"/>
          <w:sz w:val="17"/>
          <w:szCs w:val="17"/>
          <w:color w:val="auto"/>
        </w:rPr>
        <w:t>The company also has $40 billion in nuclear weapons contracts, including $2.1 billion awarded in 2020.</w:t>
      </w:r>
      <w:r>
        <w:rPr>
          <w:rFonts w:ascii="Arial" w:cs="Arial" w:eastAsia="Arial" w:hAnsi="Arial"/>
          <w:sz w:val="22"/>
          <w:szCs w:val="22"/>
          <w:color w:val="auto"/>
          <w:vertAlign w:val="superscript"/>
        </w:rPr>
        <w:t>6</w:t>
      </w:r>
      <w:r>
        <w:rPr>
          <w:rFonts w:ascii="Arial" w:cs="Arial" w:eastAsia="Arial" w:hAnsi="Arial"/>
          <w:sz w:val="17"/>
          <w:szCs w:val="17"/>
          <w:color w:val="auto"/>
        </w:rPr>
        <w:t xml:space="preserve"> The Treaty on the Prohibition of Nuclear Weapons, which entered into force in 2021, may require Lockheed Martin to demonstrate that the company is not conducting prohibited activities in jurisdictions that ratified the Treaty.</w:t>
      </w:r>
      <w:r>
        <w:rPr>
          <w:rFonts w:ascii="Arial" w:cs="Arial" w:eastAsia="Arial" w:hAnsi="Arial"/>
          <w:sz w:val="22"/>
          <w:szCs w:val="22"/>
          <w:color w:val="auto"/>
          <w:vertAlign w:val="superscript"/>
        </w:rPr>
        <w:t>7</w:t>
      </w:r>
      <w:r>
        <w:rPr>
          <w:rFonts w:ascii="Arial" w:cs="Arial" w:eastAsia="Arial" w:hAnsi="Arial"/>
          <w:sz w:val="17"/>
          <w:szCs w:val="17"/>
          <w:color w:val="auto"/>
        </w:rPr>
        <w:t xml:space="preserve"> Furthermore, the company faced multiple lawsuits in 2020 for toxic pollutant contamination from a Florida facility, where workers were later diagnosed with brain lesions, multiple sclerosis, cancer, and birth defects.</w:t>
      </w:r>
      <w:r>
        <w:rPr>
          <w:rFonts w:ascii="Arial" w:cs="Arial" w:eastAsia="Arial" w:hAnsi="Arial"/>
          <w:sz w:val="22"/>
          <w:szCs w:val="22"/>
          <w:color w:val="auto"/>
          <w:vertAlign w:val="superscript"/>
        </w:rPr>
        <w:t>8</w:t>
      </w:r>
    </w:p>
    <w:p>
      <w:pPr>
        <w:spacing w:after="0" w:line="34" w:lineRule="exact"/>
        <w:rPr>
          <w:sz w:val="20"/>
          <w:szCs w:val="20"/>
          <w:color w:val="auto"/>
        </w:rPr>
      </w:pPr>
    </w:p>
    <w:p>
      <w:pPr>
        <w:ind w:left="20" w:right="220"/>
        <w:spacing w:after="0" w:line="281" w:lineRule="auto"/>
        <w:rPr>
          <w:sz w:val="20"/>
          <w:szCs w:val="20"/>
          <w:color w:val="auto"/>
        </w:rPr>
      </w:pPr>
      <w:r>
        <w:rPr>
          <w:rFonts w:ascii="Arial" w:cs="Arial" w:eastAsia="Arial" w:hAnsi="Arial"/>
          <w:sz w:val="17"/>
          <w:szCs w:val="17"/>
          <w:b w:val="1"/>
          <w:bCs w:val="1"/>
          <w:color w:val="auto"/>
        </w:rPr>
        <w:t xml:space="preserve">Resolved: </w:t>
      </w:r>
      <w:r>
        <w:rPr>
          <w:rFonts w:ascii="Arial" w:cs="Arial" w:eastAsia="Arial" w:hAnsi="Arial"/>
          <w:sz w:val="17"/>
          <w:szCs w:val="17"/>
          <w:color w:val="auto"/>
        </w:rPr>
        <w:t>Shareholders request that Lockheed Martin publish a report, at reasonable cost and omitting proprietary information, with the results of</w:t>
      </w:r>
      <w:r>
        <w:rPr>
          <w:rFonts w:ascii="Arial" w:cs="Arial" w:eastAsia="Arial" w:hAnsi="Arial"/>
          <w:sz w:val="17"/>
          <w:szCs w:val="17"/>
          <w:b w:val="1"/>
          <w:bCs w:val="1"/>
          <w:color w:val="auto"/>
        </w:rPr>
        <w:t xml:space="preserve"> </w:t>
      </w:r>
      <w:r>
        <w:rPr>
          <w:rFonts w:ascii="Arial" w:cs="Arial" w:eastAsia="Arial" w:hAnsi="Arial"/>
          <w:sz w:val="17"/>
          <w:szCs w:val="17"/>
          <w:color w:val="auto"/>
        </w:rPr>
        <w:t>human rights impact assessments examining the actual and potential human rights impacts associated with high-risk products and services, including those in conflict-affected areas or violating international law.</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____________________</w:t>
      </w:r>
    </w:p>
    <w:p>
      <w:pPr>
        <w:ind w:left="20"/>
        <w:spacing w:after="0"/>
        <w:rPr>
          <w:sz w:val="20"/>
          <w:szCs w:val="20"/>
          <w:color w:val="auto"/>
        </w:rPr>
      </w:pPr>
      <w:r>
        <w:rPr>
          <w:rFonts w:ascii="Arial" w:cs="Arial" w:eastAsia="Arial" w:hAnsi="Arial"/>
          <w:sz w:val="14"/>
          <w:szCs w:val="14"/>
          <w:color w:val="002E6D"/>
        </w:rPr>
        <w:t>1 https://www.amnesty.org/en/documents/act30/0893/2019/en/</w:t>
      </w:r>
    </w:p>
    <w:p>
      <w:pPr>
        <w:ind w:left="20"/>
        <w:spacing w:after="0"/>
        <w:rPr>
          <w:sz w:val="20"/>
          <w:szCs w:val="20"/>
          <w:color w:val="auto"/>
        </w:rPr>
      </w:pPr>
      <w:r>
        <w:rPr>
          <w:rFonts w:ascii="Arial" w:cs="Arial" w:eastAsia="Arial" w:hAnsi="Arial"/>
          <w:sz w:val="14"/>
          <w:szCs w:val="14"/>
          <w:color w:val="002E6D"/>
        </w:rPr>
        <w:t>2 https://www.hrw.org/reports/2007/lebanon0907/lebanon0907web.pdf ;</w:t>
      </w:r>
    </w:p>
    <w:p>
      <w:pPr>
        <w:ind w:left="20"/>
        <w:spacing w:after="0"/>
        <w:rPr>
          <w:sz w:val="20"/>
          <w:szCs w:val="20"/>
          <w:color w:val="auto"/>
        </w:rPr>
      </w:pPr>
      <w:r>
        <w:rPr>
          <w:rFonts w:ascii="Arial" w:cs="Arial" w:eastAsia="Arial" w:hAnsi="Arial"/>
          <w:sz w:val="14"/>
          <w:szCs w:val="14"/>
          <w:color w:val="002E6D"/>
        </w:rPr>
        <w:t>https://www2.ohchr.org/english/bodies/hrcouncil/docs/12session/A-HRC-12-48.pdf</w:t>
      </w:r>
    </w:p>
    <w:p>
      <w:pPr>
        <w:ind w:left="20"/>
        <w:spacing w:after="0"/>
        <w:rPr>
          <w:sz w:val="20"/>
          <w:szCs w:val="20"/>
          <w:color w:val="auto"/>
        </w:rPr>
      </w:pPr>
      <w:r>
        <w:rPr>
          <w:rFonts w:ascii="Arial" w:cs="Arial" w:eastAsia="Arial" w:hAnsi="Arial"/>
          <w:sz w:val="14"/>
          <w:szCs w:val="14"/>
          <w:color w:val="002E6D"/>
        </w:rPr>
        <w:t>3 https://www.paxforpeace.nl/media/files/mwatana-day-of-judgement.pdf</w:t>
      </w:r>
    </w:p>
    <w:p>
      <w:pPr>
        <w:ind w:left="20"/>
        <w:spacing w:after="0"/>
        <w:rPr>
          <w:sz w:val="20"/>
          <w:szCs w:val="20"/>
          <w:color w:val="auto"/>
        </w:rPr>
      </w:pPr>
      <w:r>
        <w:rPr>
          <w:rFonts w:ascii="Arial" w:cs="Arial" w:eastAsia="Arial" w:hAnsi="Arial"/>
          <w:sz w:val="14"/>
          <w:szCs w:val="14"/>
          <w:color w:val="002E6D"/>
        </w:rPr>
        <w:t>4 https://www.hrw.org/news/2021/07/27/gaza-apparent-war-crimes-during-may-fighting#</w:t>
      </w:r>
    </w:p>
    <w:p>
      <w:pPr>
        <w:ind w:left="140" w:hanging="115"/>
        <w:spacing w:after="0"/>
        <w:tabs>
          <w:tab w:leader="none" w:pos="140" w:val="left"/>
        </w:tabs>
        <w:numPr>
          <w:ilvl w:val="0"/>
          <w:numId w:val="119"/>
        </w:numPr>
        <w:rPr>
          <w:rFonts w:ascii="Arial" w:cs="Arial" w:eastAsia="Arial" w:hAnsi="Arial"/>
          <w:sz w:val="14"/>
          <w:szCs w:val="14"/>
          <w:color w:val="002E6D"/>
        </w:rPr>
      </w:pPr>
      <w:r>
        <w:rPr>
          <w:rFonts w:ascii="Arial" w:cs="Arial" w:eastAsia="Arial" w:hAnsi="Arial"/>
          <w:sz w:val="14"/>
          <w:szCs w:val="14"/>
          <w:color w:val="002E6D"/>
        </w:rPr>
        <w:t>https://www.hrw.org/news/2021/07/21/its-time-us-stop-selling-weapons-human-rights-abusers#</w:t>
      </w:r>
    </w:p>
    <w:p>
      <w:pPr>
        <w:ind w:left="20"/>
        <w:spacing w:after="0"/>
        <w:rPr>
          <w:rFonts w:ascii="Arial" w:cs="Arial" w:eastAsia="Arial" w:hAnsi="Arial"/>
          <w:sz w:val="14"/>
          <w:szCs w:val="14"/>
          <w:color w:val="002E6D"/>
        </w:rPr>
      </w:pPr>
      <w:r>
        <w:rPr>
          <w:rFonts w:ascii="Arial" w:cs="Arial" w:eastAsia="Arial" w:hAnsi="Arial"/>
          <w:sz w:val="14"/>
          <w:szCs w:val="14"/>
          <w:color w:val="002E6D"/>
        </w:rPr>
        <w:t>6 https://www.icanw.org/2020_global_nuclear_weapons_spending_complicit</w:t>
      </w:r>
    </w:p>
    <w:p>
      <w:pPr>
        <w:ind w:left="20"/>
        <w:spacing w:after="0"/>
        <w:rPr>
          <w:rFonts w:ascii="Arial" w:cs="Arial" w:eastAsia="Arial" w:hAnsi="Arial"/>
          <w:sz w:val="14"/>
          <w:szCs w:val="14"/>
          <w:color w:val="002E6D"/>
        </w:rPr>
      </w:pPr>
      <w:r>
        <w:rPr>
          <w:rFonts w:ascii="Arial" w:cs="Arial" w:eastAsia="Arial" w:hAnsi="Arial"/>
          <w:sz w:val="14"/>
          <w:szCs w:val="14"/>
          <w:color w:val="002E6D"/>
        </w:rPr>
        <w:t>7 https://treaties.un.org/doc/Treaties/2017/07/20170707%2003-42%20PM/Ch_XXVI_9.pdf</w:t>
      </w:r>
    </w:p>
    <w:p>
      <w:pPr>
        <w:ind w:left="20"/>
        <w:spacing w:after="0"/>
        <w:rPr>
          <w:rFonts w:ascii="Arial" w:cs="Arial" w:eastAsia="Arial" w:hAnsi="Arial"/>
          <w:sz w:val="14"/>
          <w:szCs w:val="14"/>
          <w:color w:val="002E6D"/>
        </w:rPr>
      </w:pPr>
      <w:r>
        <w:rPr>
          <w:rFonts w:ascii="Arial" w:cs="Arial" w:eastAsia="Arial" w:hAnsi="Arial"/>
          <w:sz w:val="14"/>
          <w:szCs w:val="14"/>
          <w:color w:val="002E6D"/>
        </w:rPr>
        <w:t>8 https://www.orlandosentinel.com/news/environment/os-ne-lockheed-martin-orlando-lawsuit-20200928-7x242mvddzfidig47zx276ivvm-story.html</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End of Stockholder Proposal—Board Vote Recommendation on Proposal 5 on Following Page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76</w:t>
      </w:r>
    </w:p>
    <w:p>
      <w:pPr>
        <w:sectPr>
          <w:pgSz w:w="11900" w:h="16838" w:orient="portrait"/>
          <w:cols w:equalWidth="0" w:num="1">
            <w:col w:w="11220"/>
          </w:cols>
          <w:pgMar w:left="320" w:top="254" w:right="359" w:bottom="1440" w:gutter="0" w:footer="0" w:header="0"/>
          <w:type w:val="continuous"/>
        </w:sectPr>
      </w:pPr>
    </w:p>
    <w:bookmarkStart w:id="82" w:name="page83"/>
    <w:bookmarkEnd w:id="82"/>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2E6D"/>
        </w:rPr>
        <w:t>Proposal 5: Stockholder Proposal to Issue a Human Rights Impact Assessment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310515</wp:posOffset>
            </wp:positionV>
            <wp:extent cx="7132955" cy="70046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955" cy="7004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00"/>
        <w:spacing w:after="0"/>
        <w:rPr>
          <w:sz w:val="20"/>
          <w:szCs w:val="20"/>
          <w:color w:val="auto"/>
        </w:rPr>
      </w:pPr>
      <w:r>
        <w:rPr>
          <w:rFonts w:ascii="Arial" w:cs="Arial" w:eastAsia="Arial" w:hAnsi="Arial"/>
          <w:sz w:val="29"/>
          <w:szCs w:val="29"/>
          <w:color w:val="003478"/>
        </w:rPr>
        <w:t>Board of Directors Vote Recommendation on Proposal 5</w:t>
      </w:r>
    </w:p>
    <w:p>
      <w:pPr>
        <w:spacing w:after="0" w:line="101" w:lineRule="exact"/>
        <w:rPr>
          <w:sz w:val="20"/>
          <w:szCs w:val="20"/>
          <w:color w:val="auto"/>
        </w:rPr>
      </w:pPr>
    </w:p>
    <w:p>
      <w:pPr>
        <w:jc w:val="both"/>
        <w:ind w:left="100" w:right="320"/>
        <w:spacing w:after="0" w:line="281" w:lineRule="auto"/>
        <w:rPr>
          <w:sz w:val="20"/>
          <w:szCs w:val="20"/>
          <w:color w:val="auto"/>
        </w:rPr>
      </w:pPr>
      <w:r>
        <w:rPr>
          <w:rFonts w:ascii="Arial" w:cs="Arial" w:eastAsia="Arial" w:hAnsi="Arial"/>
          <w:sz w:val="17"/>
          <w:szCs w:val="17"/>
          <w:color w:val="auto"/>
        </w:rPr>
        <w:t xml:space="preserve">The Board has considered this proposal and recommends that stockholders vote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this proposal because we already publish a Human Rights Report; we are committed to human rights as reflected in our policies and practices, which are overseen by the Board; and we work with our customers to support human rights and defend U.S. national security.</w:t>
      </w:r>
    </w:p>
    <w:p>
      <w:pPr>
        <w:spacing w:after="0" w:line="66" w:lineRule="exact"/>
        <w:rPr>
          <w:sz w:val="20"/>
          <w:szCs w:val="20"/>
          <w:color w:val="auto"/>
        </w:rPr>
      </w:pPr>
    </w:p>
    <w:p>
      <w:pPr>
        <w:ind w:left="100" w:right="240"/>
        <w:spacing w:after="0" w:line="267" w:lineRule="auto"/>
        <w:rPr>
          <w:sz w:val="20"/>
          <w:szCs w:val="20"/>
          <w:color w:val="auto"/>
        </w:rPr>
      </w:pPr>
      <w:r>
        <w:rPr>
          <w:rFonts w:ascii="Arial" w:cs="Arial" w:eastAsia="Arial" w:hAnsi="Arial"/>
          <w:sz w:val="17"/>
          <w:szCs w:val="17"/>
          <w:b w:val="1"/>
          <w:bCs w:val="1"/>
          <w:color w:val="003478"/>
        </w:rPr>
        <w:t xml:space="preserve">Lockheed Martin Already Publishes a Human Rights Report. </w:t>
      </w:r>
      <w:r>
        <w:rPr>
          <w:rFonts w:ascii="Arial" w:cs="Arial" w:eastAsia="Arial" w:hAnsi="Arial"/>
          <w:sz w:val="17"/>
          <w:szCs w:val="17"/>
          <w:color w:val="000000"/>
        </w:rPr>
        <w:t>Lockheed Martin is deeply committed to human rights, and to transparency and</w:t>
      </w:r>
      <w:r>
        <w:rPr>
          <w:rFonts w:ascii="Arial" w:cs="Arial" w:eastAsia="Arial" w:hAnsi="Arial"/>
          <w:sz w:val="17"/>
          <w:szCs w:val="17"/>
          <w:b w:val="1"/>
          <w:bCs w:val="1"/>
          <w:color w:val="003478"/>
        </w:rPr>
        <w:t xml:space="preserve"> </w:t>
      </w:r>
      <w:r>
        <w:rPr>
          <w:rFonts w:ascii="Arial" w:cs="Arial" w:eastAsia="Arial" w:hAnsi="Arial"/>
          <w:sz w:val="17"/>
          <w:szCs w:val="17"/>
          <w:color w:val="000000"/>
        </w:rPr>
        <w:t>engagement with stockholders on this topic. Last year, our stockholders considered a similar proposal from the same proponent requesting that Lockheed Martin publish a report on its human rights due diligence process, and more than 2/3 of the vote was against the proposal. In order to further our understanding of shareholder views on this issue, we engaged with many of our largest stockholders to seek their input on human rights issues. Based on this input, in the fall of 2021, we published our first Human Rights Report to further enhance the availability and transparency of information on our human rights approach and the progress of our initiatives on human rights. The report is available on our website. This report provides a comprehensive overview of our human rights related governance, including board and management oversight of human rights matters, policies, principles and due diligence processes that guide our approach, and has information on our progress on associated programs and goals. We plan to update and refine this report as we continue to engage with our stockholders, receive their input and evolve our processes.</w:t>
      </w:r>
    </w:p>
    <w:p>
      <w:pPr>
        <w:spacing w:after="0" w:line="103" w:lineRule="exact"/>
        <w:rPr>
          <w:sz w:val="20"/>
          <w:szCs w:val="20"/>
          <w:color w:val="auto"/>
        </w:rPr>
      </w:pPr>
    </w:p>
    <w:p>
      <w:pPr>
        <w:ind w:left="100" w:right="120"/>
        <w:spacing w:after="0" w:line="267" w:lineRule="auto"/>
        <w:rPr>
          <w:sz w:val="20"/>
          <w:szCs w:val="20"/>
          <w:color w:val="auto"/>
        </w:rPr>
      </w:pPr>
      <w:r>
        <w:rPr>
          <w:rFonts w:ascii="Arial" w:cs="Arial" w:eastAsia="Arial" w:hAnsi="Arial"/>
          <w:sz w:val="17"/>
          <w:szCs w:val="17"/>
          <w:color w:val="auto"/>
        </w:rPr>
        <w:t>The Board has reviewed the proposal and believes that the proposal’s request for a separate report that covers “the actual and potential human rights impacts associated with high-risk products and services” is vague, overly broad and would not add significant value for stockholders. Such a report would impose impracticable requirements on our operations and would interfere with our ability to serve our primary customers, the U.S. government, and its allies.</w:t>
      </w:r>
    </w:p>
    <w:p>
      <w:pPr>
        <w:spacing w:after="0" w:line="78" w:lineRule="exact"/>
        <w:rPr>
          <w:sz w:val="20"/>
          <w:szCs w:val="20"/>
          <w:color w:val="auto"/>
        </w:rPr>
      </w:pPr>
    </w:p>
    <w:p>
      <w:pPr>
        <w:ind w:left="100" w:right="80"/>
        <w:spacing w:after="0" w:line="268" w:lineRule="auto"/>
        <w:rPr>
          <w:sz w:val="20"/>
          <w:szCs w:val="20"/>
          <w:color w:val="auto"/>
        </w:rPr>
      </w:pPr>
      <w:r>
        <w:rPr>
          <w:rFonts w:ascii="Arial" w:cs="Arial" w:eastAsia="Arial" w:hAnsi="Arial"/>
          <w:sz w:val="17"/>
          <w:szCs w:val="17"/>
          <w:b w:val="1"/>
          <w:bCs w:val="1"/>
          <w:color w:val="003478"/>
        </w:rPr>
        <w:t xml:space="preserve">Lockheed Martin’s Commitment to Human Rights is Reflected in Our Policies and Practices. </w:t>
      </w:r>
      <w:r>
        <w:rPr>
          <w:rFonts w:ascii="Arial" w:cs="Arial" w:eastAsia="Arial" w:hAnsi="Arial"/>
          <w:sz w:val="17"/>
          <w:szCs w:val="17"/>
          <w:color w:val="000000"/>
        </w:rPr>
        <w:t>Our policies, procedures, and practices reflect</w:t>
      </w:r>
      <w:r>
        <w:rPr>
          <w:rFonts w:ascii="Arial" w:cs="Arial" w:eastAsia="Arial" w:hAnsi="Arial"/>
          <w:sz w:val="17"/>
          <w:szCs w:val="17"/>
          <w:b w:val="1"/>
          <w:bCs w:val="1"/>
          <w:color w:val="003478"/>
        </w:rPr>
        <w:t xml:space="preserve"> </w:t>
      </w:r>
      <w:r>
        <w:rPr>
          <w:rFonts w:ascii="Arial" w:cs="Arial" w:eastAsia="Arial" w:hAnsi="Arial"/>
          <w:sz w:val="17"/>
          <w:szCs w:val="17"/>
          <w:color w:val="000000"/>
        </w:rPr>
        <w:t xml:space="preserve">our strong commitment to ethical business practices and respect for human rights. As outlined in our Good Corporate Citizenship and Respect for Human Rights Policy (Human Rights Policy), at Lockheed Martin, we believe that respect for human rights is an essential element of being a good corporate citizen and achieving long-term success. Our long-time commitment to respect human rights underlies </w:t>
      </w:r>
      <w:r>
        <w:rPr>
          <w:rFonts w:ascii="Arial" w:cs="Arial" w:eastAsia="Arial" w:hAnsi="Arial"/>
          <w:sz w:val="17"/>
          <w:szCs w:val="17"/>
          <w:i w:val="1"/>
          <w:iCs w:val="1"/>
          <w:color w:val="000000"/>
        </w:rPr>
        <w:t>Setting the Standard</w:t>
      </w:r>
      <w:r>
        <w:rPr>
          <w:rFonts w:ascii="Arial" w:cs="Arial" w:eastAsia="Arial" w:hAnsi="Arial"/>
          <w:sz w:val="17"/>
          <w:szCs w:val="17"/>
          <w:color w:val="000000"/>
        </w:rPr>
        <w:t>, the Lockheed Martin Code of Ethics and Business Conduct (Code of Conduct), and our stated values—</w:t>
      </w:r>
      <w:r>
        <w:rPr>
          <w:rFonts w:ascii="Arial" w:cs="Arial" w:eastAsia="Arial" w:hAnsi="Arial"/>
          <w:sz w:val="17"/>
          <w:szCs w:val="17"/>
          <w:i w:val="1"/>
          <w:iCs w:val="1"/>
          <w:color w:val="000000"/>
        </w:rPr>
        <w:t>Do What’s Right, Respect Others, and Perform</w:t>
      </w:r>
      <w:r>
        <w:rPr>
          <w:rFonts w:ascii="Arial" w:cs="Arial" w:eastAsia="Arial" w:hAnsi="Arial"/>
          <w:sz w:val="17"/>
          <w:szCs w:val="17"/>
          <w:color w:val="000000"/>
        </w:rPr>
        <w:t xml:space="preserve"> </w:t>
      </w:r>
      <w:r>
        <w:rPr>
          <w:rFonts w:ascii="Arial" w:cs="Arial" w:eastAsia="Arial" w:hAnsi="Arial"/>
          <w:sz w:val="17"/>
          <w:szCs w:val="17"/>
          <w:i w:val="1"/>
          <w:iCs w:val="1"/>
          <w:color w:val="000000"/>
        </w:rPr>
        <w:t>with Excellence</w:t>
      </w:r>
      <w:r>
        <w:rPr>
          <w:rFonts w:ascii="Arial" w:cs="Arial" w:eastAsia="Arial" w:hAnsi="Arial"/>
          <w:sz w:val="17"/>
          <w:szCs w:val="17"/>
          <w:color w:val="000000"/>
        </w:rPr>
        <w:t>. This commitment applies to all employees, the Board, and others who represent or act for us. Our commitment to good corporate</w:t>
      </w:r>
      <w:r>
        <w:rPr>
          <w:rFonts w:ascii="Arial" w:cs="Arial" w:eastAsia="Arial" w:hAnsi="Arial"/>
          <w:sz w:val="17"/>
          <w:szCs w:val="17"/>
          <w:i w:val="1"/>
          <w:iCs w:val="1"/>
          <w:color w:val="000000"/>
        </w:rPr>
        <w:t xml:space="preserve"> </w:t>
      </w:r>
      <w:r>
        <w:rPr>
          <w:rFonts w:ascii="Arial" w:cs="Arial" w:eastAsia="Arial" w:hAnsi="Arial"/>
          <w:sz w:val="17"/>
          <w:szCs w:val="17"/>
          <w:color w:val="000000"/>
        </w:rPr>
        <w:t>citizenship and human rights is also reinforced through our Supplier Code of Conduct, which sets the expectation that our suppliers will honor the same values we do. Please see page 79 for a description of our human rights policy and principles, due diligence approach and Board oversight.</w:t>
      </w:r>
    </w:p>
    <w:p>
      <w:pPr>
        <w:spacing w:after="0" w:line="81" w:lineRule="exact"/>
        <w:rPr>
          <w:sz w:val="20"/>
          <w:szCs w:val="20"/>
          <w:color w:val="auto"/>
        </w:rPr>
      </w:pPr>
    </w:p>
    <w:p>
      <w:pPr>
        <w:ind w:left="100" w:right="300"/>
        <w:spacing w:after="0" w:line="281" w:lineRule="auto"/>
        <w:rPr>
          <w:sz w:val="20"/>
          <w:szCs w:val="20"/>
          <w:color w:val="auto"/>
        </w:rPr>
      </w:pPr>
      <w:r>
        <w:rPr>
          <w:rFonts w:ascii="Arial" w:cs="Arial" w:eastAsia="Arial" w:hAnsi="Arial"/>
          <w:sz w:val="17"/>
          <w:szCs w:val="17"/>
          <w:b w:val="1"/>
          <w:bCs w:val="1"/>
          <w:color w:val="003478"/>
        </w:rPr>
        <w:t xml:space="preserve">Lockheed Martin Works with Our Customers to Support Human Rights and to Defend U.S. National Security. </w:t>
      </w:r>
      <w:r>
        <w:rPr>
          <w:rFonts w:ascii="Arial" w:cs="Arial" w:eastAsia="Arial" w:hAnsi="Arial"/>
          <w:sz w:val="17"/>
          <w:szCs w:val="17"/>
          <w:color w:val="000000"/>
        </w:rPr>
        <w:t>Our work is closely aligned</w:t>
      </w:r>
      <w:r>
        <w:rPr>
          <w:rFonts w:ascii="Arial" w:cs="Arial" w:eastAsia="Arial" w:hAnsi="Arial"/>
          <w:sz w:val="17"/>
          <w:szCs w:val="17"/>
          <w:b w:val="1"/>
          <w:bCs w:val="1"/>
          <w:color w:val="003478"/>
        </w:rPr>
        <w:t xml:space="preserve"> </w:t>
      </w:r>
      <w:r>
        <w:rPr>
          <w:rFonts w:ascii="Arial" w:cs="Arial" w:eastAsia="Arial" w:hAnsi="Arial"/>
          <w:sz w:val="17"/>
          <w:szCs w:val="17"/>
          <w:color w:val="000000"/>
        </w:rPr>
        <w:t>with our customers and is subject to oversight to ensure that our business complies with the requirements of law and the interest of the U.S. Government.</w:t>
      </w:r>
    </w:p>
    <w:p>
      <w:pPr>
        <w:spacing w:after="0" w:line="86" w:lineRule="exact"/>
        <w:rPr>
          <w:sz w:val="20"/>
          <w:szCs w:val="20"/>
          <w:color w:val="auto"/>
        </w:rPr>
      </w:pPr>
    </w:p>
    <w:p>
      <w:pPr>
        <w:ind w:left="420" w:hanging="233"/>
        <w:spacing w:after="0" w:line="264" w:lineRule="auto"/>
        <w:tabs>
          <w:tab w:leader="none" w:pos="385" w:val="left"/>
        </w:tabs>
        <w:numPr>
          <w:ilvl w:val="0"/>
          <w:numId w:val="120"/>
        </w:numPr>
        <w:rPr>
          <w:rFonts w:ascii="Arial" w:cs="Arial" w:eastAsia="Arial" w:hAnsi="Arial"/>
          <w:sz w:val="17"/>
          <w:szCs w:val="17"/>
          <w:color w:val="003478"/>
        </w:rPr>
      </w:pPr>
      <w:r>
        <w:rPr>
          <w:rFonts w:ascii="Arial" w:cs="Arial" w:eastAsia="Arial" w:hAnsi="Arial"/>
          <w:sz w:val="17"/>
          <w:szCs w:val="17"/>
          <w:color w:val="auto"/>
        </w:rPr>
        <w:t>All of our international military sales are regulated by the U.S. Government and reviewed and approved by the Executive Branch with oversight from Congress to ensure they support U.S. national security and foreign policy objectives and are not redirected and used for unauthorized purposes. This includes consideration of whether any arms transfer contributes to the risk of human rights abuses and whether they are being used in potential conflict-affected regions. We are not in a position to predict and assess how the U.S. or allied nations may use products in the future and any attempt to do so risks supplanting the purview of the U.S. Government and allied nations, which are best positioned to consider the mix of policy objectives to promote global security while protecting human rights. We also likely would not have access to information from the U.S. Government or be restricted in sharing any information that we did have, which would make any report incomplete and less meaningful. As a result, requiring the Company to conduct independent human rights impact assessments on certain products or sales deemed to be “high-risk”, and then publish the results, would not be practical or appropriate. A separate assessment could adversely affect our ability to serve our customers, harm U.S. foreign policy objectives and ultimately be against stockholder interests. We believe that any concerns that the stockholder proponent has with the policies or actions of the U.S. or allied nations would be more appropriately directed to public officials who determine foreign policy rather than directed to a market participant like Lockheed Martin through the federal proxy rules. Further details on the U.S. government regulation of international sales and our own due diligence processes with respect to new business are set forth below.</w:t>
      </w:r>
    </w:p>
    <w:p>
      <w:pPr>
        <w:spacing w:after="0" w:line="268" w:lineRule="exact"/>
        <w:rPr>
          <w:rFonts w:ascii="Arial" w:cs="Arial" w:eastAsia="Arial" w:hAnsi="Arial"/>
          <w:sz w:val="17"/>
          <w:szCs w:val="17"/>
          <w:color w:val="003478"/>
        </w:rPr>
      </w:pPr>
    </w:p>
    <w:p>
      <w:pPr>
        <w:ind w:left="420" w:right="100" w:hanging="233"/>
        <w:spacing w:after="0" w:line="269" w:lineRule="auto"/>
        <w:tabs>
          <w:tab w:leader="none" w:pos="385" w:val="left"/>
        </w:tabs>
        <w:numPr>
          <w:ilvl w:val="0"/>
          <w:numId w:val="120"/>
        </w:numPr>
        <w:rPr>
          <w:rFonts w:ascii="Arial" w:cs="Arial" w:eastAsia="Arial" w:hAnsi="Arial"/>
          <w:sz w:val="17"/>
          <w:szCs w:val="17"/>
          <w:color w:val="003478"/>
        </w:rPr>
      </w:pPr>
      <w:r>
        <w:rPr>
          <w:rFonts w:ascii="Arial" w:cs="Arial" w:eastAsia="Arial" w:hAnsi="Arial"/>
          <w:sz w:val="17"/>
          <w:szCs w:val="17"/>
          <w:color w:val="auto"/>
        </w:rPr>
        <w:t>International sales of our defense products and services occur on a government-to-government basis via foreign military sales (FMS) programs, managed by the Defense Security Cooperation Agency on behalf of the U.S. Department of Defense, or by direct commercial sales from Lockheed Martin to our customers. Both transaction forms are subject to rules promulgated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405765</wp:posOffset>
            </wp:positionV>
            <wp:extent cx="963930" cy="2216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77</w:t>
      </w:r>
    </w:p>
    <w:p>
      <w:pPr>
        <w:sectPr>
          <w:pgSz w:w="11900" w:h="16838" w:orient="portrait"/>
          <w:cols w:equalWidth="0" w:num="1">
            <w:col w:w="11200"/>
          </w:cols>
          <w:pgMar w:left="320" w:top="147" w:right="379" w:bottom="1440" w:gutter="0" w:footer="0" w:header="0"/>
        </w:sectPr>
      </w:pPr>
    </w:p>
    <w:bookmarkStart w:id="83" w:name="page84"/>
    <w:bookmarkEnd w:id="83"/>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2E6D"/>
        </w:rPr>
        <w:t>Proposal 5: Stockholder Proposal to Issue a Human Rights Impact Assessment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379095</wp:posOffset>
            </wp:positionV>
            <wp:extent cx="7132955" cy="4471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955" cy="4471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20" w:right="140"/>
        <w:spacing w:after="0" w:line="264" w:lineRule="auto"/>
        <w:rPr>
          <w:sz w:val="20"/>
          <w:szCs w:val="20"/>
          <w:color w:val="auto"/>
        </w:rPr>
      </w:pPr>
      <w:r>
        <w:rPr>
          <w:rFonts w:ascii="Arial" w:cs="Arial" w:eastAsia="Arial" w:hAnsi="Arial"/>
          <w:sz w:val="17"/>
          <w:szCs w:val="17"/>
          <w:color w:val="auto"/>
        </w:rPr>
        <w:t>under the Arms Export Control Act to ensure such transactions support U.S. national security and foreign policy objectives. In reviewing arms sales, the Executive Branch follows the U.S. Conventional Arms Transfer Policy, which states that in making arms transfer decisions, the Executive Branch shall consider the national security of the U.S., the economic security of the U.S. and U.S. innovation, the relationships with allies and partners, human rights and international humanitarian law, and nonproliferation. For example, the stockholder proponent references a potential sale of F-16s to the Philippines that was reviewed and approved by the Executive Branch in June 2021 and notified to Congress as required by law, which tacitly approved by not taking action to block or disapprove of the potential transaction. The official U.S. Government notice of the potential sale to the Philippines stated that the potential sale will “support the foreign policy and national security of the United States by helping improve the security of a strategic partner that continues to be an important force for political stability, peace and economic progress in South East Asia.” We strictly adhere to U.S. government oversight and policy in all matters relating to international sales and specifically to the transfer of products and technologies to foreign entities, and we have a robust trade compliance program to ensure that all sales of our products are conducted in accordance not only with international trade laws and regulations of the U.S. but also of each foreign country in which we operate. In addition, we have policies aimed at preventing human trafficking or modern slavery as well as a due diligence process related to conflict minerals.</w:t>
      </w:r>
    </w:p>
    <w:p>
      <w:pPr>
        <w:spacing w:after="0" w:line="268" w:lineRule="exact"/>
        <w:rPr>
          <w:sz w:val="20"/>
          <w:szCs w:val="20"/>
          <w:color w:val="auto"/>
        </w:rPr>
      </w:pPr>
    </w:p>
    <w:p>
      <w:pPr>
        <w:ind w:left="420" w:right="200" w:hanging="233"/>
        <w:spacing w:after="0" w:line="266" w:lineRule="auto"/>
        <w:tabs>
          <w:tab w:leader="none" w:pos="385" w:val="left"/>
        </w:tabs>
        <w:numPr>
          <w:ilvl w:val="0"/>
          <w:numId w:val="121"/>
        </w:numPr>
        <w:rPr>
          <w:rFonts w:ascii="Arial" w:cs="Arial" w:eastAsia="Arial" w:hAnsi="Arial"/>
          <w:sz w:val="17"/>
          <w:szCs w:val="17"/>
          <w:color w:val="003478"/>
        </w:rPr>
      </w:pPr>
      <w:r>
        <w:rPr>
          <w:rFonts w:ascii="Arial" w:cs="Arial" w:eastAsia="Arial" w:hAnsi="Arial"/>
          <w:sz w:val="17"/>
          <w:szCs w:val="17"/>
          <w:color w:val="auto"/>
        </w:rPr>
        <w:t>Our business supports global deterrence, which helps keep billions of people worldwide safe and free from conflict. We take seriously the identity of the customers to whom we sell our products and services, as well as the risks related to the use of our products in situations where conflict may arise. Our primary customers are the U.S. government and its allies, among which cooperation is critical to maintaining an effective deterrent against global conflict. As described above, we support this goal of deterrence by adhering to U.S. government oversight and policy objectives for all international sales.</w:t>
      </w:r>
    </w:p>
    <w:p>
      <w:pPr>
        <w:spacing w:after="0" w:line="99" w:lineRule="exact"/>
        <w:rPr>
          <w:rFonts w:ascii="Arial" w:cs="Arial" w:eastAsia="Arial" w:hAnsi="Arial"/>
          <w:sz w:val="17"/>
          <w:szCs w:val="17"/>
          <w:color w:val="003478"/>
        </w:rPr>
      </w:pPr>
    </w:p>
    <w:p>
      <w:pPr>
        <w:ind w:left="420" w:right="180" w:hanging="233"/>
        <w:spacing w:after="0" w:line="265" w:lineRule="auto"/>
        <w:tabs>
          <w:tab w:leader="none" w:pos="385" w:val="left"/>
        </w:tabs>
        <w:numPr>
          <w:ilvl w:val="0"/>
          <w:numId w:val="121"/>
        </w:numPr>
        <w:rPr>
          <w:rFonts w:ascii="Arial" w:cs="Arial" w:eastAsia="Arial" w:hAnsi="Arial"/>
          <w:sz w:val="17"/>
          <w:szCs w:val="17"/>
          <w:color w:val="003478"/>
        </w:rPr>
      </w:pPr>
      <w:r>
        <w:rPr>
          <w:rFonts w:ascii="Arial" w:cs="Arial" w:eastAsia="Arial" w:hAnsi="Arial"/>
          <w:sz w:val="17"/>
          <w:szCs w:val="17"/>
          <w:color w:val="auto"/>
        </w:rPr>
        <w:t>In addition to complying with all applicable laws and regulations, all of our sales are subject to our Code of Ethics and Business Conduct. As described on the next page, we have a robust due diligence process for evaluating new business opportunities to ensure they meet our standards and values. We will walk away from business rather than risk violating anti-corruption laws or our corporate values. For example, at times, we have decided not to pursue opportunities in certain countries, even where it is legally permissible, based on our assessment of the potential risks, such as a heightened risk of corruption, which we consider closely intertwined with the protection of human rights. Further, opportunities related to certain types of products or programs that carry increased risks require review of a multi-disciplinary corporate review committee that is chaired by our CFO and COO and includes our SVP, Ethics and Enterprise Assurance, who reports to the Governance Committee of the Board.</w:t>
      </w:r>
    </w:p>
    <w:p>
      <w:pPr>
        <w:spacing w:after="0" w:line="101" w:lineRule="exact"/>
        <w:rPr>
          <w:sz w:val="20"/>
          <w:szCs w:val="20"/>
          <w:color w:val="auto"/>
        </w:rPr>
      </w:pPr>
    </w:p>
    <w:p>
      <w:pPr>
        <w:ind w:left="100" w:right="420"/>
        <w:spacing w:after="0" w:line="269" w:lineRule="auto"/>
        <w:rPr>
          <w:sz w:val="20"/>
          <w:szCs w:val="20"/>
          <w:color w:val="auto"/>
        </w:rPr>
      </w:pPr>
      <w:r>
        <w:rPr>
          <w:rFonts w:ascii="Arial" w:cs="Arial" w:eastAsia="Arial" w:hAnsi="Arial"/>
          <w:sz w:val="17"/>
          <w:szCs w:val="17"/>
          <w:color w:val="auto"/>
        </w:rPr>
        <w:t>The Board remains committed to human rights and ensuring that Lockheed Martin continues to adhere to the high standard for human rights to which it holds itself, our employees, our suppliers and our partners. For the reasons set forth above, we do not believe the preparation of the additional report called for by the proponent is in the best interests of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78</w:t>
      </w:r>
    </w:p>
    <w:p>
      <w:pPr>
        <w:sectPr>
          <w:pgSz w:w="11900" w:h="16838" w:orient="portrait"/>
          <w:cols w:equalWidth="0" w:num="1">
            <w:col w:w="11240"/>
          </w:cols>
          <w:pgMar w:left="320" w:top="254" w:right="339" w:bottom="1440" w:gutter="0" w:footer="0" w:header="0"/>
        </w:sectPr>
      </w:pPr>
    </w:p>
    <w:bookmarkStart w:id="84" w:name="page85"/>
    <w:bookmarkEnd w:id="84"/>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9"/>
          <w:szCs w:val="29"/>
          <w:color w:val="003478"/>
        </w:rPr>
        <w:t>Human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7132955" cy="56654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955" cy="5665470"/>
                    </a:xfrm>
                    <a:prstGeom prst="rect">
                      <a:avLst/>
                    </a:prstGeom>
                    <a:noFill/>
                  </pic:spPr>
                </pic:pic>
              </a:graphicData>
            </a:graphic>
          </wp:anchor>
        </w:drawing>
      </w:r>
    </w:p>
    <w:p>
      <w:pPr>
        <w:spacing w:after="0" w:line="208" w:lineRule="exact"/>
        <w:rPr>
          <w:sz w:val="20"/>
          <w:szCs w:val="20"/>
          <w:color w:val="auto"/>
        </w:rPr>
      </w:pPr>
    </w:p>
    <w:p>
      <w:pPr>
        <w:ind w:left="100"/>
        <w:spacing w:after="0"/>
        <w:rPr>
          <w:sz w:val="20"/>
          <w:szCs w:val="20"/>
          <w:color w:val="auto"/>
        </w:rPr>
      </w:pPr>
      <w:r>
        <w:rPr>
          <w:rFonts w:ascii="Arial" w:cs="Arial" w:eastAsia="Arial" w:hAnsi="Arial"/>
          <w:sz w:val="21"/>
          <w:szCs w:val="21"/>
          <w:color w:val="818EB4"/>
          <w:shd w:val="clear" w:color="auto" w:fill="E5E7EF"/>
        </w:rPr>
        <w:t>Our Human Rights Policy and Principles:</w:t>
      </w:r>
    </w:p>
    <w:p>
      <w:pPr>
        <w:spacing w:after="0" w:line="108" w:lineRule="exact"/>
        <w:rPr>
          <w:sz w:val="20"/>
          <w:szCs w:val="20"/>
          <w:color w:val="auto"/>
        </w:rPr>
      </w:pPr>
    </w:p>
    <w:p>
      <w:pPr>
        <w:ind w:left="100" w:right="40"/>
        <w:spacing w:after="0" w:line="230" w:lineRule="auto"/>
        <w:rPr>
          <w:sz w:val="20"/>
          <w:szCs w:val="20"/>
          <w:color w:val="auto"/>
        </w:rPr>
      </w:pPr>
      <w:r>
        <w:rPr>
          <w:rFonts w:ascii="Arial" w:cs="Arial" w:eastAsia="Arial" w:hAnsi="Arial"/>
          <w:sz w:val="17"/>
          <w:szCs w:val="17"/>
          <w:color w:val="auto"/>
        </w:rPr>
        <w:t xml:space="preserve">At Lockheed Martin, we believe that respect for human rights is an essential element of being a good corporate citizen and the long-term success of the Company. Our commitment to respecting human rights underlies </w:t>
      </w:r>
      <w:r>
        <w:rPr>
          <w:rFonts w:ascii="Arial" w:cs="Arial" w:eastAsia="Arial" w:hAnsi="Arial"/>
          <w:sz w:val="17"/>
          <w:szCs w:val="17"/>
          <w:i w:val="1"/>
          <w:iCs w:val="1"/>
          <w:color w:val="auto"/>
        </w:rPr>
        <w:t>Setting the Standard</w:t>
      </w:r>
      <w:r>
        <w:rPr>
          <w:rFonts w:ascii="Arial" w:cs="Arial" w:eastAsia="Arial" w:hAnsi="Arial"/>
          <w:sz w:val="17"/>
          <w:szCs w:val="17"/>
          <w:color w:val="auto"/>
        </w:rPr>
        <w:t>, the Lockheed Martin Code of Ethics and Business Conduct, and our stated values—</w:t>
      </w:r>
      <w:r>
        <w:rPr>
          <w:rFonts w:ascii="Arial" w:cs="Arial" w:eastAsia="Arial" w:hAnsi="Arial"/>
          <w:sz w:val="17"/>
          <w:szCs w:val="17"/>
          <w:i w:val="1"/>
          <w:iCs w:val="1"/>
          <w:color w:val="auto"/>
        </w:rPr>
        <w:t>Do What’s</w:t>
      </w:r>
      <w:r>
        <w:rPr>
          <w:rFonts w:ascii="Arial" w:cs="Arial" w:eastAsia="Arial" w:hAnsi="Arial"/>
          <w:sz w:val="17"/>
          <w:szCs w:val="17"/>
          <w:color w:val="auto"/>
        </w:rPr>
        <w:t xml:space="preserve"> </w:t>
      </w:r>
      <w:r>
        <w:rPr>
          <w:rFonts w:ascii="Arial" w:cs="Arial" w:eastAsia="Arial" w:hAnsi="Arial"/>
          <w:sz w:val="17"/>
          <w:szCs w:val="17"/>
          <w:i w:val="1"/>
          <w:iCs w:val="1"/>
          <w:color w:val="auto"/>
        </w:rPr>
        <w:t>Right, Respect Others, and Perform with Excellence</w:t>
      </w:r>
      <w:r>
        <w:rPr>
          <w:rFonts w:ascii="Arial" w:cs="Arial" w:eastAsia="Arial" w:hAnsi="Arial"/>
          <w:sz w:val="17"/>
          <w:szCs w:val="17"/>
          <w:color w:val="auto"/>
        </w:rPr>
        <w:t>. This</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 applies to all employees, the Board, and others who represent or act for us. Our Good Corporate Citizenship and Respect for Human Rights Policy includes the following principles:</w:t>
      </w:r>
    </w:p>
    <w:p>
      <w:pPr>
        <w:spacing w:after="0" w:line="7" w:lineRule="exact"/>
        <w:rPr>
          <w:sz w:val="20"/>
          <w:szCs w:val="20"/>
          <w:color w:val="auto"/>
        </w:rPr>
      </w:pPr>
    </w:p>
    <w:p>
      <w:pPr>
        <w:ind w:left="340" w:right="600" w:hanging="234"/>
        <w:spacing w:after="0" w:line="230" w:lineRule="auto"/>
        <w:tabs>
          <w:tab w:leader="none" w:pos="305" w:val="left"/>
        </w:tabs>
        <w:numPr>
          <w:ilvl w:val="0"/>
          <w:numId w:val="122"/>
        </w:numPr>
        <w:rPr>
          <w:rFonts w:ascii="Arial" w:cs="Arial" w:eastAsia="Arial" w:hAnsi="Arial"/>
          <w:sz w:val="17"/>
          <w:szCs w:val="17"/>
          <w:color w:val="003478"/>
        </w:rPr>
      </w:pPr>
      <w:r>
        <w:rPr>
          <w:rFonts w:ascii="Arial" w:cs="Arial" w:eastAsia="Arial" w:hAnsi="Arial"/>
          <w:sz w:val="17"/>
          <w:szCs w:val="17"/>
          <w:color w:val="auto"/>
        </w:rPr>
        <w:t>Support human rights by treating employees with respect, promoting fair employment practices, providing fair and competitive wages and prohibiting harassment, bullying, discrimination, use of child or forced labor and trafficking in persons for any purpose.</w:t>
      </w:r>
    </w:p>
    <w:p>
      <w:pPr>
        <w:spacing w:after="0" w:line="3" w:lineRule="exact"/>
        <w:rPr>
          <w:rFonts w:ascii="Arial" w:cs="Arial" w:eastAsia="Arial" w:hAnsi="Arial"/>
          <w:sz w:val="17"/>
          <w:szCs w:val="17"/>
          <w:color w:val="003478"/>
        </w:rPr>
      </w:pPr>
    </w:p>
    <w:p>
      <w:pPr>
        <w:ind w:left="320" w:hanging="214"/>
        <w:spacing w:after="0" w:line="230" w:lineRule="auto"/>
        <w:tabs>
          <w:tab w:leader="none" w:pos="320" w:val="left"/>
        </w:tabs>
        <w:numPr>
          <w:ilvl w:val="0"/>
          <w:numId w:val="122"/>
        </w:numPr>
        <w:rPr>
          <w:rFonts w:ascii="Arial" w:cs="Arial" w:eastAsia="Arial" w:hAnsi="Arial"/>
          <w:sz w:val="17"/>
          <w:szCs w:val="17"/>
          <w:color w:val="003478"/>
        </w:rPr>
      </w:pPr>
      <w:r>
        <w:rPr>
          <w:rFonts w:ascii="Arial" w:cs="Arial" w:eastAsia="Arial" w:hAnsi="Arial"/>
          <w:sz w:val="17"/>
          <w:szCs w:val="17"/>
          <w:color w:val="auto"/>
        </w:rPr>
        <w:t>Uphold the laws applying to our business, wherever we operate.</w:t>
      </w:r>
    </w:p>
    <w:p>
      <w:pPr>
        <w:ind w:left="340" w:right="260" w:hanging="234"/>
        <w:spacing w:after="0" w:line="230" w:lineRule="auto"/>
        <w:tabs>
          <w:tab w:leader="none" w:pos="305" w:val="left"/>
        </w:tabs>
        <w:numPr>
          <w:ilvl w:val="0"/>
          <w:numId w:val="122"/>
        </w:numPr>
        <w:rPr>
          <w:rFonts w:ascii="Arial" w:cs="Arial" w:eastAsia="Arial" w:hAnsi="Arial"/>
          <w:sz w:val="17"/>
          <w:szCs w:val="17"/>
          <w:color w:val="003478"/>
        </w:rPr>
      </w:pPr>
      <w:r>
        <w:rPr>
          <w:rFonts w:ascii="Arial" w:cs="Arial" w:eastAsia="Arial" w:hAnsi="Arial"/>
          <w:sz w:val="17"/>
          <w:szCs w:val="17"/>
          <w:color w:val="auto"/>
        </w:rPr>
        <w:t>Seek to minimize the negative consequences of our business activities and decisions on our stakeholders, including by minimizing harm to the environment and conserving natural resources, promoting workplace safety, ensuring accuracy and transparency in our communications and delivering high-quality products and services.</w:t>
      </w:r>
    </w:p>
    <w:p>
      <w:pPr>
        <w:spacing w:after="0" w:line="4" w:lineRule="exact"/>
        <w:rPr>
          <w:rFonts w:ascii="Arial" w:cs="Arial" w:eastAsia="Arial" w:hAnsi="Arial"/>
          <w:sz w:val="17"/>
          <w:szCs w:val="17"/>
          <w:color w:val="003478"/>
        </w:rPr>
      </w:pPr>
    </w:p>
    <w:p>
      <w:pPr>
        <w:ind w:left="340" w:hanging="234"/>
        <w:spacing w:after="0" w:line="233" w:lineRule="auto"/>
        <w:tabs>
          <w:tab w:leader="none" w:pos="305" w:val="left"/>
        </w:tabs>
        <w:numPr>
          <w:ilvl w:val="0"/>
          <w:numId w:val="122"/>
        </w:numPr>
        <w:rPr>
          <w:rFonts w:ascii="Arial" w:cs="Arial" w:eastAsia="Arial" w:hAnsi="Arial"/>
          <w:sz w:val="17"/>
          <w:szCs w:val="17"/>
          <w:color w:val="003478"/>
        </w:rPr>
      </w:pPr>
      <w:r>
        <w:rPr>
          <w:rFonts w:ascii="Arial" w:cs="Arial" w:eastAsia="Arial" w:hAnsi="Arial"/>
          <w:sz w:val="17"/>
          <w:szCs w:val="17"/>
          <w:color w:val="auto"/>
        </w:rPr>
        <w:t>Contribute to economic and social well-being by investing our resources in innovative products and services, supporting charitable, philanthropic, and social causes, participating appropriately in political affairs and public debate to advance and advocate our values (including engaging our customers to balance appropriately the sale and use of our technology against national and international interests) and promoting efforts to stop corrupt practices that interfere with markets, inhibit economic development and limit sustainable futures.</w:t>
      </w:r>
    </w:p>
    <w:p>
      <w:pPr>
        <w:spacing w:after="0" w:line="106" w:lineRule="exact"/>
        <w:rPr>
          <w:sz w:val="20"/>
          <w:szCs w:val="20"/>
          <w:color w:val="auto"/>
        </w:rPr>
      </w:pPr>
    </w:p>
    <w:p>
      <w:pPr>
        <w:ind w:left="100"/>
        <w:spacing w:after="0"/>
        <w:rPr>
          <w:sz w:val="20"/>
          <w:szCs w:val="20"/>
          <w:color w:val="auto"/>
        </w:rPr>
      </w:pPr>
      <w:r>
        <w:rPr>
          <w:rFonts w:ascii="Arial" w:cs="Arial" w:eastAsia="Arial" w:hAnsi="Arial"/>
          <w:sz w:val="21"/>
          <w:szCs w:val="21"/>
          <w:color w:val="818EB4"/>
          <w:shd w:val="clear" w:color="auto" w:fill="E5E7EF"/>
        </w:rPr>
        <w:t>Board Oversight of Human Rights:</w:t>
      </w:r>
    </w:p>
    <w:p>
      <w:pPr>
        <w:spacing w:after="0" w:line="108" w:lineRule="exact"/>
        <w:rPr>
          <w:sz w:val="20"/>
          <w:szCs w:val="20"/>
          <w:color w:val="auto"/>
        </w:rPr>
      </w:pPr>
    </w:p>
    <w:p>
      <w:pPr>
        <w:ind w:left="100" w:right="20"/>
        <w:spacing w:after="0" w:line="233" w:lineRule="auto"/>
        <w:rPr>
          <w:sz w:val="20"/>
          <w:szCs w:val="20"/>
          <w:color w:val="auto"/>
        </w:rPr>
      </w:pPr>
      <w:r>
        <w:rPr>
          <w:rFonts w:ascii="Arial" w:cs="Arial" w:eastAsia="Arial" w:hAnsi="Arial"/>
          <w:sz w:val="17"/>
          <w:szCs w:val="17"/>
          <w:color w:val="auto"/>
        </w:rPr>
        <w:t>The Board, through the Governance Committee, reviews and monitors the Company’s policies and procedures regarding corporate responsibility and human rights and our compliance with related laws and regulations. Modeling Business Integrity is one of the core issues in our 2025 Sustainability Management Plan and the Governance Committee receives regular reports from our Senior Vice President, Ethics and Enterprise Assurance on how we are implementing our Sustainability Management Plan, which includes goals with respect to human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21"/>
          <w:szCs w:val="21"/>
          <w:color w:val="818EB4"/>
          <w:shd w:val="clear" w:color="auto" w:fill="E5E7EF"/>
        </w:rPr>
        <w:t>Our Human Rights Due Diligence Approach:</w:t>
      </w:r>
    </w:p>
    <w:p>
      <w:pPr>
        <w:spacing w:after="0" w:line="108" w:lineRule="exact"/>
        <w:rPr>
          <w:sz w:val="20"/>
          <w:szCs w:val="20"/>
          <w:color w:val="auto"/>
        </w:rPr>
      </w:pPr>
    </w:p>
    <w:p>
      <w:pPr>
        <w:jc w:val="both"/>
        <w:ind w:right="160"/>
        <w:spacing w:after="0" w:line="230" w:lineRule="auto"/>
        <w:rPr>
          <w:sz w:val="20"/>
          <w:szCs w:val="20"/>
          <w:color w:val="auto"/>
        </w:rPr>
      </w:pPr>
      <w:r>
        <w:rPr>
          <w:rFonts w:ascii="Arial" w:cs="Arial" w:eastAsia="Arial" w:hAnsi="Arial"/>
          <w:sz w:val="17"/>
          <w:szCs w:val="17"/>
          <w:color w:val="auto"/>
        </w:rPr>
        <w:t>Our human rights due diligence processes are embedded within our operating and decision-making practices and procedures and do not exist as a stand-alone procedure.</w:t>
      </w:r>
    </w:p>
    <w:p>
      <w:pPr>
        <w:spacing w:after="0" w:line="2" w:lineRule="exact"/>
        <w:rPr>
          <w:sz w:val="20"/>
          <w:szCs w:val="20"/>
          <w:color w:val="auto"/>
        </w:rPr>
      </w:pPr>
    </w:p>
    <w:p>
      <w:pPr>
        <w:ind w:left="240" w:right="80" w:hanging="236"/>
        <w:spacing w:after="0" w:line="230" w:lineRule="auto"/>
        <w:tabs>
          <w:tab w:leader="none" w:pos="205" w:val="left"/>
        </w:tabs>
        <w:numPr>
          <w:ilvl w:val="0"/>
          <w:numId w:val="123"/>
        </w:numPr>
        <w:rPr>
          <w:rFonts w:ascii="Arial" w:cs="Arial" w:eastAsia="Arial" w:hAnsi="Arial"/>
          <w:sz w:val="17"/>
          <w:szCs w:val="17"/>
          <w:color w:val="003478"/>
        </w:rPr>
      </w:pPr>
      <w:r>
        <w:rPr>
          <w:rFonts w:ascii="Arial" w:cs="Arial" w:eastAsia="Arial" w:hAnsi="Arial"/>
          <w:sz w:val="17"/>
          <w:szCs w:val="17"/>
          <w:color w:val="auto"/>
        </w:rPr>
        <w:t>We have robust procedures to ensure that new contracts meet our standards and values. Prospective commitments are reviewed to ensure that they fit our strategic direction, will uphold our reputation, and are structured for successful technical and financial performance. Each business area has implemented proposal review and approval procedures that evaluate risks, and which can result in a decision not to bid at all. Proposals that involve the pursuit of an opportunity related to certain types of products or programs that carry increased reputational risks require review of a multi-disciplinary corporate review committee that is chaired by our CFO and COO and includes our Senior Vice President, Ethics and Enterprise Assurance, who reports to the Governance Committee. In 2020, we also formed a Weapons Review Council at our Missiles and Fire Control business area. This Council reviews products and activities that may potentially raise human rights issues.</w:t>
      </w:r>
    </w:p>
    <w:p>
      <w:pPr>
        <w:spacing w:after="0" w:line="12" w:lineRule="exact"/>
        <w:rPr>
          <w:rFonts w:ascii="Arial" w:cs="Arial" w:eastAsia="Arial" w:hAnsi="Arial"/>
          <w:sz w:val="17"/>
          <w:szCs w:val="17"/>
          <w:color w:val="003478"/>
        </w:rPr>
      </w:pPr>
    </w:p>
    <w:p>
      <w:pPr>
        <w:ind w:left="240" w:right="40" w:hanging="236"/>
        <w:spacing w:after="0" w:line="230" w:lineRule="auto"/>
        <w:tabs>
          <w:tab w:leader="none" w:pos="205" w:val="left"/>
        </w:tabs>
        <w:numPr>
          <w:ilvl w:val="0"/>
          <w:numId w:val="123"/>
        </w:numPr>
        <w:rPr>
          <w:rFonts w:ascii="Arial" w:cs="Arial" w:eastAsia="Arial" w:hAnsi="Arial"/>
          <w:sz w:val="17"/>
          <w:szCs w:val="17"/>
          <w:color w:val="003478"/>
        </w:rPr>
      </w:pPr>
      <w:r>
        <w:rPr>
          <w:rFonts w:ascii="Arial" w:cs="Arial" w:eastAsia="Arial" w:hAnsi="Arial"/>
          <w:sz w:val="17"/>
          <w:szCs w:val="17"/>
          <w:color w:val="auto"/>
        </w:rPr>
        <w:t>We conduct risk-based anti-corruption due diligence, which may be subject to audits, before entering into relationships with third parties, including consultants. We require international consultants to undergo training on our Code of Conduct and associated business conduct and anti-corruption policies. We will walk away from business rather than risk violating anti-corruption laws and our corporate values.</w:t>
      </w:r>
    </w:p>
    <w:p>
      <w:pPr>
        <w:spacing w:after="0" w:line="5" w:lineRule="exact"/>
        <w:rPr>
          <w:rFonts w:ascii="Arial" w:cs="Arial" w:eastAsia="Arial" w:hAnsi="Arial"/>
          <w:sz w:val="17"/>
          <w:szCs w:val="17"/>
          <w:color w:val="003478"/>
        </w:rPr>
      </w:pPr>
    </w:p>
    <w:p>
      <w:pPr>
        <w:ind w:left="240" w:right="240" w:hanging="236"/>
        <w:spacing w:after="0" w:line="230" w:lineRule="auto"/>
        <w:tabs>
          <w:tab w:leader="none" w:pos="205" w:val="left"/>
        </w:tabs>
        <w:numPr>
          <w:ilvl w:val="0"/>
          <w:numId w:val="123"/>
        </w:numPr>
        <w:rPr>
          <w:rFonts w:ascii="Arial" w:cs="Arial" w:eastAsia="Arial" w:hAnsi="Arial"/>
          <w:sz w:val="17"/>
          <w:szCs w:val="17"/>
          <w:color w:val="003478"/>
        </w:rPr>
      </w:pPr>
      <w:r>
        <w:rPr>
          <w:rFonts w:ascii="Arial" w:cs="Arial" w:eastAsia="Arial" w:hAnsi="Arial"/>
          <w:sz w:val="17"/>
          <w:szCs w:val="17"/>
          <w:color w:val="auto"/>
        </w:rPr>
        <w:t>Our robust trade compliance program is designed to ensure that sales of our products are conducted in accordance with all international trade laws and regulations of the U.S. and each foreign country in which we operate.</w:t>
      </w:r>
    </w:p>
    <w:p>
      <w:pPr>
        <w:spacing w:after="0" w:line="3" w:lineRule="exact"/>
        <w:rPr>
          <w:rFonts w:ascii="Arial" w:cs="Arial" w:eastAsia="Arial" w:hAnsi="Arial"/>
          <w:sz w:val="17"/>
          <w:szCs w:val="17"/>
          <w:color w:val="003478"/>
        </w:rPr>
      </w:pPr>
    </w:p>
    <w:p>
      <w:pPr>
        <w:ind w:left="240" w:right="260" w:hanging="236"/>
        <w:spacing w:after="0" w:line="232" w:lineRule="auto"/>
        <w:tabs>
          <w:tab w:leader="none" w:pos="205" w:val="left"/>
        </w:tabs>
        <w:numPr>
          <w:ilvl w:val="0"/>
          <w:numId w:val="123"/>
        </w:numPr>
        <w:rPr>
          <w:rFonts w:ascii="Arial" w:cs="Arial" w:eastAsia="Arial" w:hAnsi="Arial"/>
          <w:sz w:val="17"/>
          <w:szCs w:val="17"/>
          <w:color w:val="003478"/>
        </w:rPr>
      </w:pPr>
      <w:r>
        <w:rPr>
          <w:rFonts w:ascii="Arial" w:cs="Arial" w:eastAsia="Arial" w:hAnsi="Arial"/>
          <w:sz w:val="17"/>
          <w:szCs w:val="17"/>
          <w:color w:val="auto"/>
        </w:rPr>
        <w:t>We provide oversight of our standards and controls by providing mandatory training to our employees and trusted grievance mechanisms, providing resources and support to our suppliers, and aligning the interests of employees and suppliers within established frameworks. Formal and informal stakeholder engagement is an integral part of our business. We continue to encourage our employees, suppliers and the general public to report potential human rights violations through our anonymous ethics helpline. We also communicate our expectations to suppliers that they implement supply chain due diligence processes related to conflict minerals in their products.</w:t>
      </w:r>
    </w:p>
    <w:p>
      <w:pPr>
        <w:spacing w:after="0" w:line="4" w:lineRule="exact"/>
        <w:rPr>
          <w:sz w:val="20"/>
          <w:szCs w:val="20"/>
          <w:color w:val="auto"/>
        </w:rPr>
      </w:pPr>
    </w:p>
    <w:p>
      <w:pPr>
        <w:ind w:right="240"/>
        <w:spacing w:after="0" w:line="237" w:lineRule="auto"/>
        <w:rPr>
          <w:sz w:val="20"/>
          <w:szCs w:val="20"/>
          <w:color w:val="auto"/>
        </w:rPr>
      </w:pPr>
      <w:r>
        <w:rPr>
          <w:rFonts w:ascii="Arial" w:cs="Arial" w:eastAsia="Arial" w:hAnsi="Arial"/>
          <w:sz w:val="17"/>
          <w:szCs w:val="17"/>
          <w:color w:val="auto"/>
        </w:rPr>
        <w:t>We make our Human Rights Report, Human Rights Policy, Code of Conduct and Supplier Code of Conduct publicly available on our website.</w:t>
      </w:r>
    </w:p>
    <w:p>
      <w:pPr>
        <w:spacing w:after="0" w:line="200" w:lineRule="exact"/>
        <w:rPr>
          <w:sz w:val="20"/>
          <w:szCs w:val="20"/>
          <w:color w:val="auto"/>
        </w:rPr>
      </w:pPr>
    </w:p>
    <w:p>
      <w:pPr>
        <w:sectPr>
          <w:pgSz w:w="11900" w:h="16838" w:orient="portrait"/>
          <w:cols w:equalWidth="0" w:num="2">
            <w:col w:w="5360" w:space="520"/>
            <w:col w:w="5280"/>
          </w:cols>
          <w:pgMar w:left="320" w:top="254" w:right="419" w:bottom="1440" w:gutter="0" w:footer="0" w:header="0"/>
        </w:sectPr>
      </w:pPr>
    </w:p>
    <w:p>
      <w:pPr>
        <w:spacing w:after="0" w:line="40" w:lineRule="exact"/>
        <w:rPr>
          <w:sz w:val="20"/>
          <w:szCs w:val="20"/>
          <w:color w:val="auto"/>
        </w:rPr>
      </w:pPr>
    </w:p>
    <w:p>
      <w:pPr>
        <w:spacing w:after="0"/>
        <w:rPr>
          <w:sz w:val="20"/>
          <w:szCs w:val="20"/>
          <w:color w:val="auto"/>
        </w:rPr>
      </w:pPr>
      <w:r>
        <w:rPr>
          <w:rFonts w:ascii="Arial" w:cs="Arial" w:eastAsia="Arial" w:hAnsi="Arial"/>
          <w:sz w:val="21"/>
          <w:szCs w:val="21"/>
          <w:color w:val="818EB4"/>
        </w:rPr>
        <w:t>Responsible Sales</w:t>
      </w:r>
    </w:p>
    <w:p>
      <w:pPr>
        <w:spacing w:after="0" w:line="54"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All of our sales – domestic, international, commercial and governmental – are subject to our Code of Ethics and Business Conduct and all applicable U.S. and foreign laws and regulations, including those related to anti-corruption, import-export control, taxation, repatriation of earnings, exchange controls and the anti-boycott provisions of the U.S. Export Controls Reform Act of 2018. We have procedures to mitigate corruption risks in all international and domestic dealings.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200025</wp:posOffset>
            </wp:positionV>
            <wp:extent cx="963930" cy="2216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79</w:t>
      </w:r>
    </w:p>
    <w:p>
      <w:pPr>
        <w:sectPr>
          <w:pgSz w:w="11900" w:h="16838" w:orient="portrait"/>
          <w:cols w:equalWidth="0" w:num="1">
            <w:col w:w="11160"/>
          </w:cols>
          <w:pgMar w:left="320" w:top="254" w:right="419" w:bottom="1440" w:gutter="0" w:footer="0" w:header="0"/>
          <w:type w:val="continuous"/>
        </w:sectPr>
      </w:pPr>
    </w:p>
    <w:bookmarkStart w:id="85" w:name="page86"/>
    <w:bookmarkEnd w:id="85"/>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43"/>
          <w:szCs w:val="43"/>
          <w:color w:val="003478"/>
        </w:rPr>
        <w:t>Annual Meeting Questions and Answers</w:t>
      </w:r>
    </w:p>
    <w:p>
      <w:pPr>
        <w:spacing w:after="0" w:line="18"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280" w:type="dxa"/>
            <w:vAlign w:val="bottom"/>
            <w:tcBorders>
              <w:top w:val="single" w:sz="8" w:color="auto"/>
              <w:left w:val="single" w:sz="8" w:color="auto"/>
            </w:tcBorders>
            <w:vMerge w:val="restart"/>
            <w:shd w:val="clear" w:color="auto" w:fill="E5E7EF"/>
          </w:tcPr>
          <w:p>
            <w:pPr>
              <w:ind w:left="40"/>
              <w:spacing w:after="0"/>
              <w:rPr>
                <w:sz w:val="20"/>
                <w:szCs w:val="20"/>
                <w:color w:val="auto"/>
              </w:rPr>
            </w:pPr>
            <w:r>
              <w:rPr>
                <w:rFonts w:ascii="Arial" w:cs="Arial" w:eastAsia="Arial" w:hAnsi="Arial"/>
                <w:sz w:val="20"/>
                <w:szCs w:val="20"/>
                <w:color w:val="003478"/>
              </w:rPr>
              <w:t>Why is the Annual</w:t>
            </w:r>
          </w:p>
        </w:tc>
        <w:tc>
          <w:tcPr>
            <w:tcW w:w="120" w:type="dxa"/>
            <w:vAlign w:val="bottom"/>
            <w:tcBorders>
              <w:top w:val="single" w:sz="8" w:color="E5E7EF"/>
              <w:right w:val="single" w:sz="8" w:color="auto"/>
            </w:tcBorders>
            <w:shd w:val="clear" w:color="auto" w:fill="E5E7EF"/>
          </w:tcPr>
          <w:p>
            <w:pPr>
              <w:spacing w:after="0"/>
              <w:rPr>
                <w:sz w:val="21"/>
                <w:szCs w:val="21"/>
                <w:color w:val="auto"/>
              </w:rPr>
            </w:pPr>
          </w:p>
        </w:tc>
        <w:tc>
          <w:tcPr>
            <w:tcW w:w="886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7"/>
                <w:szCs w:val="17"/>
                <w:color w:val="auto"/>
              </w:rPr>
              <w:t>The Company will conduct the Annual Meeting exclusively online through a live audio webcast via the Internet. We</w:t>
            </w:r>
          </w:p>
        </w:tc>
        <w:tc>
          <w:tcPr>
            <w:tcW w:w="0" w:type="dxa"/>
            <w:vAlign w:val="bottom"/>
          </w:tcPr>
          <w:p>
            <w:pPr>
              <w:spacing w:after="0"/>
              <w:rPr>
                <w:sz w:val="1"/>
                <w:szCs w:val="1"/>
                <w:color w:val="auto"/>
              </w:rPr>
            </w:pPr>
          </w:p>
        </w:tc>
      </w:tr>
      <w:tr>
        <w:trPr>
          <w:trHeight w:val="97"/>
        </w:trPr>
        <w:tc>
          <w:tcPr>
            <w:tcW w:w="2280" w:type="dxa"/>
            <w:vAlign w:val="bottom"/>
            <w:tcBorders>
              <w:left w:val="single" w:sz="8" w:color="auto"/>
            </w:tcBorders>
            <w:vMerge w:val="continue"/>
            <w:shd w:val="clear" w:color="auto" w:fill="E5E7EF"/>
          </w:tcPr>
          <w:p>
            <w:pPr>
              <w:spacing w:after="0"/>
              <w:rPr>
                <w:sz w:val="8"/>
                <w:szCs w:val="8"/>
                <w:color w:val="auto"/>
              </w:rPr>
            </w:pPr>
          </w:p>
        </w:tc>
        <w:tc>
          <w:tcPr>
            <w:tcW w:w="120" w:type="dxa"/>
            <w:vAlign w:val="bottom"/>
            <w:tcBorders>
              <w:right w:val="single" w:sz="8" w:color="auto"/>
            </w:tcBorders>
            <w:shd w:val="clear" w:color="auto" w:fill="E5E7EF"/>
          </w:tcPr>
          <w:p>
            <w:pPr>
              <w:spacing w:after="0"/>
              <w:rPr>
                <w:sz w:val="8"/>
                <w:szCs w:val="8"/>
                <w:color w:val="auto"/>
              </w:rPr>
            </w:pPr>
          </w:p>
        </w:tc>
        <w:tc>
          <w:tcPr>
            <w:tcW w:w="8860" w:type="dxa"/>
            <w:vAlign w:val="bottom"/>
            <w:tcBorders>
              <w:right w:val="single" w:sz="8" w:color="auto"/>
            </w:tcBorders>
            <w:vMerge w:val="restart"/>
          </w:tcPr>
          <w:p>
            <w:pPr>
              <w:ind w:left="80"/>
              <w:spacing w:after="0" w:line="188" w:lineRule="exact"/>
              <w:rPr>
                <w:sz w:val="20"/>
                <w:szCs w:val="20"/>
                <w:color w:val="auto"/>
              </w:rPr>
            </w:pPr>
            <w:r>
              <w:rPr>
                <w:rFonts w:ascii="Arial" w:cs="Arial" w:eastAsia="Arial" w:hAnsi="Arial"/>
                <w:sz w:val="17"/>
                <w:szCs w:val="17"/>
                <w:color w:val="auto"/>
              </w:rPr>
              <w:t>have adopted this format to facilitate stockholder attendance and to enable stockholders to participate fully and</w:t>
            </w:r>
          </w:p>
        </w:tc>
        <w:tc>
          <w:tcPr>
            <w:tcW w:w="0" w:type="dxa"/>
            <w:vAlign w:val="bottom"/>
          </w:tcPr>
          <w:p>
            <w:pPr>
              <w:spacing w:after="0"/>
              <w:rPr>
                <w:sz w:val="1"/>
                <w:szCs w:val="1"/>
                <w:color w:val="auto"/>
              </w:rPr>
            </w:pPr>
          </w:p>
        </w:tc>
      </w:tr>
      <w:tr>
        <w:trPr>
          <w:trHeight w:val="92"/>
        </w:trPr>
        <w:tc>
          <w:tcPr>
            <w:tcW w:w="2280" w:type="dxa"/>
            <w:vAlign w:val="bottom"/>
            <w:tcBorders>
              <w:left w:val="single" w:sz="8" w:color="auto"/>
            </w:tcBorders>
            <w:vMerge w:val="restart"/>
            <w:shd w:val="clear" w:color="auto" w:fill="E5E7EF"/>
          </w:tcPr>
          <w:p>
            <w:pPr>
              <w:ind w:left="40"/>
              <w:spacing w:after="0"/>
              <w:rPr>
                <w:sz w:val="20"/>
                <w:szCs w:val="20"/>
                <w:color w:val="auto"/>
              </w:rPr>
            </w:pPr>
            <w:r>
              <w:rPr>
                <w:rFonts w:ascii="Arial" w:cs="Arial" w:eastAsia="Arial" w:hAnsi="Arial"/>
                <w:sz w:val="20"/>
                <w:szCs w:val="20"/>
                <w:color w:val="003478"/>
              </w:rPr>
              <w:t>Meeting format virtual?</w:t>
            </w:r>
          </w:p>
        </w:tc>
        <w:tc>
          <w:tcPr>
            <w:tcW w:w="120" w:type="dxa"/>
            <w:vAlign w:val="bottom"/>
            <w:tcBorders>
              <w:right w:val="single" w:sz="8" w:color="auto"/>
            </w:tcBorders>
            <w:shd w:val="clear" w:color="auto" w:fill="E5E7EF"/>
          </w:tcPr>
          <w:p>
            <w:pPr>
              <w:spacing w:after="0"/>
              <w:rPr>
                <w:sz w:val="7"/>
                <w:szCs w:val="7"/>
                <w:color w:val="auto"/>
              </w:rPr>
            </w:pPr>
          </w:p>
        </w:tc>
        <w:tc>
          <w:tcPr>
            <w:tcW w:w="88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2280" w:type="dxa"/>
            <w:vAlign w:val="bottom"/>
            <w:tcBorders>
              <w:left w:val="single" w:sz="8" w:color="auto"/>
            </w:tcBorders>
            <w:vMerge w:val="continue"/>
            <w:shd w:val="clear" w:color="auto" w:fill="E5E7EF"/>
          </w:tcPr>
          <w:p>
            <w:pPr>
              <w:spacing w:after="0"/>
              <w:rPr>
                <w:sz w:val="12"/>
                <w:szCs w:val="12"/>
                <w:color w:val="auto"/>
              </w:rPr>
            </w:pPr>
          </w:p>
        </w:tc>
        <w:tc>
          <w:tcPr>
            <w:tcW w:w="120" w:type="dxa"/>
            <w:vAlign w:val="bottom"/>
            <w:tcBorders>
              <w:right w:val="single" w:sz="8" w:color="auto"/>
            </w:tcBorders>
            <w:shd w:val="clear" w:color="auto" w:fill="E5E7EF"/>
          </w:tcPr>
          <w:p>
            <w:pPr>
              <w:spacing w:after="0"/>
              <w:rPr>
                <w:sz w:val="12"/>
                <w:szCs w:val="12"/>
                <w:color w:val="auto"/>
              </w:rPr>
            </w:pPr>
          </w:p>
        </w:tc>
        <w:tc>
          <w:tcPr>
            <w:tcW w:w="8860" w:type="dxa"/>
            <w:vAlign w:val="bottom"/>
            <w:tcBorders>
              <w:right w:val="single" w:sz="8" w:color="auto"/>
            </w:tcBorders>
            <w:vMerge w:val="restart"/>
          </w:tcPr>
          <w:p>
            <w:pPr>
              <w:ind w:left="80"/>
              <w:spacing w:after="0"/>
              <w:rPr>
                <w:sz w:val="20"/>
                <w:szCs w:val="20"/>
                <w:color w:val="auto"/>
              </w:rPr>
            </w:pPr>
            <w:r>
              <w:rPr>
                <w:rFonts w:ascii="Arial" w:cs="Arial" w:eastAsia="Arial" w:hAnsi="Arial"/>
                <w:sz w:val="17"/>
                <w:szCs w:val="17"/>
                <w:color w:val="auto"/>
              </w:rPr>
              <w:t>equally, regardless of size of holdings, resources, or physical location.</w:t>
            </w:r>
          </w:p>
        </w:tc>
        <w:tc>
          <w:tcPr>
            <w:tcW w:w="0" w:type="dxa"/>
            <w:vAlign w:val="bottom"/>
          </w:tcPr>
          <w:p>
            <w:pPr>
              <w:spacing w:after="0"/>
              <w:rPr>
                <w:sz w:val="1"/>
                <w:szCs w:val="1"/>
                <w:color w:val="auto"/>
              </w:rPr>
            </w:pPr>
          </w:p>
        </w:tc>
      </w:tr>
      <w:tr>
        <w:trPr>
          <w:trHeight w:val="59"/>
        </w:trPr>
        <w:tc>
          <w:tcPr>
            <w:tcW w:w="2280" w:type="dxa"/>
            <w:vAlign w:val="bottom"/>
            <w:tcBorders>
              <w:left w:val="single" w:sz="8" w:color="auto"/>
            </w:tcBorders>
            <w:shd w:val="clear" w:color="auto" w:fill="E5E7EF"/>
          </w:tcPr>
          <w:p>
            <w:pPr>
              <w:spacing w:after="0"/>
              <w:rPr>
                <w:sz w:val="5"/>
                <w:szCs w:val="5"/>
                <w:color w:val="auto"/>
              </w:rPr>
            </w:pPr>
          </w:p>
        </w:tc>
        <w:tc>
          <w:tcPr>
            <w:tcW w:w="120" w:type="dxa"/>
            <w:vAlign w:val="bottom"/>
            <w:tcBorders>
              <w:right w:val="single" w:sz="8" w:color="auto"/>
            </w:tcBorders>
            <w:shd w:val="clear" w:color="auto" w:fill="E5E7EF"/>
          </w:tcPr>
          <w:p>
            <w:pPr>
              <w:spacing w:after="0"/>
              <w:rPr>
                <w:sz w:val="5"/>
                <w:szCs w:val="5"/>
                <w:color w:val="auto"/>
              </w:rPr>
            </w:pPr>
          </w:p>
        </w:tc>
        <w:tc>
          <w:tcPr>
            <w:tcW w:w="88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280" w:type="dxa"/>
            <w:vAlign w:val="bottom"/>
            <w:tcBorders>
              <w:left w:val="single" w:sz="8" w:color="auto"/>
              <w:bottom w:val="single" w:sz="8" w:color="auto"/>
            </w:tcBorders>
            <w:shd w:val="clear" w:color="auto" w:fill="E5E7EF"/>
          </w:tcPr>
          <w:p>
            <w:pPr>
              <w:spacing w:after="0"/>
              <w:rPr>
                <w:sz w:val="6"/>
                <w:szCs w:val="6"/>
                <w:color w:val="auto"/>
              </w:rPr>
            </w:pPr>
          </w:p>
        </w:tc>
        <w:tc>
          <w:tcPr>
            <w:tcW w:w="120" w:type="dxa"/>
            <w:vAlign w:val="bottom"/>
            <w:tcBorders>
              <w:bottom w:val="single" w:sz="8" w:color="auto"/>
              <w:right w:val="single" w:sz="8" w:color="auto"/>
            </w:tcBorders>
            <w:shd w:val="clear" w:color="auto" w:fill="E5E7EF"/>
          </w:tcPr>
          <w:p>
            <w:pPr>
              <w:spacing w:after="0"/>
              <w:rPr>
                <w:sz w:val="6"/>
                <w:szCs w:val="6"/>
                <w:color w:val="auto"/>
              </w:rPr>
            </w:pPr>
          </w:p>
        </w:tc>
        <w:tc>
          <w:tcPr>
            <w:tcW w:w="88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2280" w:type="dxa"/>
            <w:vAlign w:val="bottom"/>
            <w:tcBorders>
              <w:left w:val="single" w:sz="8" w:color="auto"/>
            </w:tcBorders>
            <w:shd w:val="clear" w:color="auto" w:fill="E5E7EF"/>
          </w:tcPr>
          <w:p>
            <w:pPr>
              <w:ind w:left="40"/>
              <w:spacing w:after="0"/>
              <w:rPr>
                <w:sz w:val="20"/>
                <w:szCs w:val="20"/>
                <w:color w:val="auto"/>
              </w:rPr>
            </w:pPr>
            <w:r>
              <w:rPr>
                <w:rFonts w:ascii="Arial" w:cs="Arial" w:eastAsia="Arial" w:hAnsi="Arial"/>
                <w:sz w:val="20"/>
                <w:szCs w:val="20"/>
                <w:color w:val="003478"/>
              </w:rPr>
              <w:t>How do I participate in</w:t>
            </w:r>
          </w:p>
        </w:tc>
        <w:tc>
          <w:tcPr>
            <w:tcW w:w="120" w:type="dxa"/>
            <w:vAlign w:val="bottom"/>
            <w:tcBorders>
              <w:right w:val="single" w:sz="8" w:color="auto"/>
            </w:tcBorders>
            <w:shd w:val="clear" w:color="auto" w:fill="E5E7EF"/>
          </w:tcPr>
          <w:p>
            <w:pPr>
              <w:spacing w:after="0"/>
              <w:rPr>
                <w:sz w:val="24"/>
                <w:szCs w:val="24"/>
                <w:color w:val="auto"/>
              </w:rPr>
            </w:pPr>
          </w:p>
        </w:tc>
        <w:tc>
          <w:tcPr>
            <w:tcW w:w="88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 xml:space="preserve">Stockholders may attend the Annual Meeting via the Internet by visiting </w:t>
            </w:r>
            <w:r>
              <w:rPr>
                <w:rFonts w:ascii="Arial" w:cs="Arial" w:eastAsia="Arial" w:hAnsi="Arial"/>
                <w:sz w:val="17"/>
                <w:szCs w:val="17"/>
                <w:b w:val="1"/>
                <w:bCs w:val="1"/>
                <w:i w:val="1"/>
                <w:iCs w:val="1"/>
                <w:color w:val="auto"/>
              </w:rPr>
              <w:t>www.meetnow.global/LMT2022</w:t>
            </w:r>
            <w:r>
              <w:rPr>
                <w:rFonts w:ascii="Arial" w:cs="Arial" w:eastAsia="Arial" w:hAnsi="Arial"/>
                <w:sz w:val="17"/>
                <w:szCs w:val="17"/>
                <w:color w:val="auto"/>
              </w:rPr>
              <w:t>. You will</w:t>
            </w: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tcBorders>
            <w:shd w:val="clear" w:color="auto" w:fill="E5E7EF"/>
          </w:tcPr>
          <w:p>
            <w:pPr>
              <w:ind w:left="40"/>
              <w:spacing w:after="0" w:line="188" w:lineRule="exact"/>
              <w:rPr>
                <w:sz w:val="20"/>
                <w:szCs w:val="20"/>
                <w:color w:val="auto"/>
              </w:rPr>
            </w:pPr>
            <w:r>
              <w:rPr>
                <w:rFonts w:ascii="Arial" w:cs="Arial" w:eastAsia="Arial" w:hAnsi="Arial"/>
                <w:sz w:val="20"/>
                <w:szCs w:val="20"/>
                <w:color w:val="003478"/>
              </w:rPr>
              <w:t>the virtual Annual</w:t>
            </w:r>
          </w:p>
        </w:tc>
        <w:tc>
          <w:tcPr>
            <w:tcW w:w="120" w:type="dxa"/>
            <w:vAlign w:val="bottom"/>
            <w:tcBorders>
              <w:right w:val="single" w:sz="8" w:color="auto"/>
            </w:tcBorders>
            <w:shd w:val="clear" w:color="auto" w:fill="E5E7EF"/>
          </w:tcPr>
          <w:p>
            <w:pPr>
              <w:spacing w:after="0"/>
              <w:rPr>
                <w:sz w:val="16"/>
                <w:szCs w:val="16"/>
                <w:color w:val="auto"/>
              </w:rPr>
            </w:pPr>
          </w:p>
        </w:tc>
        <w:tc>
          <w:tcPr>
            <w:tcW w:w="8860" w:type="dxa"/>
            <w:vAlign w:val="bottom"/>
            <w:tcBorders>
              <w:right w:val="single" w:sz="8" w:color="auto"/>
            </w:tcBorders>
          </w:tcPr>
          <w:p>
            <w:pPr>
              <w:ind w:left="80"/>
              <w:spacing w:after="0" w:line="188" w:lineRule="exact"/>
              <w:rPr>
                <w:sz w:val="20"/>
                <w:szCs w:val="20"/>
                <w:color w:val="auto"/>
              </w:rPr>
            </w:pPr>
            <w:r>
              <w:rPr>
                <w:rFonts w:ascii="Arial" w:cs="Arial" w:eastAsia="Arial" w:hAnsi="Arial"/>
                <w:sz w:val="17"/>
                <w:szCs w:val="17"/>
                <w:color w:val="auto"/>
              </w:rPr>
              <w:t>be prompted to enter the unique control number received with your proxy card (for registered stockholders) or</w:t>
            </w:r>
          </w:p>
        </w:tc>
        <w:tc>
          <w:tcPr>
            <w:tcW w:w="0" w:type="dxa"/>
            <w:vAlign w:val="bottom"/>
          </w:tcPr>
          <w:p>
            <w:pPr>
              <w:spacing w:after="0"/>
              <w:rPr>
                <w:sz w:val="1"/>
                <w:szCs w:val="1"/>
                <w:color w:val="auto"/>
              </w:rPr>
            </w:pPr>
          </w:p>
        </w:tc>
      </w:tr>
      <w:tr>
        <w:trPr>
          <w:trHeight w:val="221"/>
        </w:trPr>
        <w:tc>
          <w:tcPr>
            <w:tcW w:w="2280" w:type="dxa"/>
            <w:vAlign w:val="bottom"/>
            <w:tcBorders>
              <w:left w:val="single" w:sz="8" w:color="auto"/>
            </w:tcBorders>
            <w:shd w:val="clear" w:color="auto" w:fill="E5E7EF"/>
          </w:tcPr>
          <w:p>
            <w:pPr>
              <w:ind w:left="40"/>
              <w:spacing w:after="0" w:line="221" w:lineRule="exact"/>
              <w:rPr>
                <w:sz w:val="20"/>
                <w:szCs w:val="20"/>
                <w:color w:val="auto"/>
              </w:rPr>
            </w:pPr>
            <w:r>
              <w:rPr>
                <w:rFonts w:ascii="Arial" w:cs="Arial" w:eastAsia="Arial" w:hAnsi="Arial"/>
                <w:sz w:val="20"/>
                <w:szCs w:val="20"/>
                <w:color w:val="003478"/>
              </w:rPr>
              <w:t>Meeting?</w:t>
            </w:r>
          </w:p>
        </w:tc>
        <w:tc>
          <w:tcPr>
            <w:tcW w:w="120" w:type="dxa"/>
            <w:vAlign w:val="bottom"/>
            <w:tcBorders>
              <w:right w:val="single" w:sz="8" w:color="auto"/>
            </w:tcBorders>
            <w:shd w:val="clear" w:color="auto" w:fill="E5E7EF"/>
          </w:tcPr>
          <w:p>
            <w:pPr>
              <w:spacing w:after="0"/>
              <w:rPr>
                <w:sz w:val="19"/>
                <w:szCs w:val="19"/>
                <w:color w:val="auto"/>
              </w:rPr>
            </w:pPr>
          </w:p>
        </w:tc>
        <w:tc>
          <w:tcPr>
            <w:tcW w:w="88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voting instruction form (for beneficial owners) to join and participate in the meeting. See “What is the difference</w:t>
            </w:r>
          </w:p>
        </w:tc>
        <w:tc>
          <w:tcPr>
            <w:tcW w:w="0" w:type="dxa"/>
            <w:vAlign w:val="bottom"/>
          </w:tcPr>
          <w:p>
            <w:pPr>
              <w:spacing w:after="0"/>
              <w:rPr>
                <w:sz w:val="1"/>
                <w:szCs w:val="1"/>
                <w:color w:val="auto"/>
              </w:rPr>
            </w:pPr>
          </w:p>
        </w:tc>
      </w:tr>
      <w:tr>
        <w:trPr>
          <w:trHeight w:val="155"/>
        </w:trPr>
        <w:tc>
          <w:tcPr>
            <w:tcW w:w="2280" w:type="dxa"/>
            <w:vAlign w:val="bottom"/>
            <w:tcBorders>
              <w:left w:val="single" w:sz="8" w:color="auto"/>
            </w:tcBorders>
            <w:shd w:val="clear" w:color="auto" w:fill="E5E7EF"/>
          </w:tcPr>
          <w:p>
            <w:pPr>
              <w:spacing w:after="0"/>
              <w:rPr>
                <w:sz w:val="13"/>
                <w:szCs w:val="13"/>
                <w:color w:val="auto"/>
              </w:rPr>
            </w:pPr>
          </w:p>
        </w:tc>
        <w:tc>
          <w:tcPr>
            <w:tcW w:w="120" w:type="dxa"/>
            <w:vAlign w:val="bottom"/>
            <w:tcBorders>
              <w:right w:val="single" w:sz="8" w:color="auto"/>
            </w:tcBorders>
            <w:shd w:val="clear" w:color="auto" w:fill="E5E7EF"/>
          </w:tcPr>
          <w:p>
            <w:pPr>
              <w:spacing w:after="0"/>
              <w:rPr>
                <w:sz w:val="13"/>
                <w:szCs w:val="13"/>
                <w:color w:val="auto"/>
              </w:rPr>
            </w:pPr>
          </w:p>
        </w:tc>
        <w:tc>
          <w:tcPr>
            <w:tcW w:w="886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7"/>
                <w:szCs w:val="17"/>
                <w:color w:val="auto"/>
              </w:rPr>
              <w:t>between holding shares as a registered stockholder and as a beneficial owner?” for information on how to</w:t>
            </w:r>
          </w:p>
        </w:tc>
        <w:tc>
          <w:tcPr>
            <w:tcW w:w="0" w:type="dxa"/>
            <w:vAlign w:val="bottom"/>
          </w:tcPr>
          <w:p>
            <w:pPr>
              <w:spacing w:after="0"/>
              <w:rPr>
                <w:sz w:val="1"/>
                <w:szCs w:val="1"/>
                <w:color w:val="auto"/>
              </w:rPr>
            </w:pPr>
          </w:p>
        </w:tc>
      </w:tr>
      <w:tr>
        <w:trPr>
          <w:trHeight w:val="204"/>
        </w:trPr>
        <w:tc>
          <w:tcPr>
            <w:tcW w:w="2280" w:type="dxa"/>
            <w:vAlign w:val="bottom"/>
            <w:tcBorders>
              <w:left w:val="single" w:sz="8" w:color="auto"/>
            </w:tcBorders>
            <w:shd w:val="clear" w:color="auto" w:fill="E5E7EF"/>
          </w:tcPr>
          <w:p>
            <w:pPr>
              <w:spacing w:after="0"/>
              <w:rPr>
                <w:sz w:val="17"/>
                <w:szCs w:val="17"/>
                <w:color w:val="auto"/>
              </w:rPr>
            </w:pPr>
          </w:p>
        </w:tc>
        <w:tc>
          <w:tcPr>
            <w:tcW w:w="120" w:type="dxa"/>
            <w:vAlign w:val="bottom"/>
            <w:tcBorders>
              <w:right w:val="single" w:sz="8" w:color="auto"/>
            </w:tcBorders>
            <w:shd w:val="clear" w:color="auto" w:fill="E5E7EF"/>
          </w:tcPr>
          <w:p>
            <w:pPr>
              <w:spacing w:after="0"/>
              <w:rPr>
                <w:sz w:val="17"/>
                <w:szCs w:val="17"/>
                <w:color w:val="auto"/>
              </w:rPr>
            </w:pPr>
          </w:p>
        </w:tc>
        <w:tc>
          <w:tcPr>
            <w:tcW w:w="88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determine whether you are a registered stockholder or a beneficial owner.</w:t>
            </w:r>
          </w:p>
        </w:tc>
        <w:tc>
          <w:tcPr>
            <w:tcW w:w="0" w:type="dxa"/>
            <w:vAlign w:val="bottom"/>
          </w:tcPr>
          <w:p>
            <w:pPr>
              <w:spacing w:after="0"/>
              <w:rPr>
                <w:sz w:val="1"/>
                <w:szCs w:val="1"/>
                <w:color w:val="auto"/>
              </w:rPr>
            </w:pPr>
          </w:p>
        </w:tc>
      </w:tr>
      <w:tr>
        <w:trPr>
          <w:trHeight w:val="199"/>
        </w:trPr>
        <w:tc>
          <w:tcPr>
            <w:tcW w:w="2280" w:type="dxa"/>
            <w:vAlign w:val="bottom"/>
            <w:tcBorders>
              <w:left w:val="single" w:sz="8" w:color="auto"/>
            </w:tcBorders>
            <w:shd w:val="clear" w:color="auto" w:fill="E5E7EF"/>
          </w:tcPr>
          <w:p>
            <w:pPr>
              <w:spacing w:after="0"/>
              <w:rPr>
                <w:sz w:val="17"/>
                <w:szCs w:val="17"/>
                <w:color w:val="auto"/>
              </w:rPr>
            </w:pPr>
          </w:p>
        </w:tc>
        <w:tc>
          <w:tcPr>
            <w:tcW w:w="120" w:type="dxa"/>
            <w:vAlign w:val="bottom"/>
            <w:tcBorders>
              <w:right w:val="single" w:sz="8" w:color="auto"/>
            </w:tcBorders>
            <w:shd w:val="clear" w:color="auto" w:fill="E5E7EF"/>
          </w:tcPr>
          <w:p>
            <w:pPr>
              <w:spacing w:after="0"/>
              <w:rPr>
                <w:sz w:val="17"/>
                <w:szCs w:val="17"/>
                <w:color w:val="auto"/>
              </w:rPr>
            </w:pPr>
          </w:p>
        </w:tc>
        <w:tc>
          <w:tcPr>
            <w:tcW w:w="88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The vast majority of beneficial owners will be able to participate using the control number received with their voting</w:t>
            </w: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tcBorders>
            <w:shd w:val="clear" w:color="auto" w:fill="E5E7EF"/>
          </w:tcPr>
          <w:p>
            <w:pPr>
              <w:spacing w:after="0"/>
              <w:rPr>
                <w:sz w:val="16"/>
                <w:szCs w:val="16"/>
                <w:color w:val="auto"/>
              </w:rPr>
            </w:pPr>
          </w:p>
        </w:tc>
        <w:tc>
          <w:tcPr>
            <w:tcW w:w="120" w:type="dxa"/>
            <w:vAlign w:val="bottom"/>
            <w:tcBorders>
              <w:right w:val="single" w:sz="8" w:color="auto"/>
            </w:tcBorders>
            <w:shd w:val="clear" w:color="auto" w:fill="E5E7EF"/>
          </w:tcPr>
          <w:p>
            <w:pPr>
              <w:spacing w:after="0"/>
              <w:rPr>
                <w:sz w:val="16"/>
                <w:szCs w:val="16"/>
                <w:color w:val="auto"/>
              </w:rPr>
            </w:pPr>
          </w:p>
        </w:tc>
        <w:tc>
          <w:tcPr>
            <w:tcW w:w="8860" w:type="dxa"/>
            <w:vAlign w:val="bottom"/>
            <w:tcBorders>
              <w:right w:val="single" w:sz="8" w:color="auto"/>
            </w:tcBorders>
          </w:tcPr>
          <w:p>
            <w:pPr>
              <w:ind w:left="80"/>
              <w:spacing w:after="0" w:line="188" w:lineRule="exact"/>
              <w:rPr>
                <w:sz w:val="20"/>
                <w:szCs w:val="20"/>
                <w:color w:val="auto"/>
              </w:rPr>
            </w:pPr>
            <w:r>
              <w:rPr>
                <w:rFonts w:ascii="Arial" w:cs="Arial" w:eastAsia="Arial" w:hAnsi="Arial"/>
                <w:sz w:val="17"/>
                <w:szCs w:val="17"/>
                <w:color w:val="auto"/>
              </w:rPr>
              <w:t>instruction form, but we recommend that beneficial owners confirm this ability with the broker, bank or other</w:t>
            </w: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tcBorders>
            <w:shd w:val="clear" w:color="auto" w:fill="E5E7EF"/>
          </w:tcPr>
          <w:p>
            <w:pPr>
              <w:spacing w:after="0"/>
              <w:rPr>
                <w:sz w:val="16"/>
                <w:szCs w:val="16"/>
                <w:color w:val="auto"/>
              </w:rPr>
            </w:pPr>
          </w:p>
        </w:tc>
        <w:tc>
          <w:tcPr>
            <w:tcW w:w="120" w:type="dxa"/>
            <w:vAlign w:val="bottom"/>
            <w:tcBorders>
              <w:right w:val="single" w:sz="8" w:color="auto"/>
            </w:tcBorders>
            <w:shd w:val="clear" w:color="auto" w:fill="E5E7EF"/>
          </w:tcPr>
          <w:p>
            <w:pPr>
              <w:spacing w:after="0"/>
              <w:rPr>
                <w:sz w:val="16"/>
                <w:szCs w:val="16"/>
                <w:color w:val="auto"/>
              </w:rPr>
            </w:pPr>
          </w:p>
        </w:tc>
        <w:tc>
          <w:tcPr>
            <w:tcW w:w="8860" w:type="dxa"/>
            <w:vAlign w:val="bottom"/>
            <w:tcBorders>
              <w:right w:val="single" w:sz="8" w:color="auto"/>
            </w:tcBorders>
          </w:tcPr>
          <w:p>
            <w:pPr>
              <w:ind w:left="80"/>
              <w:spacing w:after="0" w:line="188" w:lineRule="exact"/>
              <w:rPr>
                <w:sz w:val="20"/>
                <w:szCs w:val="20"/>
                <w:color w:val="auto"/>
              </w:rPr>
            </w:pPr>
            <w:r>
              <w:rPr>
                <w:rFonts w:ascii="Arial" w:cs="Arial" w:eastAsia="Arial" w:hAnsi="Arial"/>
                <w:sz w:val="17"/>
                <w:szCs w:val="17"/>
                <w:color w:val="auto"/>
              </w:rPr>
              <w:t>nominee through which they hold their shares. If your broker, bank or other nominee does not provide an ability to</w:t>
            </w: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tcBorders>
            <w:shd w:val="clear" w:color="auto" w:fill="E5E7EF"/>
          </w:tcPr>
          <w:p>
            <w:pPr>
              <w:spacing w:after="0"/>
              <w:rPr>
                <w:sz w:val="16"/>
                <w:szCs w:val="16"/>
                <w:color w:val="auto"/>
              </w:rPr>
            </w:pPr>
          </w:p>
        </w:tc>
        <w:tc>
          <w:tcPr>
            <w:tcW w:w="120" w:type="dxa"/>
            <w:vAlign w:val="bottom"/>
            <w:tcBorders>
              <w:right w:val="single" w:sz="8" w:color="auto"/>
            </w:tcBorders>
            <w:shd w:val="clear" w:color="auto" w:fill="E5E7EF"/>
          </w:tcPr>
          <w:p>
            <w:pPr>
              <w:spacing w:after="0"/>
              <w:rPr>
                <w:sz w:val="16"/>
                <w:szCs w:val="16"/>
                <w:color w:val="auto"/>
              </w:rPr>
            </w:pPr>
          </w:p>
        </w:tc>
        <w:tc>
          <w:tcPr>
            <w:tcW w:w="8860" w:type="dxa"/>
            <w:vAlign w:val="bottom"/>
            <w:tcBorders>
              <w:right w:val="single" w:sz="8" w:color="auto"/>
            </w:tcBorders>
          </w:tcPr>
          <w:p>
            <w:pPr>
              <w:ind w:left="80"/>
              <w:spacing w:after="0" w:line="188" w:lineRule="exact"/>
              <w:rPr>
                <w:sz w:val="20"/>
                <w:szCs w:val="20"/>
                <w:color w:val="auto"/>
              </w:rPr>
            </w:pPr>
            <w:r>
              <w:rPr>
                <w:rFonts w:ascii="Arial" w:cs="Arial" w:eastAsia="Arial" w:hAnsi="Arial"/>
                <w:sz w:val="17"/>
                <w:szCs w:val="17"/>
                <w:color w:val="auto"/>
              </w:rPr>
              <w:t>access the virtual Annual Meeting, then you will be required to request a legal proxy from them to participate in the</w:t>
            </w: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tcBorders>
            <w:shd w:val="clear" w:color="auto" w:fill="E5E7EF"/>
          </w:tcPr>
          <w:p>
            <w:pPr>
              <w:spacing w:after="0"/>
              <w:rPr>
                <w:sz w:val="16"/>
                <w:szCs w:val="16"/>
                <w:color w:val="auto"/>
              </w:rPr>
            </w:pPr>
          </w:p>
        </w:tc>
        <w:tc>
          <w:tcPr>
            <w:tcW w:w="120" w:type="dxa"/>
            <w:vAlign w:val="bottom"/>
            <w:tcBorders>
              <w:right w:val="single" w:sz="8" w:color="auto"/>
            </w:tcBorders>
            <w:shd w:val="clear" w:color="auto" w:fill="E5E7EF"/>
          </w:tcPr>
          <w:p>
            <w:pPr>
              <w:spacing w:after="0"/>
              <w:rPr>
                <w:sz w:val="16"/>
                <w:szCs w:val="16"/>
                <w:color w:val="auto"/>
              </w:rPr>
            </w:pPr>
          </w:p>
        </w:tc>
        <w:tc>
          <w:tcPr>
            <w:tcW w:w="8860" w:type="dxa"/>
            <w:vAlign w:val="bottom"/>
            <w:tcBorders>
              <w:right w:val="single" w:sz="8" w:color="auto"/>
            </w:tcBorders>
          </w:tcPr>
          <w:p>
            <w:pPr>
              <w:ind w:left="80"/>
              <w:spacing w:after="0" w:line="188" w:lineRule="exact"/>
              <w:rPr>
                <w:sz w:val="20"/>
                <w:szCs w:val="20"/>
                <w:color w:val="auto"/>
              </w:rPr>
            </w:pPr>
            <w:r>
              <w:rPr>
                <w:rFonts w:ascii="Arial" w:cs="Arial" w:eastAsia="Arial" w:hAnsi="Arial"/>
                <w:sz w:val="17"/>
                <w:szCs w:val="17"/>
                <w:color w:val="auto"/>
              </w:rPr>
              <w:t>virtual Annual Meeting. See “How can I vote during the Annual Meeting” for information on how to request a legal</w:t>
            </w:r>
          </w:p>
        </w:tc>
        <w:tc>
          <w:tcPr>
            <w:tcW w:w="0" w:type="dxa"/>
            <w:vAlign w:val="bottom"/>
          </w:tcPr>
          <w:p>
            <w:pPr>
              <w:spacing w:after="0"/>
              <w:rPr>
                <w:sz w:val="1"/>
                <w:szCs w:val="1"/>
                <w:color w:val="auto"/>
              </w:rPr>
            </w:pPr>
          </w:p>
        </w:tc>
      </w:tr>
      <w:tr>
        <w:trPr>
          <w:trHeight w:val="204"/>
        </w:trPr>
        <w:tc>
          <w:tcPr>
            <w:tcW w:w="2280" w:type="dxa"/>
            <w:vAlign w:val="bottom"/>
            <w:tcBorders>
              <w:left w:val="single" w:sz="8" w:color="auto"/>
            </w:tcBorders>
            <w:shd w:val="clear" w:color="auto" w:fill="E5E7EF"/>
          </w:tcPr>
          <w:p>
            <w:pPr>
              <w:spacing w:after="0"/>
              <w:rPr>
                <w:sz w:val="17"/>
                <w:szCs w:val="17"/>
                <w:color w:val="auto"/>
              </w:rPr>
            </w:pPr>
          </w:p>
        </w:tc>
        <w:tc>
          <w:tcPr>
            <w:tcW w:w="120" w:type="dxa"/>
            <w:vAlign w:val="bottom"/>
            <w:tcBorders>
              <w:right w:val="single" w:sz="8" w:color="auto"/>
            </w:tcBorders>
            <w:shd w:val="clear" w:color="auto" w:fill="E5E7EF"/>
          </w:tcPr>
          <w:p>
            <w:pPr>
              <w:spacing w:after="0"/>
              <w:rPr>
                <w:sz w:val="17"/>
                <w:szCs w:val="17"/>
                <w:color w:val="auto"/>
              </w:rPr>
            </w:pPr>
          </w:p>
        </w:tc>
        <w:tc>
          <w:tcPr>
            <w:tcW w:w="88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proxy.</w:t>
            </w:r>
          </w:p>
        </w:tc>
        <w:tc>
          <w:tcPr>
            <w:tcW w:w="0" w:type="dxa"/>
            <w:vAlign w:val="bottom"/>
          </w:tcPr>
          <w:p>
            <w:pPr>
              <w:spacing w:after="0"/>
              <w:rPr>
                <w:sz w:val="1"/>
                <w:szCs w:val="1"/>
                <w:color w:val="auto"/>
              </w:rPr>
            </w:pPr>
          </w:p>
        </w:tc>
      </w:tr>
      <w:tr>
        <w:trPr>
          <w:trHeight w:val="213"/>
        </w:trPr>
        <w:tc>
          <w:tcPr>
            <w:tcW w:w="2280" w:type="dxa"/>
            <w:vAlign w:val="bottom"/>
            <w:tcBorders>
              <w:left w:val="single" w:sz="8" w:color="auto"/>
            </w:tcBorders>
            <w:shd w:val="clear" w:color="auto" w:fill="E5E7EF"/>
          </w:tcPr>
          <w:p>
            <w:pPr>
              <w:spacing w:after="0"/>
              <w:rPr>
                <w:sz w:val="18"/>
                <w:szCs w:val="18"/>
                <w:color w:val="auto"/>
              </w:rPr>
            </w:pPr>
          </w:p>
        </w:tc>
        <w:tc>
          <w:tcPr>
            <w:tcW w:w="120" w:type="dxa"/>
            <w:vAlign w:val="bottom"/>
            <w:tcBorders>
              <w:right w:val="single" w:sz="8" w:color="auto"/>
            </w:tcBorders>
            <w:shd w:val="clear" w:color="auto" w:fill="E5E7EF"/>
          </w:tcPr>
          <w:p>
            <w:pPr>
              <w:spacing w:after="0"/>
              <w:rPr>
                <w:sz w:val="18"/>
                <w:szCs w:val="18"/>
                <w:color w:val="auto"/>
              </w:rPr>
            </w:pPr>
          </w:p>
        </w:tc>
        <w:tc>
          <w:tcPr>
            <w:tcW w:w="88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Stockholders who hold shares through a Lockheed Martin benefit plan who join the Annual Meeting by using the</w:t>
            </w: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tcBorders>
            <w:shd w:val="clear" w:color="auto" w:fill="E5E7EF"/>
          </w:tcPr>
          <w:p>
            <w:pPr>
              <w:spacing w:after="0"/>
              <w:rPr>
                <w:sz w:val="16"/>
                <w:szCs w:val="16"/>
                <w:color w:val="auto"/>
              </w:rPr>
            </w:pPr>
          </w:p>
        </w:tc>
        <w:tc>
          <w:tcPr>
            <w:tcW w:w="120" w:type="dxa"/>
            <w:vAlign w:val="bottom"/>
            <w:tcBorders>
              <w:right w:val="single" w:sz="8" w:color="auto"/>
            </w:tcBorders>
            <w:shd w:val="clear" w:color="auto" w:fill="E5E7EF"/>
          </w:tcPr>
          <w:p>
            <w:pPr>
              <w:spacing w:after="0"/>
              <w:rPr>
                <w:sz w:val="16"/>
                <w:szCs w:val="16"/>
                <w:color w:val="auto"/>
              </w:rPr>
            </w:pPr>
          </w:p>
        </w:tc>
        <w:tc>
          <w:tcPr>
            <w:tcW w:w="8860" w:type="dxa"/>
            <w:vAlign w:val="bottom"/>
            <w:tcBorders>
              <w:right w:val="single" w:sz="8" w:color="auto"/>
            </w:tcBorders>
          </w:tcPr>
          <w:p>
            <w:pPr>
              <w:ind w:left="80"/>
              <w:spacing w:after="0" w:line="188" w:lineRule="exact"/>
              <w:rPr>
                <w:sz w:val="20"/>
                <w:szCs w:val="20"/>
                <w:color w:val="auto"/>
              </w:rPr>
            </w:pPr>
            <w:r>
              <w:rPr>
                <w:rFonts w:ascii="Arial" w:cs="Arial" w:eastAsia="Arial" w:hAnsi="Arial"/>
                <w:sz w:val="17"/>
                <w:szCs w:val="17"/>
                <w:color w:val="auto"/>
              </w:rPr>
              <w:t>control number received on their voting instruction form will be able to ask questions but not vote during the</w:t>
            </w:r>
          </w:p>
        </w:tc>
        <w:tc>
          <w:tcPr>
            <w:tcW w:w="0" w:type="dxa"/>
            <w:vAlign w:val="bottom"/>
          </w:tcPr>
          <w:p>
            <w:pPr>
              <w:spacing w:after="0"/>
              <w:rPr>
                <w:sz w:val="1"/>
                <w:szCs w:val="1"/>
                <w:color w:val="auto"/>
              </w:rPr>
            </w:pPr>
          </w:p>
        </w:tc>
      </w:tr>
      <w:tr>
        <w:trPr>
          <w:trHeight w:val="204"/>
        </w:trPr>
        <w:tc>
          <w:tcPr>
            <w:tcW w:w="2280" w:type="dxa"/>
            <w:vAlign w:val="bottom"/>
            <w:tcBorders>
              <w:left w:val="single" w:sz="8" w:color="auto"/>
            </w:tcBorders>
            <w:shd w:val="clear" w:color="auto" w:fill="E5E7EF"/>
          </w:tcPr>
          <w:p>
            <w:pPr>
              <w:spacing w:after="0"/>
              <w:rPr>
                <w:sz w:val="17"/>
                <w:szCs w:val="17"/>
                <w:color w:val="auto"/>
              </w:rPr>
            </w:pPr>
          </w:p>
        </w:tc>
        <w:tc>
          <w:tcPr>
            <w:tcW w:w="120" w:type="dxa"/>
            <w:vAlign w:val="bottom"/>
            <w:tcBorders>
              <w:right w:val="single" w:sz="8" w:color="auto"/>
            </w:tcBorders>
            <w:shd w:val="clear" w:color="auto" w:fill="E5E7EF"/>
          </w:tcPr>
          <w:p>
            <w:pPr>
              <w:spacing w:after="0"/>
              <w:rPr>
                <w:sz w:val="17"/>
                <w:szCs w:val="17"/>
                <w:color w:val="auto"/>
              </w:rPr>
            </w:pPr>
          </w:p>
        </w:tc>
        <w:tc>
          <w:tcPr>
            <w:tcW w:w="88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meeting.</w:t>
            </w:r>
          </w:p>
        </w:tc>
        <w:tc>
          <w:tcPr>
            <w:tcW w:w="0" w:type="dxa"/>
            <w:vAlign w:val="bottom"/>
          </w:tcPr>
          <w:p>
            <w:pPr>
              <w:spacing w:after="0"/>
              <w:rPr>
                <w:sz w:val="1"/>
                <w:szCs w:val="1"/>
                <w:color w:val="auto"/>
              </w:rPr>
            </w:pPr>
          </w:p>
        </w:tc>
      </w:tr>
      <w:tr>
        <w:trPr>
          <w:trHeight w:val="213"/>
        </w:trPr>
        <w:tc>
          <w:tcPr>
            <w:tcW w:w="2280" w:type="dxa"/>
            <w:vAlign w:val="bottom"/>
            <w:tcBorders>
              <w:left w:val="single" w:sz="8" w:color="auto"/>
            </w:tcBorders>
            <w:shd w:val="clear" w:color="auto" w:fill="E5E7EF"/>
          </w:tcPr>
          <w:p>
            <w:pPr>
              <w:spacing w:after="0"/>
              <w:rPr>
                <w:sz w:val="18"/>
                <w:szCs w:val="18"/>
                <w:color w:val="auto"/>
              </w:rPr>
            </w:pPr>
          </w:p>
        </w:tc>
        <w:tc>
          <w:tcPr>
            <w:tcW w:w="120" w:type="dxa"/>
            <w:vAlign w:val="bottom"/>
            <w:tcBorders>
              <w:right w:val="single" w:sz="8" w:color="auto"/>
            </w:tcBorders>
            <w:shd w:val="clear" w:color="auto" w:fill="E5E7EF"/>
          </w:tcPr>
          <w:p>
            <w:pPr>
              <w:spacing w:after="0"/>
              <w:rPr>
                <w:sz w:val="18"/>
                <w:szCs w:val="18"/>
                <w:color w:val="auto"/>
              </w:rPr>
            </w:pPr>
          </w:p>
        </w:tc>
        <w:tc>
          <w:tcPr>
            <w:tcW w:w="88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If you do not have a control number, you may participate in the Annual Meeting as a guest but will not have the</w:t>
            </w:r>
          </w:p>
        </w:tc>
        <w:tc>
          <w:tcPr>
            <w:tcW w:w="0" w:type="dxa"/>
            <w:vAlign w:val="bottom"/>
          </w:tcPr>
          <w:p>
            <w:pPr>
              <w:spacing w:after="0"/>
              <w:rPr>
                <w:sz w:val="1"/>
                <w:szCs w:val="1"/>
                <w:color w:val="auto"/>
              </w:rPr>
            </w:pPr>
          </w:p>
        </w:tc>
      </w:tr>
      <w:tr>
        <w:trPr>
          <w:trHeight w:val="204"/>
        </w:trPr>
        <w:tc>
          <w:tcPr>
            <w:tcW w:w="2280" w:type="dxa"/>
            <w:vAlign w:val="bottom"/>
            <w:tcBorders>
              <w:left w:val="single" w:sz="8" w:color="auto"/>
            </w:tcBorders>
            <w:shd w:val="clear" w:color="auto" w:fill="E5E7EF"/>
          </w:tcPr>
          <w:p>
            <w:pPr>
              <w:spacing w:after="0"/>
              <w:rPr>
                <w:sz w:val="17"/>
                <w:szCs w:val="17"/>
                <w:color w:val="auto"/>
              </w:rPr>
            </w:pPr>
          </w:p>
        </w:tc>
        <w:tc>
          <w:tcPr>
            <w:tcW w:w="120" w:type="dxa"/>
            <w:vAlign w:val="bottom"/>
            <w:tcBorders>
              <w:right w:val="single" w:sz="8" w:color="auto"/>
            </w:tcBorders>
            <w:shd w:val="clear" w:color="auto" w:fill="E5E7EF"/>
          </w:tcPr>
          <w:p>
            <w:pPr>
              <w:spacing w:after="0"/>
              <w:rPr>
                <w:sz w:val="17"/>
                <w:szCs w:val="17"/>
                <w:color w:val="auto"/>
              </w:rPr>
            </w:pPr>
          </w:p>
        </w:tc>
        <w:tc>
          <w:tcPr>
            <w:tcW w:w="88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option to vote or ask questions during the meeting.</w:t>
            </w:r>
          </w:p>
        </w:tc>
        <w:tc>
          <w:tcPr>
            <w:tcW w:w="0" w:type="dxa"/>
            <w:vAlign w:val="bottom"/>
          </w:tcPr>
          <w:p>
            <w:pPr>
              <w:spacing w:after="0"/>
              <w:rPr>
                <w:sz w:val="1"/>
                <w:szCs w:val="1"/>
                <w:color w:val="auto"/>
              </w:rPr>
            </w:pPr>
          </w:p>
        </w:tc>
      </w:tr>
      <w:tr>
        <w:trPr>
          <w:trHeight w:val="199"/>
        </w:trPr>
        <w:tc>
          <w:tcPr>
            <w:tcW w:w="2280" w:type="dxa"/>
            <w:vAlign w:val="bottom"/>
            <w:tcBorders>
              <w:left w:val="single" w:sz="8" w:color="auto"/>
            </w:tcBorders>
            <w:shd w:val="clear" w:color="auto" w:fill="E5E7EF"/>
          </w:tcPr>
          <w:p>
            <w:pPr>
              <w:spacing w:after="0"/>
              <w:rPr>
                <w:sz w:val="17"/>
                <w:szCs w:val="17"/>
                <w:color w:val="auto"/>
              </w:rPr>
            </w:pPr>
          </w:p>
        </w:tc>
        <w:tc>
          <w:tcPr>
            <w:tcW w:w="120" w:type="dxa"/>
            <w:vAlign w:val="bottom"/>
            <w:tcBorders>
              <w:right w:val="single" w:sz="8" w:color="auto"/>
            </w:tcBorders>
            <w:shd w:val="clear" w:color="auto" w:fill="E5E7EF"/>
          </w:tcPr>
          <w:p>
            <w:pPr>
              <w:spacing w:after="0"/>
              <w:rPr>
                <w:sz w:val="17"/>
                <w:szCs w:val="17"/>
                <w:color w:val="auto"/>
              </w:rPr>
            </w:pPr>
          </w:p>
        </w:tc>
        <w:tc>
          <w:tcPr>
            <w:tcW w:w="88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The Annual Meeting will begin promptly at 9:00 a.m. EDT, on April 21, 2022. You may begin to log into the meeting</w:t>
            </w: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tcBorders>
            <w:shd w:val="clear" w:color="auto" w:fill="E5E7EF"/>
          </w:tcPr>
          <w:p>
            <w:pPr>
              <w:spacing w:after="0"/>
              <w:rPr>
                <w:sz w:val="16"/>
                <w:szCs w:val="16"/>
                <w:color w:val="auto"/>
              </w:rPr>
            </w:pPr>
          </w:p>
        </w:tc>
        <w:tc>
          <w:tcPr>
            <w:tcW w:w="120" w:type="dxa"/>
            <w:vAlign w:val="bottom"/>
            <w:tcBorders>
              <w:right w:val="single" w:sz="8" w:color="auto"/>
            </w:tcBorders>
            <w:shd w:val="clear" w:color="auto" w:fill="E5E7EF"/>
          </w:tcPr>
          <w:p>
            <w:pPr>
              <w:spacing w:after="0"/>
              <w:rPr>
                <w:sz w:val="16"/>
                <w:szCs w:val="16"/>
                <w:color w:val="auto"/>
              </w:rPr>
            </w:pPr>
          </w:p>
        </w:tc>
        <w:tc>
          <w:tcPr>
            <w:tcW w:w="8860" w:type="dxa"/>
            <w:vAlign w:val="bottom"/>
            <w:tcBorders>
              <w:right w:val="single" w:sz="8" w:color="auto"/>
            </w:tcBorders>
          </w:tcPr>
          <w:p>
            <w:pPr>
              <w:ind w:left="80"/>
              <w:spacing w:after="0" w:line="188" w:lineRule="exact"/>
              <w:rPr>
                <w:sz w:val="20"/>
                <w:szCs w:val="20"/>
                <w:color w:val="auto"/>
              </w:rPr>
            </w:pPr>
            <w:r>
              <w:rPr>
                <w:rFonts w:ascii="Arial" w:cs="Arial" w:eastAsia="Arial" w:hAnsi="Arial"/>
                <w:sz w:val="17"/>
                <w:szCs w:val="17"/>
                <w:color w:val="auto"/>
              </w:rPr>
              <w:t>platform approximately 30 minutes before the start and test your computer audio system. We encourage</w:t>
            </w:r>
          </w:p>
        </w:tc>
        <w:tc>
          <w:tcPr>
            <w:tcW w:w="0" w:type="dxa"/>
            <w:vAlign w:val="bottom"/>
          </w:tcPr>
          <w:p>
            <w:pPr>
              <w:spacing w:after="0"/>
              <w:rPr>
                <w:sz w:val="1"/>
                <w:szCs w:val="1"/>
                <w:color w:val="auto"/>
              </w:rPr>
            </w:pPr>
          </w:p>
        </w:tc>
      </w:tr>
      <w:tr>
        <w:trPr>
          <w:trHeight w:val="204"/>
        </w:trPr>
        <w:tc>
          <w:tcPr>
            <w:tcW w:w="2280" w:type="dxa"/>
            <w:vAlign w:val="bottom"/>
            <w:tcBorders>
              <w:left w:val="single" w:sz="8" w:color="auto"/>
            </w:tcBorders>
            <w:shd w:val="clear" w:color="auto" w:fill="E5E7EF"/>
          </w:tcPr>
          <w:p>
            <w:pPr>
              <w:spacing w:after="0"/>
              <w:rPr>
                <w:sz w:val="17"/>
                <w:szCs w:val="17"/>
                <w:color w:val="auto"/>
              </w:rPr>
            </w:pPr>
          </w:p>
        </w:tc>
        <w:tc>
          <w:tcPr>
            <w:tcW w:w="120" w:type="dxa"/>
            <w:vAlign w:val="bottom"/>
            <w:tcBorders>
              <w:right w:val="single" w:sz="8" w:color="auto"/>
            </w:tcBorders>
            <w:shd w:val="clear" w:color="auto" w:fill="E5E7EF"/>
          </w:tcPr>
          <w:p>
            <w:pPr>
              <w:spacing w:after="0"/>
              <w:rPr>
                <w:sz w:val="17"/>
                <w:szCs w:val="17"/>
                <w:color w:val="auto"/>
              </w:rPr>
            </w:pPr>
          </w:p>
        </w:tc>
        <w:tc>
          <w:tcPr>
            <w:tcW w:w="88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stockholders to access the meeting prior to the start time.</w:t>
            </w:r>
          </w:p>
        </w:tc>
        <w:tc>
          <w:tcPr>
            <w:tcW w:w="0" w:type="dxa"/>
            <w:vAlign w:val="bottom"/>
          </w:tcPr>
          <w:p>
            <w:pPr>
              <w:spacing w:after="0"/>
              <w:rPr>
                <w:sz w:val="1"/>
                <w:szCs w:val="1"/>
                <w:color w:val="auto"/>
              </w:rPr>
            </w:pPr>
          </w:p>
        </w:tc>
      </w:tr>
      <w:tr>
        <w:trPr>
          <w:trHeight w:val="71"/>
        </w:trPr>
        <w:tc>
          <w:tcPr>
            <w:tcW w:w="2280" w:type="dxa"/>
            <w:vAlign w:val="bottom"/>
            <w:tcBorders>
              <w:left w:val="single" w:sz="8" w:color="auto"/>
              <w:bottom w:val="single" w:sz="8" w:color="auto"/>
            </w:tcBorders>
            <w:shd w:val="clear" w:color="auto" w:fill="E5E7EF"/>
          </w:tcPr>
          <w:p>
            <w:pPr>
              <w:spacing w:after="0"/>
              <w:rPr>
                <w:sz w:val="6"/>
                <w:szCs w:val="6"/>
                <w:color w:val="auto"/>
              </w:rPr>
            </w:pPr>
          </w:p>
        </w:tc>
        <w:tc>
          <w:tcPr>
            <w:tcW w:w="120" w:type="dxa"/>
            <w:vAlign w:val="bottom"/>
            <w:tcBorders>
              <w:bottom w:val="single" w:sz="8" w:color="auto"/>
              <w:right w:val="single" w:sz="8" w:color="auto"/>
            </w:tcBorders>
            <w:shd w:val="clear" w:color="auto" w:fill="E5E7EF"/>
          </w:tcPr>
          <w:p>
            <w:pPr>
              <w:spacing w:after="0"/>
              <w:rPr>
                <w:sz w:val="6"/>
                <w:szCs w:val="6"/>
                <w:color w:val="auto"/>
              </w:rPr>
            </w:pPr>
          </w:p>
        </w:tc>
        <w:tc>
          <w:tcPr>
            <w:tcW w:w="88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80" w:type="dxa"/>
            <w:vAlign w:val="bottom"/>
            <w:tcBorders>
              <w:left w:val="single" w:sz="8" w:color="auto"/>
            </w:tcBorders>
            <w:shd w:val="clear" w:color="auto" w:fill="E5E7EF"/>
          </w:tcPr>
          <w:p>
            <w:pPr>
              <w:ind w:left="40"/>
              <w:spacing w:after="0"/>
              <w:rPr>
                <w:sz w:val="20"/>
                <w:szCs w:val="20"/>
                <w:color w:val="auto"/>
              </w:rPr>
            </w:pPr>
            <w:r>
              <w:rPr>
                <w:rFonts w:ascii="Arial" w:cs="Arial" w:eastAsia="Arial" w:hAnsi="Arial"/>
                <w:sz w:val="20"/>
                <w:szCs w:val="20"/>
                <w:color w:val="003478"/>
              </w:rPr>
              <w:t>How do I submit a</w:t>
            </w:r>
          </w:p>
        </w:tc>
        <w:tc>
          <w:tcPr>
            <w:tcW w:w="120" w:type="dxa"/>
            <w:vAlign w:val="bottom"/>
            <w:tcBorders>
              <w:right w:val="single" w:sz="8" w:color="auto"/>
            </w:tcBorders>
            <w:shd w:val="clear" w:color="auto" w:fill="E5E7EF"/>
          </w:tcPr>
          <w:p>
            <w:pPr>
              <w:spacing w:after="0"/>
              <w:rPr>
                <w:sz w:val="21"/>
                <w:szCs w:val="21"/>
                <w:color w:val="auto"/>
              </w:rPr>
            </w:pPr>
          </w:p>
        </w:tc>
        <w:tc>
          <w:tcPr>
            <w:tcW w:w="88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Stockholders accessing the meeting using a control number provided on their proxy card or voting instruction form</w:t>
            </w:r>
          </w:p>
        </w:tc>
        <w:tc>
          <w:tcPr>
            <w:tcW w:w="0" w:type="dxa"/>
            <w:vAlign w:val="bottom"/>
          </w:tcPr>
          <w:p>
            <w:pPr>
              <w:spacing w:after="0"/>
              <w:rPr>
                <w:sz w:val="1"/>
                <w:szCs w:val="1"/>
                <w:color w:val="auto"/>
              </w:rPr>
            </w:pPr>
          </w:p>
        </w:tc>
      </w:tr>
      <w:tr>
        <w:trPr>
          <w:trHeight w:val="221"/>
        </w:trPr>
        <w:tc>
          <w:tcPr>
            <w:tcW w:w="2280" w:type="dxa"/>
            <w:vAlign w:val="bottom"/>
            <w:tcBorders>
              <w:left w:val="single" w:sz="8" w:color="auto"/>
            </w:tcBorders>
            <w:shd w:val="clear" w:color="auto" w:fill="E5E7EF"/>
          </w:tcPr>
          <w:p>
            <w:pPr>
              <w:ind w:left="40"/>
              <w:spacing w:after="0" w:line="221" w:lineRule="exact"/>
              <w:rPr>
                <w:sz w:val="20"/>
                <w:szCs w:val="20"/>
                <w:color w:val="auto"/>
              </w:rPr>
            </w:pPr>
            <w:r>
              <w:rPr>
                <w:rFonts w:ascii="Arial" w:cs="Arial" w:eastAsia="Arial" w:hAnsi="Arial"/>
                <w:sz w:val="20"/>
                <w:szCs w:val="20"/>
                <w:color w:val="003478"/>
              </w:rPr>
              <w:t>question at the virtual</w:t>
            </w:r>
          </w:p>
        </w:tc>
        <w:tc>
          <w:tcPr>
            <w:tcW w:w="120" w:type="dxa"/>
            <w:vAlign w:val="bottom"/>
            <w:tcBorders>
              <w:right w:val="single" w:sz="8" w:color="auto"/>
            </w:tcBorders>
            <w:shd w:val="clear" w:color="auto" w:fill="E5E7EF"/>
          </w:tcPr>
          <w:p>
            <w:pPr>
              <w:spacing w:after="0"/>
              <w:rPr>
                <w:sz w:val="19"/>
                <w:szCs w:val="19"/>
                <w:color w:val="auto"/>
              </w:rPr>
            </w:pPr>
          </w:p>
        </w:tc>
        <w:tc>
          <w:tcPr>
            <w:tcW w:w="88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will be able to submit questions. Once past the login screen, click on the “Q&amp;A” icon on the screen to submit your</w:t>
            </w:r>
          </w:p>
        </w:tc>
        <w:tc>
          <w:tcPr>
            <w:tcW w:w="0" w:type="dxa"/>
            <w:vAlign w:val="bottom"/>
          </w:tcPr>
          <w:p>
            <w:pPr>
              <w:spacing w:after="0"/>
              <w:rPr>
                <w:sz w:val="1"/>
                <w:szCs w:val="1"/>
                <w:color w:val="auto"/>
              </w:rPr>
            </w:pPr>
          </w:p>
        </w:tc>
      </w:tr>
      <w:tr>
        <w:trPr>
          <w:trHeight w:val="155"/>
        </w:trPr>
        <w:tc>
          <w:tcPr>
            <w:tcW w:w="2280" w:type="dxa"/>
            <w:vAlign w:val="bottom"/>
            <w:tcBorders>
              <w:left w:val="single" w:sz="8" w:color="auto"/>
            </w:tcBorders>
            <w:vMerge w:val="restart"/>
            <w:shd w:val="clear" w:color="auto" w:fill="E5E7EF"/>
          </w:tcPr>
          <w:p>
            <w:pPr>
              <w:ind w:left="40"/>
              <w:spacing w:after="0"/>
              <w:rPr>
                <w:sz w:val="20"/>
                <w:szCs w:val="20"/>
                <w:color w:val="auto"/>
              </w:rPr>
            </w:pPr>
            <w:r>
              <w:rPr>
                <w:rFonts w:ascii="Arial" w:cs="Arial" w:eastAsia="Arial" w:hAnsi="Arial"/>
                <w:sz w:val="20"/>
                <w:szCs w:val="20"/>
                <w:color w:val="003478"/>
              </w:rPr>
              <w:t>Annual Meeting?</w:t>
            </w:r>
          </w:p>
        </w:tc>
        <w:tc>
          <w:tcPr>
            <w:tcW w:w="120" w:type="dxa"/>
            <w:vAlign w:val="bottom"/>
            <w:tcBorders>
              <w:right w:val="single" w:sz="8" w:color="auto"/>
            </w:tcBorders>
            <w:shd w:val="clear" w:color="auto" w:fill="E5E7EF"/>
          </w:tcPr>
          <w:p>
            <w:pPr>
              <w:spacing w:after="0"/>
              <w:rPr>
                <w:sz w:val="13"/>
                <w:szCs w:val="13"/>
                <w:color w:val="auto"/>
              </w:rPr>
            </w:pPr>
          </w:p>
        </w:tc>
        <w:tc>
          <w:tcPr>
            <w:tcW w:w="8860" w:type="dxa"/>
            <w:vAlign w:val="bottom"/>
            <w:tcBorders>
              <w:right w:val="single" w:sz="8" w:color="auto"/>
            </w:tcBorders>
          </w:tcPr>
          <w:p>
            <w:pPr>
              <w:ind w:left="80"/>
              <w:spacing w:after="0" w:line="155" w:lineRule="exact"/>
              <w:rPr>
                <w:sz w:val="20"/>
                <w:szCs w:val="20"/>
                <w:color w:val="auto"/>
              </w:rPr>
            </w:pPr>
            <w:r>
              <w:rPr>
                <w:rFonts w:ascii="Arial" w:cs="Arial" w:eastAsia="Arial" w:hAnsi="Arial"/>
                <w:sz w:val="17"/>
                <w:szCs w:val="17"/>
                <w:color w:val="auto"/>
              </w:rPr>
              <w:t>question. We will hold a general discussion session at the conclusion of the meeting during which we intend to</w:t>
            </w:r>
          </w:p>
        </w:tc>
        <w:tc>
          <w:tcPr>
            <w:tcW w:w="0" w:type="dxa"/>
            <w:vAlign w:val="bottom"/>
          </w:tcPr>
          <w:p>
            <w:pPr>
              <w:spacing w:after="0"/>
              <w:rPr>
                <w:sz w:val="1"/>
                <w:szCs w:val="1"/>
                <w:color w:val="auto"/>
              </w:rPr>
            </w:pPr>
          </w:p>
        </w:tc>
      </w:tr>
      <w:tr>
        <w:trPr>
          <w:trHeight w:val="131"/>
        </w:trPr>
        <w:tc>
          <w:tcPr>
            <w:tcW w:w="2280" w:type="dxa"/>
            <w:vAlign w:val="bottom"/>
            <w:tcBorders>
              <w:left w:val="single" w:sz="8" w:color="auto"/>
            </w:tcBorders>
            <w:vMerge w:val="continue"/>
            <w:shd w:val="clear" w:color="auto" w:fill="E5E7EF"/>
          </w:tcPr>
          <w:p>
            <w:pPr>
              <w:spacing w:after="0"/>
              <w:rPr>
                <w:sz w:val="11"/>
                <w:szCs w:val="11"/>
                <w:color w:val="auto"/>
              </w:rPr>
            </w:pPr>
          </w:p>
        </w:tc>
        <w:tc>
          <w:tcPr>
            <w:tcW w:w="120" w:type="dxa"/>
            <w:vAlign w:val="bottom"/>
            <w:tcBorders>
              <w:right w:val="single" w:sz="8" w:color="auto"/>
            </w:tcBorders>
            <w:shd w:val="clear" w:color="auto" w:fill="E5E7EF"/>
          </w:tcPr>
          <w:p>
            <w:pPr>
              <w:spacing w:after="0"/>
              <w:rPr>
                <w:sz w:val="11"/>
                <w:szCs w:val="11"/>
                <w:color w:val="auto"/>
              </w:rPr>
            </w:pPr>
          </w:p>
        </w:tc>
        <w:tc>
          <w:tcPr>
            <w:tcW w:w="8860" w:type="dxa"/>
            <w:vAlign w:val="bottom"/>
            <w:tcBorders>
              <w:right w:val="single" w:sz="8" w:color="auto"/>
            </w:tcBorders>
            <w:vMerge w:val="restart"/>
          </w:tcPr>
          <w:p>
            <w:pPr>
              <w:ind w:left="80"/>
              <w:spacing w:after="0"/>
              <w:rPr>
                <w:sz w:val="20"/>
                <w:szCs w:val="20"/>
                <w:color w:val="auto"/>
              </w:rPr>
            </w:pPr>
            <w:r>
              <w:rPr>
                <w:rFonts w:ascii="Arial" w:cs="Arial" w:eastAsia="Arial" w:hAnsi="Arial"/>
                <w:sz w:val="17"/>
                <w:szCs w:val="17"/>
                <w:color w:val="auto"/>
              </w:rPr>
              <w:t>answer pertinent questions submitted during the meeting, as time permits.</w:t>
            </w:r>
          </w:p>
        </w:tc>
        <w:tc>
          <w:tcPr>
            <w:tcW w:w="0" w:type="dxa"/>
            <w:vAlign w:val="bottom"/>
          </w:tcPr>
          <w:p>
            <w:pPr>
              <w:spacing w:after="0"/>
              <w:rPr>
                <w:sz w:val="1"/>
                <w:szCs w:val="1"/>
                <w:color w:val="auto"/>
              </w:rPr>
            </w:pPr>
          </w:p>
        </w:tc>
      </w:tr>
      <w:tr>
        <w:trPr>
          <w:trHeight w:val="73"/>
        </w:trPr>
        <w:tc>
          <w:tcPr>
            <w:tcW w:w="2280" w:type="dxa"/>
            <w:vAlign w:val="bottom"/>
            <w:tcBorders>
              <w:left w:val="single" w:sz="8" w:color="auto"/>
            </w:tcBorders>
            <w:shd w:val="clear" w:color="auto" w:fill="E5E7EF"/>
          </w:tcPr>
          <w:p>
            <w:pPr>
              <w:spacing w:after="0"/>
              <w:rPr>
                <w:sz w:val="6"/>
                <w:szCs w:val="6"/>
                <w:color w:val="auto"/>
              </w:rPr>
            </w:pPr>
          </w:p>
        </w:tc>
        <w:tc>
          <w:tcPr>
            <w:tcW w:w="120" w:type="dxa"/>
            <w:vAlign w:val="bottom"/>
            <w:tcBorders>
              <w:right w:val="single" w:sz="8" w:color="auto"/>
            </w:tcBorders>
            <w:shd w:val="clear" w:color="auto" w:fill="E5E7EF"/>
          </w:tcPr>
          <w:p>
            <w:pPr>
              <w:spacing w:after="0"/>
              <w:rPr>
                <w:sz w:val="6"/>
                <w:szCs w:val="6"/>
                <w:color w:val="auto"/>
              </w:rPr>
            </w:pPr>
          </w:p>
        </w:tc>
        <w:tc>
          <w:tcPr>
            <w:tcW w:w="88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280" w:type="dxa"/>
            <w:vAlign w:val="bottom"/>
            <w:tcBorders>
              <w:left w:val="single" w:sz="8" w:color="auto"/>
              <w:bottom w:val="single" w:sz="8" w:color="auto"/>
            </w:tcBorders>
            <w:shd w:val="clear" w:color="auto" w:fill="E5E7EF"/>
          </w:tcPr>
          <w:p>
            <w:pPr>
              <w:spacing w:after="0"/>
              <w:rPr>
                <w:sz w:val="6"/>
                <w:szCs w:val="6"/>
                <w:color w:val="auto"/>
              </w:rPr>
            </w:pPr>
          </w:p>
        </w:tc>
        <w:tc>
          <w:tcPr>
            <w:tcW w:w="120" w:type="dxa"/>
            <w:vAlign w:val="bottom"/>
            <w:tcBorders>
              <w:bottom w:val="single" w:sz="8" w:color="auto"/>
              <w:right w:val="single" w:sz="8" w:color="auto"/>
            </w:tcBorders>
            <w:shd w:val="clear" w:color="auto" w:fill="E5E7EF"/>
          </w:tcPr>
          <w:p>
            <w:pPr>
              <w:spacing w:after="0"/>
              <w:rPr>
                <w:sz w:val="6"/>
                <w:szCs w:val="6"/>
                <w:color w:val="auto"/>
              </w:rPr>
            </w:pPr>
          </w:p>
        </w:tc>
        <w:tc>
          <w:tcPr>
            <w:tcW w:w="88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280" w:type="dxa"/>
            <w:vAlign w:val="bottom"/>
            <w:tcBorders>
              <w:left w:val="single" w:sz="8" w:color="auto"/>
            </w:tcBorders>
            <w:shd w:val="clear" w:color="auto" w:fill="E5E7EF"/>
          </w:tcPr>
          <w:p>
            <w:pPr>
              <w:ind w:left="40"/>
              <w:spacing w:after="0"/>
              <w:rPr>
                <w:sz w:val="20"/>
                <w:szCs w:val="20"/>
                <w:color w:val="auto"/>
              </w:rPr>
            </w:pPr>
            <w:r>
              <w:rPr>
                <w:rFonts w:ascii="Arial" w:cs="Arial" w:eastAsia="Arial" w:hAnsi="Arial"/>
                <w:sz w:val="20"/>
                <w:szCs w:val="20"/>
                <w:color w:val="003478"/>
              </w:rPr>
              <w:t>What if I have technical</w:t>
            </w:r>
          </w:p>
        </w:tc>
        <w:tc>
          <w:tcPr>
            <w:tcW w:w="120" w:type="dxa"/>
            <w:vAlign w:val="bottom"/>
            <w:tcBorders>
              <w:right w:val="single" w:sz="8" w:color="auto"/>
            </w:tcBorders>
            <w:shd w:val="clear" w:color="auto" w:fill="E5E7EF"/>
          </w:tcPr>
          <w:p>
            <w:pPr>
              <w:spacing w:after="0"/>
              <w:rPr>
                <w:sz w:val="21"/>
                <w:szCs w:val="21"/>
                <w:color w:val="auto"/>
              </w:rPr>
            </w:pPr>
          </w:p>
        </w:tc>
        <w:tc>
          <w:tcPr>
            <w:tcW w:w="88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If you encounter difficulties accessing the meeting, please call 1-888-724-2416 (toll-free) or +1-781-575-2748</w:t>
            </w:r>
          </w:p>
        </w:tc>
        <w:tc>
          <w:tcPr>
            <w:tcW w:w="0" w:type="dxa"/>
            <w:vAlign w:val="bottom"/>
          </w:tcPr>
          <w:p>
            <w:pPr>
              <w:spacing w:after="0"/>
              <w:rPr>
                <w:sz w:val="1"/>
                <w:szCs w:val="1"/>
                <w:color w:val="auto"/>
              </w:rPr>
            </w:pPr>
          </w:p>
        </w:tc>
      </w:tr>
      <w:tr>
        <w:trPr>
          <w:trHeight w:val="271"/>
        </w:trPr>
        <w:tc>
          <w:tcPr>
            <w:tcW w:w="2280" w:type="dxa"/>
            <w:vAlign w:val="bottom"/>
            <w:tcBorders>
              <w:left w:val="single" w:sz="8" w:color="auto"/>
            </w:tcBorders>
            <w:shd w:val="clear" w:color="auto" w:fill="E5E7EF"/>
          </w:tcPr>
          <w:p>
            <w:pPr>
              <w:ind w:left="40"/>
              <w:spacing w:after="0"/>
              <w:rPr>
                <w:sz w:val="20"/>
                <w:szCs w:val="20"/>
                <w:color w:val="auto"/>
              </w:rPr>
            </w:pPr>
            <w:r>
              <w:rPr>
                <w:rFonts w:ascii="Arial" w:cs="Arial" w:eastAsia="Arial" w:hAnsi="Arial"/>
                <w:sz w:val="20"/>
                <w:szCs w:val="20"/>
                <w:color w:val="003478"/>
              </w:rPr>
              <w:t>difficulties accessing or</w:t>
            </w:r>
          </w:p>
        </w:tc>
        <w:tc>
          <w:tcPr>
            <w:tcW w:w="120" w:type="dxa"/>
            <w:vAlign w:val="bottom"/>
            <w:tcBorders>
              <w:right w:val="single" w:sz="8" w:color="auto"/>
            </w:tcBorders>
            <w:shd w:val="clear" w:color="auto" w:fill="E5E7EF"/>
          </w:tcPr>
          <w:p>
            <w:pPr>
              <w:spacing w:after="0"/>
              <w:rPr>
                <w:sz w:val="23"/>
                <w:szCs w:val="23"/>
                <w:color w:val="auto"/>
              </w:rPr>
            </w:pPr>
          </w:p>
        </w:tc>
        <w:tc>
          <w:tcPr>
            <w:tcW w:w="88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auto"/>
              </w:rPr>
              <w:t>(international) for assistance.</w:t>
            </w:r>
          </w:p>
        </w:tc>
        <w:tc>
          <w:tcPr>
            <w:tcW w:w="0" w:type="dxa"/>
            <w:vAlign w:val="bottom"/>
          </w:tcPr>
          <w:p>
            <w:pPr>
              <w:spacing w:after="0"/>
              <w:rPr>
                <w:sz w:val="1"/>
                <w:szCs w:val="1"/>
                <w:color w:val="auto"/>
              </w:rPr>
            </w:pPr>
          </w:p>
        </w:tc>
      </w:tr>
      <w:tr>
        <w:trPr>
          <w:trHeight w:val="236"/>
        </w:trPr>
        <w:tc>
          <w:tcPr>
            <w:tcW w:w="2280" w:type="dxa"/>
            <w:vAlign w:val="bottom"/>
            <w:tcBorders>
              <w:left w:val="single" w:sz="8" w:color="auto"/>
            </w:tcBorders>
            <w:shd w:val="clear" w:color="auto" w:fill="E5E7EF"/>
          </w:tcPr>
          <w:p>
            <w:pPr>
              <w:ind w:left="40"/>
              <w:spacing w:after="0"/>
              <w:rPr>
                <w:sz w:val="20"/>
                <w:szCs w:val="20"/>
                <w:color w:val="auto"/>
              </w:rPr>
            </w:pPr>
            <w:r>
              <w:rPr>
                <w:rFonts w:ascii="Arial" w:cs="Arial" w:eastAsia="Arial" w:hAnsi="Arial"/>
                <w:sz w:val="20"/>
                <w:szCs w:val="20"/>
                <w:color w:val="003478"/>
              </w:rPr>
              <w:t>during the meeting?</w:t>
            </w:r>
          </w:p>
        </w:tc>
        <w:tc>
          <w:tcPr>
            <w:tcW w:w="120" w:type="dxa"/>
            <w:vAlign w:val="bottom"/>
            <w:tcBorders>
              <w:right w:val="single" w:sz="8" w:color="auto"/>
            </w:tcBorders>
            <w:shd w:val="clear" w:color="auto" w:fill="E5E7EF"/>
          </w:tcPr>
          <w:p>
            <w:pPr>
              <w:spacing w:after="0"/>
              <w:rPr>
                <w:sz w:val="20"/>
                <w:szCs w:val="20"/>
                <w:color w:val="auto"/>
              </w:rPr>
            </w:pPr>
          </w:p>
        </w:tc>
        <w:tc>
          <w:tcPr>
            <w:tcW w:w="88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6"/>
        </w:trPr>
        <w:tc>
          <w:tcPr>
            <w:tcW w:w="2280" w:type="dxa"/>
            <w:vAlign w:val="bottom"/>
            <w:tcBorders>
              <w:left w:val="single" w:sz="8" w:color="auto"/>
              <w:bottom w:val="single" w:sz="8" w:color="auto"/>
            </w:tcBorders>
            <w:shd w:val="clear" w:color="auto" w:fill="E5E7EF"/>
          </w:tcPr>
          <w:p>
            <w:pPr>
              <w:spacing w:after="0"/>
              <w:rPr>
                <w:sz w:val="6"/>
                <w:szCs w:val="6"/>
                <w:color w:val="auto"/>
              </w:rPr>
            </w:pPr>
          </w:p>
        </w:tc>
        <w:tc>
          <w:tcPr>
            <w:tcW w:w="120" w:type="dxa"/>
            <w:vAlign w:val="bottom"/>
            <w:tcBorders>
              <w:bottom w:val="single" w:sz="8" w:color="auto"/>
              <w:right w:val="single" w:sz="8" w:color="auto"/>
            </w:tcBorders>
            <w:shd w:val="clear" w:color="auto" w:fill="E5E7EF"/>
          </w:tcPr>
          <w:p>
            <w:pPr>
              <w:spacing w:after="0"/>
              <w:rPr>
                <w:sz w:val="6"/>
                <w:szCs w:val="6"/>
                <w:color w:val="auto"/>
              </w:rPr>
            </w:pPr>
          </w:p>
        </w:tc>
        <w:tc>
          <w:tcPr>
            <w:tcW w:w="88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2280" w:type="dxa"/>
            <w:vAlign w:val="bottom"/>
            <w:tcBorders>
              <w:left w:val="single" w:sz="8" w:color="auto"/>
            </w:tcBorders>
            <w:shd w:val="clear" w:color="auto" w:fill="E5E7EF"/>
          </w:tcPr>
          <w:p>
            <w:pPr>
              <w:ind w:left="40"/>
              <w:spacing w:after="0"/>
              <w:rPr>
                <w:sz w:val="20"/>
                <w:szCs w:val="20"/>
                <w:color w:val="auto"/>
              </w:rPr>
            </w:pPr>
            <w:r>
              <w:rPr>
                <w:rFonts w:ascii="Arial" w:cs="Arial" w:eastAsia="Arial" w:hAnsi="Arial"/>
                <w:sz w:val="20"/>
                <w:szCs w:val="20"/>
                <w:color w:val="003478"/>
              </w:rPr>
              <w:t>How can I vote during</w:t>
            </w:r>
          </w:p>
        </w:tc>
        <w:tc>
          <w:tcPr>
            <w:tcW w:w="120" w:type="dxa"/>
            <w:vAlign w:val="bottom"/>
            <w:tcBorders>
              <w:right w:val="single" w:sz="8" w:color="auto"/>
            </w:tcBorders>
            <w:shd w:val="clear" w:color="auto" w:fill="E5E7EF"/>
          </w:tcPr>
          <w:p>
            <w:pPr>
              <w:spacing w:after="0"/>
              <w:rPr>
                <w:sz w:val="20"/>
                <w:szCs w:val="20"/>
                <w:color w:val="auto"/>
              </w:rPr>
            </w:pPr>
          </w:p>
        </w:tc>
        <w:tc>
          <w:tcPr>
            <w:tcW w:w="88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003478"/>
              </w:rPr>
              <w:t xml:space="preserve">•  </w:t>
            </w:r>
            <w:r>
              <w:rPr>
                <w:rFonts w:ascii="Arial" w:cs="Arial" w:eastAsia="Arial" w:hAnsi="Arial"/>
                <w:sz w:val="17"/>
                <w:szCs w:val="17"/>
                <w:b w:val="1"/>
                <w:bCs w:val="1"/>
                <w:color w:val="000000"/>
              </w:rPr>
              <w:t>Registered Stockholders:</w:t>
            </w:r>
            <w:r>
              <w:rPr>
                <w:rFonts w:ascii="Arial" w:cs="Arial" w:eastAsia="Arial" w:hAnsi="Arial"/>
                <w:sz w:val="17"/>
                <w:szCs w:val="17"/>
                <w:color w:val="003478"/>
              </w:rPr>
              <w:t xml:space="preserve"> </w:t>
            </w:r>
            <w:r>
              <w:rPr>
                <w:rFonts w:ascii="Arial" w:cs="Arial" w:eastAsia="Arial" w:hAnsi="Arial"/>
                <w:sz w:val="17"/>
                <w:szCs w:val="17"/>
                <w:color w:val="000000"/>
              </w:rPr>
              <w:t>you can vote electronically during the Annual Meeting by accessing the meeting at</w:t>
            </w:r>
          </w:p>
        </w:tc>
        <w:tc>
          <w:tcPr>
            <w:tcW w:w="0" w:type="dxa"/>
            <w:vAlign w:val="bottom"/>
          </w:tcPr>
          <w:p>
            <w:pPr>
              <w:spacing w:after="0"/>
              <w:rPr>
                <w:sz w:val="1"/>
                <w:szCs w:val="1"/>
                <w:color w:val="auto"/>
              </w:rPr>
            </w:pPr>
          </w:p>
        </w:tc>
      </w:tr>
      <w:tr>
        <w:trPr>
          <w:trHeight w:val="195"/>
        </w:trPr>
        <w:tc>
          <w:tcPr>
            <w:tcW w:w="2280" w:type="dxa"/>
            <w:vAlign w:val="bottom"/>
            <w:tcBorders>
              <w:left w:val="single" w:sz="8" w:color="auto"/>
            </w:tcBorders>
            <w:vMerge w:val="restart"/>
            <w:shd w:val="clear" w:color="auto" w:fill="E5E7EF"/>
          </w:tcPr>
          <w:p>
            <w:pPr>
              <w:ind w:left="40"/>
              <w:spacing w:after="0"/>
              <w:rPr>
                <w:sz w:val="20"/>
                <w:szCs w:val="20"/>
                <w:color w:val="auto"/>
              </w:rPr>
            </w:pPr>
            <w:r>
              <w:rPr>
                <w:rFonts w:ascii="Arial" w:cs="Arial" w:eastAsia="Arial" w:hAnsi="Arial"/>
                <w:sz w:val="20"/>
                <w:szCs w:val="20"/>
                <w:color w:val="003478"/>
              </w:rPr>
              <w:t>the Annual Meeting?</w:t>
            </w:r>
          </w:p>
        </w:tc>
        <w:tc>
          <w:tcPr>
            <w:tcW w:w="120" w:type="dxa"/>
            <w:vAlign w:val="bottom"/>
            <w:tcBorders>
              <w:right w:val="single" w:sz="8" w:color="auto"/>
            </w:tcBorders>
            <w:shd w:val="clear" w:color="auto" w:fill="E5E7EF"/>
          </w:tcPr>
          <w:p>
            <w:pPr>
              <w:spacing w:after="0"/>
              <w:rPr>
                <w:sz w:val="16"/>
                <w:szCs w:val="16"/>
                <w:color w:val="auto"/>
              </w:rPr>
            </w:pPr>
          </w:p>
        </w:tc>
        <w:tc>
          <w:tcPr>
            <w:tcW w:w="8860" w:type="dxa"/>
            <w:vAlign w:val="bottom"/>
            <w:tcBorders>
              <w:right w:val="single" w:sz="8" w:color="auto"/>
            </w:tcBorders>
          </w:tcPr>
          <w:p>
            <w:pPr>
              <w:ind w:left="320"/>
              <w:spacing w:after="0"/>
              <w:rPr>
                <w:sz w:val="20"/>
                <w:szCs w:val="20"/>
                <w:color w:val="auto"/>
              </w:rPr>
            </w:pPr>
            <w:r>
              <w:rPr>
                <w:rFonts w:ascii="Arial" w:cs="Arial" w:eastAsia="Arial" w:hAnsi="Arial"/>
                <w:sz w:val="17"/>
                <w:szCs w:val="17"/>
                <w:b w:val="1"/>
                <w:bCs w:val="1"/>
                <w:i w:val="1"/>
                <w:iCs w:val="1"/>
                <w:color w:val="auto"/>
              </w:rPr>
              <w:t xml:space="preserve">www.meetnow.global/LMT2022 </w:t>
            </w:r>
            <w:r>
              <w:rPr>
                <w:rFonts w:ascii="Arial" w:cs="Arial" w:eastAsia="Arial" w:hAnsi="Arial"/>
                <w:sz w:val="17"/>
                <w:szCs w:val="17"/>
                <w:color w:val="auto"/>
              </w:rPr>
              <w:t>using the unique control number found on your proxy card and then following</w:t>
            </w:r>
          </w:p>
        </w:tc>
        <w:tc>
          <w:tcPr>
            <w:tcW w:w="0" w:type="dxa"/>
            <w:vAlign w:val="bottom"/>
          </w:tcPr>
          <w:p>
            <w:pPr>
              <w:spacing w:after="0"/>
              <w:rPr>
                <w:sz w:val="1"/>
                <w:szCs w:val="1"/>
                <w:color w:val="auto"/>
              </w:rPr>
            </w:pPr>
          </w:p>
        </w:tc>
      </w:tr>
      <w:tr>
        <w:trPr>
          <w:trHeight w:val="91"/>
        </w:trPr>
        <w:tc>
          <w:tcPr>
            <w:tcW w:w="2280" w:type="dxa"/>
            <w:vAlign w:val="bottom"/>
            <w:tcBorders>
              <w:left w:val="single" w:sz="8" w:color="auto"/>
            </w:tcBorders>
            <w:vMerge w:val="continue"/>
            <w:shd w:val="clear" w:color="auto" w:fill="E5E7EF"/>
          </w:tcPr>
          <w:p>
            <w:pPr>
              <w:spacing w:after="0"/>
              <w:rPr>
                <w:sz w:val="7"/>
                <w:szCs w:val="7"/>
                <w:color w:val="auto"/>
              </w:rPr>
            </w:pPr>
          </w:p>
        </w:tc>
        <w:tc>
          <w:tcPr>
            <w:tcW w:w="120" w:type="dxa"/>
            <w:vAlign w:val="bottom"/>
            <w:tcBorders>
              <w:right w:val="single" w:sz="8" w:color="auto"/>
            </w:tcBorders>
            <w:shd w:val="clear" w:color="auto" w:fill="E5E7EF"/>
          </w:tcPr>
          <w:p>
            <w:pPr>
              <w:spacing w:after="0"/>
              <w:rPr>
                <w:sz w:val="7"/>
                <w:szCs w:val="7"/>
                <w:color w:val="auto"/>
              </w:rPr>
            </w:pPr>
          </w:p>
        </w:tc>
        <w:tc>
          <w:tcPr>
            <w:tcW w:w="8860" w:type="dxa"/>
            <w:vAlign w:val="bottom"/>
            <w:tcBorders>
              <w:right w:val="single" w:sz="8" w:color="auto"/>
            </w:tcBorders>
            <w:vMerge w:val="restart"/>
          </w:tcPr>
          <w:p>
            <w:pPr>
              <w:ind w:left="320"/>
              <w:spacing w:after="0"/>
              <w:rPr>
                <w:sz w:val="20"/>
                <w:szCs w:val="20"/>
                <w:color w:val="auto"/>
              </w:rPr>
            </w:pPr>
            <w:r>
              <w:rPr>
                <w:rFonts w:ascii="Arial" w:cs="Arial" w:eastAsia="Arial" w:hAnsi="Arial"/>
                <w:sz w:val="17"/>
                <w:szCs w:val="17"/>
                <w:color w:val="auto"/>
              </w:rPr>
              <w:t>the instructions.</w:t>
            </w:r>
          </w:p>
        </w:tc>
        <w:tc>
          <w:tcPr>
            <w:tcW w:w="0" w:type="dxa"/>
            <w:vAlign w:val="bottom"/>
          </w:tcPr>
          <w:p>
            <w:pPr>
              <w:spacing w:after="0"/>
              <w:rPr>
                <w:sz w:val="1"/>
                <w:szCs w:val="1"/>
                <w:color w:val="auto"/>
              </w:rPr>
            </w:pPr>
          </w:p>
        </w:tc>
      </w:tr>
      <w:tr>
        <w:trPr>
          <w:trHeight w:val="113"/>
        </w:trPr>
        <w:tc>
          <w:tcPr>
            <w:tcW w:w="2280" w:type="dxa"/>
            <w:vAlign w:val="bottom"/>
            <w:tcBorders>
              <w:left w:val="single" w:sz="8" w:color="auto"/>
            </w:tcBorders>
            <w:shd w:val="clear" w:color="auto" w:fill="E5E7EF"/>
          </w:tcPr>
          <w:p>
            <w:pPr>
              <w:spacing w:after="0"/>
              <w:rPr>
                <w:sz w:val="9"/>
                <w:szCs w:val="9"/>
                <w:color w:val="auto"/>
              </w:rPr>
            </w:pPr>
          </w:p>
        </w:tc>
        <w:tc>
          <w:tcPr>
            <w:tcW w:w="120" w:type="dxa"/>
            <w:vAlign w:val="bottom"/>
            <w:tcBorders>
              <w:right w:val="single" w:sz="8" w:color="auto"/>
            </w:tcBorders>
            <w:shd w:val="clear" w:color="auto" w:fill="E5E7EF"/>
          </w:tcPr>
          <w:p>
            <w:pPr>
              <w:spacing w:after="0"/>
              <w:rPr>
                <w:sz w:val="9"/>
                <w:szCs w:val="9"/>
                <w:color w:val="auto"/>
              </w:rPr>
            </w:pPr>
          </w:p>
        </w:tc>
        <w:tc>
          <w:tcPr>
            <w:tcW w:w="88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2280" w:type="dxa"/>
            <w:vAlign w:val="bottom"/>
            <w:tcBorders>
              <w:left w:val="single" w:sz="8" w:color="auto"/>
            </w:tcBorders>
            <w:shd w:val="clear" w:color="auto" w:fill="E5E7EF"/>
          </w:tcPr>
          <w:p>
            <w:pPr>
              <w:spacing w:after="0"/>
              <w:rPr>
                <w:sz w:val="18"/>
                <w:szCs w:val="18"/>
                <w:color w:val="auto"/>
              </w:rPr>
            </w:pPr>
          </w:p>
        </w:tc>
        <w:tc>
          <w:tcPr>
            <w:tcW w:w="120" w:type="dxa"/>
            <w:vAlign w:val="bottom"/>
            <w:tcBorders>
              <w:right w:val="single" w:sz="8" w:color="auto"/>
            </w:tcBorders>
            <w:shd w:val="clear" w:color="auto" w:fill="E5E7EF"/>
          </w:tcPr>
          <w:p>
            <w:pPr>
              <w:spacing w:after="0"/>
              <w:rPr>
                <w:sz w:val="18"/>
                <w:szCs w:val="18"/>
                <w:color w:val="auto"/>
              </w:rPr>
            </w:pPr>
          </w:p>
        </w:tc>
        <w:tc>
          <w:tcPr>
            <w:tcW w:w="88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003478"/>
              </w:rPr>
              <w:t xml:space="preserve">•  </w:t>
            </w:r>
            <w:r>
              <w:rPr>
                <w:rFonts w:ascii="Arial" w:cs="Arial" w:eastAsia="Arial" w:hAnsi="Arial"/>
                <w:sz w:val="17"/>
                <w:szCs w:val="17"/>
                <w:b w:val="1"/>
                <w:bCs w:val="1"/>
                <w:color w:val="000000"/>
              </w:rPr>
              <w:t>Beneficial Owner:</w:t>
            </w:r>
            <w:r>
              <w:rPr>
                <w:rFonts w:ascii="Arial" w:cs="Arial" w:eastAsia="Arial" w:hAnsi="Arial"/>
                <w:sz w:val="17"/>
                <w:szCs w:val="17"/>
                <w:color w:val="003478"/>
              </w:rPr>
              <w:t xml:space="preserve"> </w:t>
            </w:r>
            <w:r>
              <w:rPr>
                <w:rFonts w:ascii="Arial" w:cs="Arial" w:eastAsia="Arial" w:hAnsi="Arial"/>
                <w:sz w:val="17"/>
                <w:szCs w:val="17"/>
                <w:color w:val="000000"/>
              </w:rPr>
              <w:t>we recommend that you confirm your ability to participate during the virtual Annual Meeting</w:t>
            </w: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tcBorders>
            <w:shd w:val="clear" w:color="auto" w:fill="E5E7EF"/>
          </w:tcPr>
          <w:p>
            <w:pPr>
              <w:spacing w:after="0"/>
              <w:rPr>
                <w:sz w:val="16"/>
                <w:szCs w:val="16"/>
                <w:color w:val="auto"/>
              </w:rPr>
            </w:pPr>
          </w:p>
        </w:tc>
        <w:tc>
          <w:tcPr>
            <w:tcW w:w="120" w:type="dxa"/>
            <w:vAlign w:val="bottom"/>
            <w:tcBorders>
              <w:right w:val="single" w:sz="8" w:color="auto"/>
            </w:tcBorders>
            <w:shd w:val="clear" w:color="auto" w:fill="E5E7EF"/>
          </w:tcPr>
          <w:p>
            <w:pPr>
              <w:spacing w:after="0"/>
              <w:rPr>
                <w:sz w:val="16"/>
                <w:szCs w:val="16"/>
                <w:color w:val="auto"/>
              </w:rPr>
            </w:pPr>
          </w:p>
        </w:tc>
        <w:tc>
          <w:tcPr>
            <w:tcW w:w="8860" w:type="dxa"/>
            <w:vAlign w:val="bottom"/>
            <w:tcBorders>
              <w:right w:val="single" w:sz="8" w:color="auto"/>
            </w:tcBorders>
          </w:tcPr>
          <w:p>
            <w:pPr>
              <w:ind w:left="320"/>
              <w:spacing w:after="0" w:line="188" w:lineRule="exact"/>
              <w:rPr>
                <w:sz w:val="20"/>
                <w:szCs w:val="20"/>
                <w:color w:val="auto"/>
              </w:rPr>
            </w:pPr>
            <w:r>
              <w:rPr>
                <w:rFonts w:ascii="Arial" w:cs="Arial" w:eastAsia="Arial" w:hAnsi="Arial"/>
                <w:sz w:val="17"/>
                <w:szCs w:val="17"/>
                <w:color w:val="auto"/>
              </w:rPr>
              <w:t>with the broker, bank or other nominee through which you hold your shares. The vast majority of beneficial</w:t>
            </w: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tcBorders>
            <w:shd w:val="clear" w:color="auto" w:fill="E5E7EF"/>
          </w:tcPr>
          <w:p>
            <w:pPr>
              <w:spacing w:after="0"/>
              <w:rPr>
                <w:sz w:val="16"/>
                <w:szCs w:val="16"/>
                <w:color w:val="auto"/>
              </w:rPr>
            </w:pPr>
          </w:p>
        </w:tc>
        <w:tc>
          <w:tcPr>
            <w:tcW w:w="120" w:type="dxa"/>
            <w:vAlign w:val="bottom"/>
            <w:tcBorders>
              <w:right w:val="single" w:sz="8" w:color="auto"/>
            </w:tcBorders>
            <w:shd w:val="clear" w:color="auto" w:fill="E5E7EF"/>
          </w:tcPr>
          <w:p>
            <w:pPr>
              <w:spacing w:after="0"/>
              <w:rPr>
                <w:sz w:val="16"/>
                <w:szCs w:val="16"/>
                <w:color w:val="auto"/>
              </w:rPr>
            </w:pPr>
          </w:p>
        </w:tc>
        <w:tc>
          <w:tcPr>
            <w:tcW w:w="8860" w:type="dxa"/>
            <w:vAlign w:val="bottom"/>
            <w:tcBorders>
              <w:right w:val="single" w:sz="8" w:color="auto"/>
            </w:tcBorders>
          </w:tcPr>
          <w:p>
            <w:pPr>
              <w:ind w:left="320"/>
              <w:spacing w:after="0" w:line="188" w:lineRule="exact"/>
              <w:rPr>
                <w:sz w:val="20"/>
                <w:szCs w:val="20"/>
                <w:color w:val="auto"/>
              </w:rPr>
            </w:pPr>
            <w:r>
              <w:rPr>
                <w:rFonts w:ascii="Arial" w:cs="Arial" w:eastAsia="Arial" w:hAnsi="Arial"/>
                <w:sz w:val="17"/>
                <w:szCs w:val="17"/>
                <w:color w:val="auto"/>
              </w:rPr>
              <w:t>owners will be able to participate using the control number received with their voting instruction form, but we</w:t>
            </w: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tcBorders>
            <w:shd w:val="clear" w:color="auto" w:fill="E5E7EF"/>
          </w:tcPr>
          <w:p>
            <w:pPr>
              <w:spacing w:after="0"/>
              <w:rPr>
                <w:sz w:val="16"/>
                <w:szCs w:val="16"/>
                <w:color w:val="auto"/>
              </w:rPr>
            </w:pPr>
          </w:p>
        </w:tc>
        <w:tc>
          <w:tcPr>
            <w:tcW w:w="120" w:type="dxa"/>
            <w:vAlign w:val="bottom"/>
            <w:tcBorders>
              <w:right w:val="single" w:sz="8" w:color="auto"/>
            </w:tcBorders>
            <w:shd w:val="clear" w:color="auto" w:fill="E5E7EF"/>
          </w:tcPr>
          <w:p>
            <w:pPr>
              <w:spacing w:after="0"/>
              <w:rPr>
                <w:sz w:val="16"/>
                <w:szCs w:val="16"/>
                <w:color w:val="auto"/>
              </w:rPr>
            </w:pPr>
          </w:p>
        </w:tc>
        <w:tc>
          <w:tcPr>
            <w:tcW w:w="8860" w:type="dxa"/>
            <w:vAlign w:val="bottom"/>
            <w:tcBorders>
              <w:right w:val="single" w:sz="8" w:color="auto"/>
            </w:tcBorders>
          </w:tcPr>
          <w:p>
            <w:pPr>
              <w:ind w:left="320"/>
              <w:spacing w:after="0" w:line="188" w:lineRule="exact"/>
              <w:rPr>
                <w:sz w:val="20"/>
                <w:szCs w:val="20"/>
                <w:color w:val="auto"/>
              </w:rPr>
            </w:pPr>
            <w:r>
              <w:rPr>
                <w:rFonts w:ascii="Arial" w:cs="Arial" w:eastAsia="Arial" w:hAnsi="Arial"/>
                <w:sz w:val="17"/>
                <w:szCs w:val="17"/>
                <w:color w:val="auto"/>
              </w:rPr>
              <w:t>recommend that beneficial owners confirm this ability with the broker, bank or other nominee through which they</w:t>
            </w: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tcBorders>
            <w:shd w:val="clear" w:color="auto" w:fill="E5E7EF"/>
          </w:tcPr>
          <w:p>
            <w:pPr>
              <w:spacing w:after="0"/>
              <w:rPr>
                <w:sz w:val="16"/>
                <w:szCs w:val="16"/>
                <w:color w:val="auto"/>
              </w:rPr>
            </w:pPr>
          </w:p>
        </w:tc>
        <w:tc>
          <w:tcPr>
            <w:tcW w:w="120" w:type="dxa"/>
            <w:vAlign w:val="bottom"/>
            <w:tcBorders>
              <w:right w:val="single" w:sz="8" w:color="auto"/>
            </w:tcBorders>
            <w:shd w:val="clear" w:color="auto" w:fill="E5E7EF"/>
          </w:tcPr>
          <w:p>
            <w:pPr>
              <w:spacing w:after="0"/>
              <w:rPr>
                <w:sz w:val="16"/>
                <w:szCs w:val="16"/>
                <w:color w:val="auto"/>
              </w:rPr>
            </w:pPr>
          </w:p>
        </w:tc>
        <w:tc>
          <w:tcPr>
            <w:tcW w:w="8860" w:type="dxa"/>
            <w:vAlign w:val="bottom"/>
            <w:tcBorders>
              <w:right w:val="single" w:sz="8" w:color="auto"/>
            </w:tcBorders>
          </w:tcPr>
          <w:p>
            <w:pPr>
              <w:ind w:left="320"/>
              <w:spacing w:after="0" w:line="188" w:lineRule="exact"/>
              <w:rPr>
                <w:sz w:val="20"/>
                <w:szCs w:val="20"/>
                <w:color w:val="auto"/>
              </w:rPr>
            </w:pPr>
            <w:r>
              <w:rPr>
                <w:rFonts w:ascii="Arial" w:cs="Arial" w:eastAsia="Arial" w:hAnsi="Arial"/>
                <w:sz w:val="17"/>
                <w:szCs w:val="17"/>
                <w:color w:val="auto"/>
              </w:rPr>
              <w:t>hold their shares. If your broker, bank or other nominee informs you that you will not be able to access the virtual</w:t>
            </w: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tcBorders>
            <w:shd w:val="clear" w:color="auto" w:fill="E5E7EF"/>
          </w:tcPr>
          <w:p>
            <w:pPr>
              <w:spacing w:after="0"/>
              <w:rPr>
                <w:sz w:val="16"/>
                <w:szCs w:val="16"/>
                <w:color w:val="auto"/>
              </w:rPr>
            </w:pPr>
          </w:p>
        </w:tc>
        <w:tc>
          <w:tcPr>
            <w:tcW w:w="120" w:type="dxa"/>
            <w:vAlign w:val="bottom"/>
            <w:tcBorders>
              <w:right w:val="single" w:sz="8" w:color="auto"/>
            </w:tcBorders>
            <w:shd w:val="clear" w:color="auto" w:fill="E5E7EF"/>
          </w:tcPr>
          <w:p>
            <w:pPr>
              <w:spacing w:after="0"/>
              <w:rPr>
                <w:sz w:val="16"/>
                <w:szCs w:val="16"/>
                <w:color w:val="auto"/>
              </w:rPr>
            </w:pPr>
          </w:p>
        </w:tc>
        <w:tc>
          <w:tcPr>
            <w:tcW w:w="8860" w:type="dxa"/>
            <w:vAlign w:val="bottom"/>
            <w:tcBorders>
              <w:right w:val="single" w:sz="8" w:color="auto"/>
            </w:tcBorders>
          </w:tcPr>
          <w:p>
            <w:pPr>
              <w:ind w:left="320"/>
              <w:spacing w:after="0" w:line="188" w:lineRule="exact"/>
              <w:rPr>
                <w:sz w:val="20"/>
                <w:szCs w:val="20"/>
                <w:color w:val="auto"/>
              </w:rPr>
            </w:pPr>
            <w:r>
              <w:rPr>
                <w:rFonts w:ascii="Arial" w:cs="Arial" w:eastAsia="Arial" w:hAnsi="Arial"/>
                <w:sz w:val="17"/>
                <w:szCs w:val="17"/>
                <w:color w:val="auto"/>
              </w:rPr>
              <w:t>Annual Meeting other than as a guest, then you must register in advance to attend and vote at the virtual Annual</w:t>
            </w: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tcBorders>
            <w:shd w:val="clear" w:color="auto" w:fill="E5E7EF"/>
          </w:tcPr>
          <w:p>
            <w:pPr>
              <w:spacing w:after="0"/>
              <w:rPr>
                <w:sz w:val="16"/>
                <w:szCs w:val="16"/>
                <w:color w:val="auto"/>
              </w:rPr>
            </w:pPr>
          </w:p>
        </w:tc>
        <w:tc>
          <w:tcPr>
            <w:tcW w:w="120" w:type="dxa"/>
            <w:vAlign w:val="bottom"/>
            <w:tcBorders>
              <w:right w:val="single" w:sz="8" w:color="auto"/>
            </w:tcBorders>
            <w:shd w:val="clear" w:color="auto" w:fill="E5E7EF"/>
          </w:tcPr>
          <w:p>
            <w:pPr>
              <w:spacing w:after="0"/>
              <w:rPr>
                <w:sz w:val="16"/>
                <w:szCs w:val="16"/>
                <w:color w:val="auto"/>
              </w:rPr>
            </w:pPr>
          </w:p>
        </w:tc>
        <w:tc>
          <w:tcPr>
            <w:tcW w:w="8860" w:type="dxa"/>
            <w:vAlign w:val="bottom"/>
            <w:tcBorders>
              <w:right w:val="single" w:sz="8" w:color="auto"/>
            </w:tcBorders>
          </w:tcPr>
          <w:p>
            <w:pPr>
              <w:ind w:left="320"/>
              <w:spacing w:after="0" w:line="188" w:lineRule="exact"/>
              <w:rPr>
                <w:sz w:val="20"/>
                <w:szCs w:val="20"/>
                <w:color w:val="auto"/>
              </w:rPr>
            </w:pPr>
            <w:r>
              <w:rPr>
                <w:rFonts w:ascii="Arial" w:cs="Arial" w:eastAsia="Arial" w:hAnsi="Arial"/>
                <w:sz w:val="17"/>
                <w:szCs w:val="17"/>
                <w:color w:val="auto"/>
              </w:rPr>
              <w:t>Meeting by obtaining a legal proxy. Please see “What is a legal proxy and how can I request one if necessary?”</w:t>
            </w:r>
          </w:p>
        </w:tc>
        <w:tc>
          <w:tcPr>
            <w:tcW w:w="0" w:type="dxa"/>
            <w:vAlign w:val="bottom"/>
          </w:tcPr>
          <w:p>
            <w:pPr>
              <w:spacing w:after="0"/>
              <w:rPr>
                <w:sz w:val="1"/>
                <w:szCs w:val="1"/>
                <w:color w:val="auto"/>
              </w:rPr>
            </w:pPr>
          </w:p>
        </w:tc>
      </w:tr>
      <w:tr>
        <w:trPr>
          <w:trHeight w:val="195"/>
        </w:trPr>
        <w:tc>
          <w:tcPr>
            <w:tcW w:w="2280" w:type="dxa"/>
            <w:vAlign w:val="bottom"/>
            <w:tcBorders>
              <w:left w:val="single" w:sz="8" w:color="auto"/>
            </w:tcBorders>
            <w:shd w:val="clear" w:color="auto" w:fill="E5E7EF"/>
          </w:tcPr>
          <w:p>
            <w:pPr>
              <w:spacing w:after="0"/>
              <w:rPr>
                <w:sz w:val="16"/>
                <w:szCs w:val="16"/>
                <w:color w:val="auto"/>
              </w:rPr>
            </w:pPr>
          </w:p>
        </w:tc>
        <w:tc>
          <w:tcPr>
            <w:tcW w:w="120" w:type="dxa"/>
            <w:vAlign w:val="bottom"/>
            <w:tcBorders>
              <w:right w:val="single" w:sz="8" w:color="auto"/>
            </w:tcBorders>
            <w:shd w:val="clear" w:color="auto" w:fill="E5E7EF"/>
          </w:tcPr>
          <w:p>
            <w:pPr>
              <w:spacing w:after="0"/>
              <w:rPr>
                <w:sz w:val="16"/>
                <w:szCs w:val="16"/>
                <w:color w:val="auto"/>
              </w:rPr>
            </w:pPr>
          </w:p>
        </w:tc>
        <w:tc>
          <w:tcPr>
            <w:tcW w:w="886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for information on how to request a legal proxy.</w:t>
            </w:r>
          </w:p>
        </w:tc>
        <w:tc>
          <w:tcPr>
            <w:tcW w:w="0" w:type="dxa"/>
            <w:vAlign w:val="bottom"/>
          </w:tcPr>
          <w:p>
            <w:pPr>
              <w:spacing w:after="0"/>
              <w:rPr>
                <w:sz w:val="1"/>
                <w:szCs w:val="1"/>
                <w:color w:val="auto"/>
              </w:rPr>
            </w:pPr>
          </w:p>
        </w:tc>
      </w:tr>
      <w:tr>
        <w:trPr>
          <w:trHeight w:val="208"/>
        </w:trPr>
        <w:tc>
          <w:tcPr>
            <w:tcW w:w="2280" w:type="dxa"/>
            <w:vAlign w:val="bottom"/>
            <w:tcBorders>
              <w:left w:val="single" w:sz="8" w:color="auto"/>
            </w:tcBorders>
            <w:shd w:val="clear" w:color="auto" w:fill="E5E7EF"/>
          </w:tcPr>
          <w:p>
            <w:pPr>
              <w:spacing w:after="0"/>
              <w:rPr>
                <w:sz w:val="18"/>
                <w:szCs w:val="18"/>
                <w:color w:val="auto"/>
              </w:rPr>
            </w:pPr>
          </w:p>
        </w:tc>
        <w:tc>
          <w:tcPr>
            <w:tcW w:w="120" w:type="dxa"/>
            <w:vAlign w:val="bottom"/>
            <w:tcBorders>
              <w:right w:val="single" w:sz="8" w:color="auto"/>
            </w:tcBorders>
            <w:shd w:val="clear" w:color="auto" w:fill="E5E7EF"/>
          </w:tcPr>
          <w:p>
            <w:pPr>
              <w:spacing w:after="0"/>
              <w:rPr>
                <w:sz w:val="18"/>
                <w:szCs w:val="18"/>
                <w:color w:val="auto"/>
              </w:rPr>
            </w:pPr>
          </w:p>
        </w:tc>
        <w:tc>
          <w:tcPr>
            <w:tcW w:w="8860" w:type="dxa"/>
            <w:vAlign w:val="bottom"/>
            <w:tcBorders>
              <w:right w:val="single" w:sz="8" w:color="auto"/>
            </w:tcBorders>
          </w:tcPr>
          <w:p>
            <w:pPr>
              <w:ind w:left="80"/>
              <w:spacing w:after="0"/>
              <w:rPr>
                <w:sz w:val="20"/>
                <w:szCs w:val="20"/>
                <w:color w:val="auto"/>
              </w:rPr>
            </w:pPr>
            <w:r>
              <w:rPr>
                <w:rFonts w:ascii="Arial" w:cs="Arial" w:eastAsia="Arial" w:hAnsi="Arial"/>
                <w:sz w:val="17"/>
                <w:szCs w:val="17"/>
                <w:color w:val="003478"/>
              </w:rPr>
              <w:t xml:space="preserve">•  </w:t>
            </w:r>
            <w:r>
              <w:rPr>
                <w:rFonts w:ascii="Arial" w:cs="Arial" w:eastAsia="Arial" w:hAnsi="Arial"/>
                <w:sz w:val="17"/>
                <w:szCs w:val="17"/>
                <w:b w:val="1"/>
                <w:bCs w:val="1"/>
                <w:color w:val="000000"/>
              </w:rPr>
              <w:t>Holders through Lockheed Martin Benefit Plans:</w:t>
            </w:r>
            <w:r>
              <w:rPr>
                <w:rFonts w:ascii="Arial" w:cs="Arial" w:eastAsia="Arial" w:hAnsi="Arial"/>
                <w:sz w:val="17"/>
                <w:szCs w:val="17"/>
                <w:color w:val="003478"/>
              </w:rPr>
              <w:t xml:space="preserve"> </w:t>
            </w:r>
            <w:r>
              <w:rPr>
                <w:rFonts w:ascii="Arial" w:cs="Arial" w:eastAsia="Arial" w:hAnsi="Arial"/>
                <w:sz w:val="17"/>
                <w:szCs w:val="17"/>
                <w:color w:val="000000"/>
              </w:rPr>
              <w:t>stockholders who hold shares through a Lockheed Martin</w:t>
            </w: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tcBorders>
            <w:shd w:val="clear" w:color="auto" w:fill="E5E7EF"/>
          </w:tcPr>
          <w:p>
            <w:pPr>
              <w:spacing w:after="0"/>
              <w:rPr>
                <w:sz w:val="16"/>
                <w:szCs w:val="16"/>
                <w:color w:val="auto"/>
              </w:rPr>
            </w:pPr>
          </w:p>
        </w:tc>
        <w:tc>
          <w:tcPr>
            <w:tcW w:w="120" w:type="dxa"/>
            <w:vAlign w:val="bottom"/>
            <w:tcBorders>
              <w:right w:val="single" w:sz="8" w:color="auto"/>
            </w:tcBorders>
            <w:shd w:val="clear" w:color="auto" w:fill="E5E7EF"/>
          </w:tcPr>
          <w:p>
            <w:pPr>
              <w:spacing w:after="0"/>
              <w:rPr>
                <w:sz w:val="16"/>
                <w:szCs w:val="16"/>
                <w:color w:val="auto"/>
              </w:rPr>
            </w:pPr>
          </w:p>
        </w:tc>
        <w:tc>
          <w:tcPr>
            <w:tcW w:w="8860" w:type="dxa"/>
            <w:vAlign w:val="bottom"/>
            <w:tcBorders>
              <w:right w:val="single" w:sz="8" w:color="auto"/>
            </w:tcBorders>
          </w:tcPr>
          <w:p>
            <w:pPr>
              <w:ind w:left="320"/>
              <w:spacing w:after="0" w:line="188" w:lineRule="exact"/>
              <w:rPr>
                <w:sz w:val="20"/>
                <w:szCs w:val="20"/>
                <w:color w:val="auto"/>
              </w:rPr>
            </w:pPr>
            <w:r>
              <w:rPr>
                <w:rFonts w:ascii="Arial" w:cs="Arial" w:eastAsia="Arial" w:hAnsi="Arial"/>
                <w:sz w:val="17"/>
                <w:szCs w:val="17"/>
                <w:color w:val="auto"/>
              </w:rPr>
              <w:t>benefit plan must vote in advance of the meeting. See “How do I vote if I participate in one of the Company’s</w:t>
            </w: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tcBorders>
            <w:shd w:val="clear" w:color="auto" w:fill="E5E7EF"/>
          </w:tcPr>
          <w:p>
            <w:pPr>
              <w:spacing w:after="0"/>
              <w:rPr>
                <w:sz w:val="16"/>
                <w:szCs w:val="16"/>
                <w:color w:val="auto"/>
              </w:rPr>
            </w:pPr>
          </w:p>
        </w:tc>
        <w:tc>
          <w:tcPr>
            <w:tcW w:w="120" w:type="dxa"/>
            <w:vAlign w:val="bottom"/>
            <w:tcBorders>
              <w:right w:val="single" w:sz="8" w:color="auto"/>
            </w:tcBorders>
            <w:shd w:val="clear" w:color="auto" w:fill="E5E7EF"/>
          </w:tcPr>
          <w:p>
            <w:pPr>
              <w:spacing w:after="0"/>
              <w:rPr>
                <w:sz w:val="16"/>
                <w:szCs w:val="16"/>
                <w:color w:val="auto"/>
              </w:rPr>
            </w:pPr>
          </w:p>
        </w:tc>
        <w:tc>
          <w:tcPr>
            <w:tcW w:w="8860" w:type="dxa"/>
            <w:vAlign w:val="bottom"/>
            <w:tcBorders>
              <w:right w:val="single" w:sz="8" w:color="auto"/>
            </w:tcBorders>
          </w:tcPr>
          <w:p>
            <w:pPr>
              <w:ind w:left="320"/>
              <w:spacing w:after="0" w:line="188" w:lineRule="exact"/>
              <w:rPr>
                <w:sz w:val="20"/>
                <w:szCs w:val="20"/>
                <w:color w:val="auto"/>
              </w:rPr>
            </w:pPr>
            <w:r>
              <w:rPr>
                <w:rFonts w:ascii="Arial" w:cs="Arial" w:eastAsia="Arial" w:hAnsi="Arial"/>
                <w:sz w:val="17"/>
                <w:szCs w:val="17"/>
                <w:color w:val="auto"/>
              </w:rPr>
              <w:t>401(k) or defined contribution plans?” for information on how to vote. Benefit plan holders who join the Annual</w:t>
            </w:r>
          </w:p>
        </w:tc>
        <w:tc>
          <w:tcPr>
            <w:tcW w:w="0" w:type="dxa"/>
            <w:vAlign w:val="bottom"/>
          </w:tcPr>
          <w:p>
            <w:pPr>
              <w:spacing w:after="0"/>
              <w:rPr>
                <w:sz w:val="1"/>
                <w:szCs w:val="1"/>
                <w:color w:val="auto"/>
              </w:rPr>
            </w:pPr>
          </w:p>
        </w:tc>
      </w:tr>
      <w:tr>
        <w:trPr>
          <w:trHeight w:val="188"/>
        </w:trPr>
        <w:tc>
          <w:tcPr>
            <w:tcW w:w="2280" w:type="dxa"/>
            <w:vAlign w:val="bottom"/>
            <w:tcBorders>
              <w:left w:val="single" w:sz="8" w:color="auto"/>
            </w:tcBorders>
            <w:shd w:val="clear" w:color="auto" w:fill="E5E7EF"/>
          </w:tcPr>
          <w:p>
            <w:pPr>
              <w:spacing w:after="0"/>
              <w:rPr>
                <w:sz w:val="16"/>
                <w:szCs w:val="16"/>
                <w:color w:val="auto"/>
              </w:rPr>
            </w:pPr>
          </w:p>
        </w:tc>
        <w:tc>
          <w:tcPr>
            <w:tcW w:w="120" w:type="dxa"/>
            <w:vAlign w:val="bottom"/>
            <w:tcBorders>
              <w:right w:val="single" w:sz="8" w:color="auto"/>
            </w:tcBorders>
            <w:shd w:val="clear" w:color="auto" w:fill="E5E7EF"/>
          </w:tcPr>
          <w:p>
            <w:pPr>
              <w:spacing w:after="0"/>
              <w:rPr>
                <w:sz w:val="16"/>
                <w:szCs w:val="16"/>
                <w:color w:val="auto"/>
              </w:rPr>
            </w:pPr>
          </w:p>
        </w:tc>
        <w:tc>
          <w:tcPr>
            <w:tcW w:w="8860" w:type="dxa"/>
            <w:vAlign w:val="bottom"/>
            <w:tcBorders>
              <w:right w:val="single" w:sz="8" w:color="auto"/>
            </w:tcBorders>
          </w:tcPr>
          <w:p>
            <w:pPr>
              <w:ind w:left="320"/>
              <w:spacing w:after="0" w:line="188" w:lineRule="exact"/>
              <w:rPr>
                <w:sz w:val="20"/>
                <w:szCs w:val="20"/>
                <w:color w:val="auto"/>
              </w:rPr>
            </w:pPr>
            <w:r>
              <w:rPr>
                <w:rFonts w:ascii="Arial" w:cs="Arial" w:eastAsia="Arial" w:hAnsi="Arial"/>
                <w:sz w:val="17"/>
                <w:szCs w:val="17"/>
                <w:color w:val="auto"/>
              </w:rPr>
              <w:t>Meeting by using the unique control number received on their voting instruction form will be able to ask</w:t>
            </w:r>
          </w:p>
        </w:tc>
        <w:tc>
          <w:tcPr>
            <w:tcW w:w="0" w:type="dxa"/>
            <w:vAlign w:val="bottom"/>
          </w:tcPr>
          <w:p>
            <w:pPr>
              <w:spacing w:after="0"/>
              <w:rPr>
                <w:sz w:val="1"/>
                <w:szCs w:val="1"/>
                <w:color w:val="auto"/>
              </w:rPr>
            </w:pPr>
          </w:p>
        </w:tc>
      </w:tr>
      <w:tr>
        <w:trPr>
          <w:trHeight w:val="204"/>
        </w:trPr>
        <w:tc>
          <w:tcPr>
            <w:tcW w:w="2280" w:type="dxa"/>
            <w:vAlign w:val="bottom"/>
            <w:tcBorders>
              <w:left w:val="single" w:sz="8" w:color="auto"/>
            </w:tcBorders>
            <w:shd w:val="clear" w:color="auto" w:fill="E5E7EF"/>
          </w:tcPr>
          <w:p>
            <w:pPr>
              <w:spacing w:after="0"/>
              <w:rPr>
                <w:sz w:val="17"/>
                <w:szCs w:val="17"/>
                <w:color w:val="auto"/>
              </w:rPr>
            </w:pPr>
          </w:p>
        </w:tc>
        <w:tc>
          <w:tcPr>
            <w:tcW w:w="120" w:type="dxa"/>
            <w:vAlign w:val="bottom"/>
            <w:tcBorders>
              <w:right w:val="single" w:sz="8" w:color="auto"/>
            </w:tcBorders>
            <w:shd w:val="clear" w:color="auto" w:fill="E5E7EF"/>
          </w:tcPr>
          <w:p>
            <w:pPr>
              <w:spacing w:after="0"/>
              <w:rPr>
                <w:sz w:val="17"/>
                <w:szCs w:val="17"/>
                <w:color w:val="auto"/>
              </w:rPr>
            </w:pPr>
          </w:p>
        </w:tc>
        <w:tc>
          <w:tcPr>
            <w:tcW w:w="8860" w:type="dxa"/>
            <w:vAlign w:val="bottom"/>
            <w:tcBorders>
              <w:right w:val="single" w:sz="8" w:color="auto"/>
            </w:tcBorders>
          </w:tcPr>
          <w:p>
            <w:pPr>
              <w:ind w:left="320"/>
              <w:spacing w:after="0"/>
              <w:rPr>
                <w:sz w:val="20"/>
                <w:szCs w:val="20"/>
                <w:color w:val="auto"/>
              </w:rPr>
            </w:pPr>
            <w:r>
              <w:rPr>
                <w:rFonts w:ascii="Arial" w:cs="Arial" w:eastAsia="Arial" w:hAnsi="Arial"/>
                <w:sz w:val="17"/>
                <w:szCs w:val="17"/>
                <w:color w:val="auto"/>
              </w:rPr>
              <w:t>questions but not vote during the meeting.</w:t>
            </w:r>
          </w:p>
        </w:tc>
        <w:tc>
          <w:tcPr>
            <w:tcW w:w="0" w:type="dxa"/>
            <w:vAlign w:val="bottom"/>
          </w:tcPr>
          <w:p>
            <w:pPr>
              <w:spacing w:after="0"/>
              <w:rPr>
                <w:sz w:val="1"/>
                <w:szCs w:val="1"/>
                <w:color w:val="auto"/>
              </w:rPr>
            </w:pPr>
          </w:p>
        </w:tc>
      </w:tr>
      <w:tr>
        <w:trPr>
          <w:trHeight w:val="608"/>
        </w:trPr>
        <w:tc>
          <w:tcPr>
            <w:tcW w:w="2280" w:type="dxa"/>
            <w:vAlign w:val="bottom"/>
            <w:tcBorders>
              <w:left w:val="single" w:sz="8" w:color="auto"/>
              <w:bottom w:val="single" w:sz="8" w:color="auto"/>
            </w:tcBorders>
            <w:shd w:val="clear" w:color="auto" w:fill="E5E7EF"/>
          </w:tcPr>
          <w:p>
            <w:pPr>
              <w:spacing w:after="0"/>
              <w:rPr>
                <w:sz w:val="24"/>
                <w:szCs w:val="24"/>
                <w:color w:val="auto"/>
              </w:rPr>
            </w:pPr>
          </w:p>
        </w:tc>
        <w:tc>
          <w:tcPr>
            <w:tcW w:w="120" w:type="dxa"/>
            <w:vAlign w:val="bottom"/>
            <w:tcBorders>
              <w:bottom w:val="single" w:sz="8" w:color="auto"/>
              <w:right w:val="single" w:sz="8" w:color="auto"/>
            </w:tcBorders>
            <w:shd w:val="clear" w:color="auto" w:fill="E5E7EF"/>
          </w:tcPr>
          <w:p>
            <w:pPr>
              <w:spacing w:after="0"/>
              <w:rPr>
                <w:sz w:val="24"/>
                <w:szCs w:val="24"/>
                <w:color w:val="auto"/>
              </w:rPr>
            </w:pPr>
          </w:p>
        </w:tc>
        <w:tc>
          <w:tcPr>
            <w:tcW w:w="88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80</w:t>
      </w:r>
    </w:p>
    <w:p>
      <w:pPr>
        <w:sectPr>
          <w:pgSz w:w="11900" w:h="16838" w:orient="portrait"/>
          <w:cols w:equalWidth="0" w:num="1">
            <w:col w:w="11260"/>
          </w:cols>
          <w:pgMar w:left="320" w:top="254" w:right="319" w:bottom="1440" w:gutter="0" w:footer="0" w:header="0"/>
        </w:sectPr>
      </w:pPr>
    </w:p>
    <w:bookmarkStart w:id="86" w:name="page87"/>
    <w:bookmarkEnd w:id="86"/>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Annual Meeting Questions and Answers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9"/>
          <w:szCs w:val="29"/>
          <w:color w:val="003478"/>
        </w:rPr>
        <w:t>Who is entitled to vote at the Annual Meeting?</w:t>
      </w:r>
    </w:p>
    <w:p>
      <w:pPr>
        <w:spacing w:after="0" w:line="121"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 xml:space="preserve">Holders of our common stock at the close of business on February 25, 2022 (the Record Date) are entitled to participate and vote their shares at the Annual Meeting. As of the Record Date, there were 266,534,099 shares issued and outstanding. Each share outstanding on the Record Date is entitled to one vote on each proposal presented at the Annual Meeting. This includes shares held through Lockheed Martin Direct Invest, our dividend reinvestment and stock purchase plan, and through our employee benefit plans. Your proxy card shows the number of shares held in your account(s) as of the Record Date. </w:t>
      </w:r>
      <w:r>
        <w:rPr>
          <w:rFonts w:ascii="Arial" w:cs="Arial" w:eastAsia="Arial" w:hAnsi="Arial"/>
          <w:sz w:val="17"/>
          <w:szCs w:val="17"/>
          <w:b w:val="1"/>
          <w:bCs w:val="1"/>
          <w:color w:val="auto"/>
        </w:rPr>
        <w:t>Whether or not you plan to attend the virtual Annual Meeting, the Company encourages all stockholders to</w:t>
      </w:r>
      <w:r>
        <w:rPr>
          <w:rFonts w:ascii="Arial" w:cs="Arial" w:eastAsia="Arial" w:hAnsi="Arial"/>
          <w:sz w:val="17"/>
          <w:szCs w:val="17"/>
          <w:color w:val="auto"/>
        </w:rPr>
        <w:t xml:space="preserve"> </w:t>
      </w:r>
      <w:r>
        <w:rPr>
          <w:rFonts w:ascii="Arial" w:cs="Arial" w:eastAsia="Arial" w:hAnsi="Arial"/>
          <w:sz w:val="17"/>
          <w:szCs w:val="17"/>
          <w:b w:val="1"/>
          <w:bCs w:val="1"/>
          <w:color w:val="auto"/>
        </w:rPr>
        <w:t>vote on the proposals prior to the Annual Meeting in accordance with the instructions you receive with your Proxy Materials.</w:t>
      </w:r>
    </w:p>
    <w:p>
      <w:pPr>
        <w:spacing w:after="0" w:line="86" w:lineRule="exact"/>
        <w:rPr>
          <w:sz w:val="20"/>
          <w:szCs w:val="20"/>
          <w:color w:val="auto"/>
        </w:rPr>
      </w:pPr>
    </w:p>
    <w:p>
      <w:pPr>
        <w:ind w:right="660"/>
        <w:spacing w:after="0" w:line="250" w:lineRule="auto"/>
        <w:rPr>
          <w:sz w:val="20"/>
          <w:szCs w:val="20"/>
          <w:color w:val="auto"/>
        </w:rPr>
      </w:pPr>
      <w:r>
        <w:rPr>
          <w:rFonts w:ascii="Arial" w:cs="Arial" w:eastAsia="Arial" w:hAnsi="Arial"/>
          <w:sz w:val="29"/>
          <w:szCs w:val="29"/>
          <w:color w:val="003478"/>
        </w:rPr>
        <w:t>What is the difference between holding shares as a registered stockholder and as a beneficial owner?</w:t>
      </w:r>
    </w:p>
    <w:p>
      <w:pPr>
        <w:spacing w:after="0" w:line="96" w:lineRule="exact"/>
        <w:rPr>
          <w:sz w:val="20"/>
          <w:szCs w:val="20"/>
          <w:color w:val="auto"/>
        </w:rPr>
      </w:pPr>
    </w:p>
    <w:p>
      <w:pPr>
        <w:ind w:right="880"/>
        <w:spacing w:after="0" w:line="274" w:lineRule="auto"/>
        <w:rPr>
          <w:sz w:val="20"/>
          <w:szCs w:val="20"/>
          <w:color w:val="auto"/>
        </w:rPr>
      </w:pPr>
      <w:r>
        <w:rPr>
          <w:rFonts w:ascii="Arial" w:cs="Arial" w:eastAsia="Arial" w:hAnsi="Arial"/>
          <w:sz w:val="17"/>
          <w:szCs w:val="17"/>
          <w:color w:val="auto"/>
        </w:rPr>
        <w:t>If your shares are registered directly in your name with our transfer agent, Computershare Trust Company, N.A. (Computershare), you are considered the “registered stockholder” of those shares. We mail the Proxy Materials and our Annual Report to you directly.</w:t>
      </w:r>
    </w:p>
    <w:p>
      <w:pPr>
        <w:spacing w:after="0" w:line="91" w:lineRule="exact"/>
        <w:rPr>
          <w:sz w:val="20"/>
          <w:szCs w:val="20"/>
          <w:color w:val="auto"/>
        </w:rPr>
      </w:pPr>
    </w:p>
    <w:p>
      <w:pPr>
        <w:ind w:right="260"/>
        <w:spacing w:after="0" w:line="267" w:lineRule="auto"/>
        <w:rPr>
          <w:sz w:val="20"/>
          <w:szCs w:val="20"/>
          <w:color w:val="auto"/>
        </w:rPr>
      </w:pPr>
      <w:r>
        <w:rPr>
          <w:rFonts w:ascii="Arial" w:cs="Arial" w:eastAsia="Arial" w:hAnsi="Arial"/>
          <w:sz w:val="17"/>
          <w:szCs w:val="17"/>
          <w:color w:val="auto"/>
        </w:rPr>
        <w:t>If your shares are held in a stock brokerage account or by a bank or other nominee (street name), you are considered the “beneficial owner” of the shares that are registered in street name. In this case, the Proxy Materials and our Annual Report were forwarded to you by your broker, bank or other nominee. As the beneficial owner, you have the right to direct your broker, bank or other nominee how to vote your shares by following the voting instructions included in the mailing.</w:t>
      </w:r>
    </w:p>
    <w:p>
      <w:pPr>
        <w:spacing w:after="0" w:line="98"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Participants in a Lockheed Martin benefit plan with shares allocated to their account should review the information on procedures for voting by plan participants on page 83.</w:t>
      </w:r>
    </w:p>
    <w:p>
      <w:pPr>
        <w:spacing w:after="0" w:line="80" w:lineRule="exact"/>
        <w:rPr>
          <w:sz w:val="20"/>
          <w:szCs w:val="20"/>
          <w:color w:val="auto"/>
        </w:rPr>
      </w:pPr>
    </w:p>
    <w:p>
      <w:pPr>
        <w:spacing w:after="0"/>
        <w:rPr>
          <w:sz w:val="20"/>
          <w:szCs w:val="20"/>
          <w:color w:val="auto"/>
        </w:rPr>
      </w:pPr>
      <w:r>
        <w:rPr>
          <w:rFonts w:ascii="Arial" w:cs="Arial" w:eastAsia="Arial" w:hAnsi="Arial"/>
          <w:sz w:val="29"/>
          <w:szCs w:val="29"/>
          <w:color w:val="003478"/>
        </w:rPr>
        <w:t>What am I voting on and what are the Board voting recommendations?</w:t>
      </w:r>
    </w:p>
    <w:p>
      <w:pPr>
        <w:spacing w:after="0" w:line="12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following table summarizes the Board’s voting recommendations for each proposal, if properly presented, the vote required for each proposal to pass and the effect of abstentions and uninstructed shares on each proposal. The presence of the holders of a majority of the outstanding shares entitled to vote, in person or represented by proxy, is necessary to constitute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7150100" cy="152717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0100" cy="1527175"/>
                    </a:xfrm>
                    <a:prstGeom prst="rect">
                      <a:avLst/>
                    </a:prstGeom>
                    <a:noFill/>
                  </pic:spPr>
                </pic:pic>
              </a:graphicData>
            </a:graphic>
          </wp:anchor>
        </w:drawing>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shd w:val="clear" w:color="auto" w:fill="E5E7EF"/>
          </w:tcPr>
          <w:p>
            <w:pPr>
              <w:spacing w:after="0"/>
              <w:rPr>
                <w:sz w:val="15"/>
                <w:szCs w:val="15"/>
                <w:color w:val="auto"/>
              </w:rPr>
            </w:pPr>
          </w:p>
        </w:tc>
        <w:tc>
          <w:tcPr>
            <w:tcW w:w="640" w:type="dxa"/>
            <w:vAlign w:val="bottom"/>
            <w:shd w:val="clear" w:color="auto" w:fill="E5E7EF"/>
          </w:tcPr>
          <w:p>
            <w:pPr>
              <w:spacing w:after="0"/>
              <w:rPr>
                <w:sz w:val="15"/>
                <w:szCs w:val="15"/>
                <w:color w:val="auto"/>
              </w:rPr>
            </w:pPr>
          </w:p>
        </w:tc>
        <w:tc>
          <w:tcPr>
            <w:tcW w:w="4740" w:type="dxa"/>
            <w:vAlign w:val="bottom"/>
            <w:shd w:val="clear" w:color="auto" w:fill="E5E7EF"/>
          </w:tcPr>
          <w:p>
            <w:pPr>
              <w:spacing w:after="0"/>
              <w:rPr>
                <w:sz w:val="15"/>
                <w:szCs w:val="15"/>
                <w:color w:val="auto"/>
              </w:rPr>
            </w:pPr>
          </w:p>
        </w:tc>
        <w:tc>
          <w:tcPr>
            <w:tcW w:w="540" w:type="dxa"/>
            <w:vAlign w:val="bottom"/>
            <w:tcBorders>
              <w:right w:val="single" w:sz="8" w:color="E5E7EF"/>
            </w:tcBorders>
            <w:shd w:val="clear" w:color="auto" w:fill="E5E7EF"/>
          </w:tcPr>
          <w:p>
            <w:pPr>
              <w:spacing w:after="0"/>
              <w:rPr>
                <w:sz w:val="15"/>
                <w:szCs w:val="15"/>
                <w:color w:val="auto"/>
              </w:rPr>
            </w:pPr>
          </w:p>
        </w:tc>
        <w:tc>
          <w:tcPr>
            <w:tcW w:w="1400" w:type="dxa"/>
            <w:vAlign w:val="bottom"/>
            <w:shd w:val="clear" w:color="auto" w:fill="E5E7EF"/>
          </w:tcPr>
          <w:p>
            <w:pPr>
              <w:spacing w:after="0"/>
              <w:rPr>
                <w:sz w:val="15"/>
                <w:szCs w:val="15"/>
                <w:color w:val="auto"/>
              </w:rPr>
            </w:pPr>
          </w:p>
        </w:tc>
        <w:tc>
          <w:tcPr>
            <w:tcW w:w="1740" w:type="dxa"/>
            <w:vAlign w:val="bottom"/>
            <w:shd w:val="clear" w:color="auto" w:fill="E5E7EF"/>
          </w:tcPr>
          <w:p>
            <w:pPr>
              <w:spacing w:after="0"/>
              <w:rPr>
                <w:sz w:val="15"/>
                <w:szCs w:val="15"/>
                <w:color w:val="auto"/>
              </w:rPr>
            </w:pPr>
          </w:p>
        </w:tc>
        <w:tc>
          <w:tcPr>
            <w:tcW w:w="1080" w:type="dxa"/>
            <w:vAlign w:val="bottom"/>
            <w:shd w:val="clear" w:color="auto" w:fill="E5E7EF"/>
          </w:tcPr>
          <w:p>
            <w:pPr>
              <w:jc w:val="right"/>
              <w:spacing w:after="0"/>
              <w:rPr>
                <w:sz w:val="20"/>
                <w:szCs w:val="20"/>
                <w:color w:val="auto"/>
              </w:rPr>
            </w:pPr>
            <w:r>
              <w:rPr>
                <w:rFonts w:ascii="Arial" w:cs="Arial" w:eastAsia="Arial" w:hAnsi="Arial"/>
                <w:sz w:val="13"/>
                <w:szCs w:val="13"/>
                <w:color w:val="auto"/>
              </w:rPr>
              <w:t>Effect of</w:t>
            </w:r>
          </w:p>
        </w:tc>
        <w:tc>
          <w:tcPr>
            <w:tcW w:w="1060" w:type="dxa"/>
            <w:vAlign w:val="bottom"/>
            <w:shd w:val="clear" w:color="auto" w:fill="E5E7EF"/>
          </w:tcPr>
          <w:p>
            <w:pPr>
              <w:spacing w:after="0"/>
              <w:rPr>
                <w:sz w:val="15"/>
                <w:szCs w:val="15"/>
                <w:color w:val="auto"/>
              </w:rPr>
            </w:pPr>
          </w:p>
        </w:tc>
        <w:tc>
          <w:tcPr>
            <w:tcW w:w="20" w:type="dxa"/>
            <w:vAlign w:val="bottom"/>
            <w:shd w:val="clear" w:color="auto" w:fill="E5E7EF"/>
          </w:tcPr>
          <w:p>
            <w:pPr>
              <w:spacing w:after="0"/>
              <w:rPr>
                <w:sz w:val="15"/>
                <w:szCs w:val="15"/>
                <w:color w:val="auto"/>
              </w:rPr>
            </w:pPr>
          </w:p>
        </w:tc>
      </w:tr>
      <w:tr>
        <w:trPr>
          <w:trHeight w:val="147"/>
        </w:trPr>
        <w:tc>
          <w:tcPr>
            <w:tcW w:w="20" w:type="dxa"/>
            <w:vAlign w:val="bottom"/>
            <w:shd w:val="clear" w:color="auto" w:fill="E5E7EF"/>
          </w:tcPr>
          <w:p>
            <w:pPr>
              <w:spacing w:after="0"/>
              <w:rPr>
                <w:sz w:val="12"/>
                <w:szCs w:val="12"/>
                <w:color w:val="auto"/>
              </w:rPr>
            </w:pPr>
          </w:p>
        </w:tc>
        <w:tc>
          <w:tcPr>
            <w:tcW w:w="640" w:type="dxa"/>
            <w:vAlign w:val="bottom"/>
            <w:shd w:val="clear" w:color="auto" w:fill="E5E7EF"/>
          </w:tcPr>
          <w:p>
            <w:pPr>
              <w:spacing w:after="0"/>
              <w:rPr>
                <w:sz w:val="12"/>
                <w:szCs w:val="12"/>
                <w:color w:val="auto"/>
              </w:rPr>
            </w:pPr>
          </w:p>
        </w:tc>
        <w:tc>
          <w:tcPr>
            <w:tcW w:w="4740" w:type="dxa"/>
            <w:vAlign w:val="bottom"/>
            <w:shd w:val="clear" w:color="auto" w:fill="E5E7EF"/>
          </w:tcPr>
          <w:p>
            <w:pPr>
              <w:spacing w:after="0"/>
              <w:rPr>
                <w:sz w:val="12"/>
                <w:szCs w:val="12"/>
                <w:color w:val="auto"/>
              </w:rPr>
            </w:pPr>
          </w:p>
        </w:tc>
        <w:tc>
          <w:tcPr>
            <w:tcW w:w="540" w:type="dxa"/>
            <w:vAlign w:val="bottom"/>
            <w:tcBorders>
              <w:right w:val="single" w:sz="8" w:color="E5E7EF"/>
            </w:tcBorders>
            <w:shd w:val="clear" w:color="auto" w:fill="E5E7EF"/>
          </w:tcPr>
          <w:p>
            <w:pPr>
              <w:spacing w:after="0"/>
              <w:rPr>
                <w:sz w:val="12"/>
                <w:szCs w:val="12"/>
                <w:color w:val="auto"/>
              </w:rPr>
            </w:pPr>
          </w:p>
        </w:tc>
        <w:tc>
          <w:tcPr>
            <w:tcW w:w="1400" w:type="dxa"/>
            <w:vAlign w:val="bottom"/>
            <w:shd w:val="clear" w:color="auto" w:fill="E5E7EF"/>
          </w:tcPr>
          <w:p>
            <w:pPr>
              <w:jc w:val="right"/>
              <w:spacing w:after="0" w:line="148" w:lineRule="exact"/>
              <w:rPr>
                <w:sz w:val="20"/>
                <w:szCs w:val="20"/>
                <w:color w:val="auto"/>
              </w:rPr>
            </w:pPr>
            <w:r>
              <w:rPr>
                <w:rFonts w:ascii="Arial" w:cs="Arial" w:eastAsia="Arial" w:hAnsi="Arial"/>
                <w:sz w:val="13"/>
                <w:szCs w:val="13"/>
                <w:color w:val="auto"/>
              </w:rPr>
              <w:t>Board Voting</w:t>
            </w:r>
          </w:p>
        </w:tc>
        <w:tc>
          <w:tcPr>
            <w:tcW w:w="1740" w:type="dxa"/>
            <w:vAlign w:val="bottom"/>
            <w:shd w:val="clear" w:color="auto" w:fill="E5E7EF"/>
          </w:tcPr>
          <w:p>
            <w:pPr>
              <w:spacing w:after="0"/>
              <w:rPr>
                <w:sz w:val="12"/>
                <w:szCs w:val="12"/>
                <w:color w:val="auto"/>
              </w:rPr>
            </w:pPr>
          </w:p>
        </w:tc>
        <w:tc>
          <w:tcPr>
            <w:tcW w:w="1080" w:type="dxa"/>
            <w:vAlign w:val="bottom"/>
            <w:shd w:val="clear" w:color="auto" w:fill="E5E7EF"/>
          </w:tcPr>
          <w:p>
            <w:pPr>
              <w:jc w:val="right"/>
              <w:spacing w:after="0" w:line="148" w:lineRule="exact"/>
              <w:rPr>
                <w:sz w:val="20"/>
                <w:szCs w:val="20"/>
                <w:color w:val="auto"/>
              </w:rPr>
            </w:pPr>
            <w:r>
              <w:rPr>
                <w:rFonts w:ascii="Arial" w:cs="Arial" w:eastAsia="Arial" w:hAnsi="Arial"/>
                <w:sz w:val="13"/>
                <w:szCs w:val="13"/>
                <w:color w:val="auto"/>
              </w:rPr>
              <w:t>Abstentions on</w:t>
            </w:r>
          </w:p>
        </w:tc>
        <w:tc>
          <w:tcPr>
            <w:tcW w:w="1080" w:type="dxa"/>
            <w:vAlign w:val="bottom"/>
            <w:gridSpan w:val="2"/>
            <w:shd w:val="clear" w:color="auto" w:fill="E5E7EF"/>
          </w:tcPr>
          <w:p>
            <w:pPr>
              <w:jc w:val="right"/>
              <w:ind w:right="40"/>
              <w:spacing w:after="0" w:line="148" w:lineRule="exact"/>
              <w:rPr>
                <w:sz w:val="20"/>
                <w:szCs w:val="20"/>
                <w:color w:val="auto"/>
              </w:rPr>
            </w:pPr>
            <w:r>
              <w:rPr>
                <w:rFonts w:ascii="Arial" w:cs="Arial" w:eastAsia="Arial" w:hAnsi="Arial"/>
                <w:sz w:val="13"/>
                <w:szCs w:val="13"/>
                <w:color w:val="auto"/>
              </w:rPr>
              <w:t>Effect of Broker</w:t>
            </w:r>
          </w:p>
        </w:tc>
      </w:tr>
      <w:tr>
        <w:trPr>
          <w:trHeight w:val="181"/>
        </w:trPr>
        <w:tc>
          <w:tcPr>
            <w:tcW w:w="20" w:type="dxa"/>
            <w:vAlign w:val="bottom"/>
            <w:shd w:val="clear" w:color="auto" w:fill="E5E7EF"/>
          </w:tcPr>
          <w:p>
            <w:pPr>
              <w:spacing w:after="0"/>
              <w:rPr>
                <w:sz w:val="15"/>
                <w:szCs w:val="15"/>
                <w:color w:val="auto"/>
              </w:rPr>
            </w:pPr>
          </w:p>
        </w:tc>
        <w:tc>
          <w:tcPr>
            <w:tcW w:w="640" w:type="dxa"/>
            <w:vAlign w:val="bottom"/>
            <w:tcBorders>
              <w:bottom w:val="single" w:sz="8" w:color="003478"/>
            </w:tcBorders>
            <w:shd w:val="clear" w:color="auto" w:fill="E5E7EF"/>
          </w:tcPr>
          <w:p>
            <w:pPr>
              <w:ind w:left="20"/>
              <w:spacing w:after="0"/>
              <w:rPr>
                <w:sz w:val="20"/>
                <w:szCs w:val="20"/>
                <w:color w:val="auto"/>
              </w:rPr>
            </w:pPr>
            <w:r>
              <w:rPr>
                <w:rFonts w:ascii="Arial" w:cs="Arial" w:eastAsia="Arial" w:hAnsi="Arial"/>
                <w:sz w:val="13"/>
                <w:szCs w:val="13"/>
                <w:color w:val="auto"/>
              </w:rPr>
              <w:t>Proposal</w:t>
            </w:r>
          </w:p>
        </w:tc>
        <w:tc>
          <w:tcPr>
            <w:tcW w:w="4740" w:type="dxa"/>
            <w:vAlign w:val="bottom"/>
            <w:tcBorders>
              <w:bottom w:val="single" w:sz="8" w:color="003478"/>
            </w:tcBorders>
            <w:shd w:val="clear" w:color="auto" w:fill="E5E7EF"/>
          </w:tcPr>
          <w:p>
            <w:pPr>
              <w:ind w:left="140"/>
              <w:spacing w:after="0"/>
              <w:rPr>
                <w:sz w:val="20"/>
                <w:szCs w:val="20"/>
                <w:color w:val="auto"/>
              </w:rPr>
            </w:pPr>
            <w:r>
              <w:rPr>
                <w:rFonts w:ascii="Arial" w:cs="Arial" w:eastAsia="Arial" w:hAnsi="Arial"/>
                <w:sz w:val="13"/>
                <w:szCs w:val="13"/>
                <w:color w:val="auto"/>
              </w:rPr>
              <w:t>Description</w:t>
            </w:r>
          </w:p>
        </w:tc>
        <w:tc>
          <w:tcPr>
            <w:tcW w:w="540" w:type="dxa"/>
            <w:vAlign w:val="bottom"/>
            <w:tcBorders>
              <w:bottom w:val="single" w:sz="8" w:color="003478"/>
              <w:right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Page</w:t>
            </w:r>
          </w:p>
        </w:tc>
        <w:tc>
          <w:tcPr>
            <w:tcW w:w="1400" w:type="dxa"/>
            <w:vAlign w:val="bottom"/>
            <w:tcBorders>
              <w:bottom w:val="single" w:sz="8" w:color="003478"/>
            </w:tcBorders>
            <w:shd w:val="clear" w:color="auto" w:fill="E5E7EF"/>
          </w:tcPr>
          <w:p>
            <w:pPr>
              <w:jc w:val="right"/>
              <w:spacing w:after="0"/>
              <w:rPr>
                <w:sz w:val="20"/>
                <w:szCs w:val="20"/>
                <w:color w:val="auto"/>
              </w:rPr>
            </w:pPr>
            <w:r>
              <w:rPr>
                <w:rFonts w:ascii="Arial" w:cs="Arial" w:eastAsia="Arial" w:hAnsi="Arial"/>
                <w:sz w:val="13"/>
                <w:szCs w:val="13"/>
                <w:color w:val="auto"/>
              </w:rPr>
              <w:t>Recommendations</w:t>
            </w:r>
          </w:p>
        </w:tc>
        <w:tc>
          <w:tcPr>
            <w:tcW w:w="1740" w:type="dxa"/>
            <w:vAlign w:val="bottom"/>
            <w:tcBorders>
              <w:bottom w:val="single" w:sz="8" w:color="003478"/>
            </w:tcBorders>
            <w:shd w:val="clear" w:color="auto" w:fill="E5E7EF"/>
          </w:tcPr>
          <w:p>
            <w:pPr>
              <w:jc w:val="right"/>
              <w:spacing w:after="0" w:line="181" w:lineRule="exact"/>
              <w:rPr>
                <w:sz w:val="20"/>
                <w:szCs w:val="20"/>
                <w:color w:val="auto"/>
              </w:rPr>
            </w:pPr>
            <w:r>
              <w:rPr>
                <w:rFonts w:ascii="Arial" w:cs="Arial" w:eastAsia="Arial" w:hAnsi="Arial"/>
                <w:sz w:val="13"/>
                <w:szCs w:val="13"/>
                <w:color w:val="auto"/>
              </w:rPr>
              <w:t>Required Vote to Pass</w:t>
            </w:r>
            <w:r>
              <w:rPr>
                <w:rFonts w:ascii="Arial" w:cs="Arial" w:eastAsia="Arial" w:hAnsi="Arial"/>
                <w:sz w:val="16"/>
                <w:szCs w:val="16"/>
                <w:color w:val="auto"/>
                <w:vertAlign w:val="superscript"/>
              </w:rPr>
              <w:t>(1)</w:t>
            </w:r>
          </w:p>
        </w:tc>
        <w:tc>
          <w:tcPr>
            <w:tcW w:w="1080" w:type="dxa"/>
            <w:vAlign w:val="bottom"/>
            <w:tcBorders>
              <w:bottom w:val="single" w:sz="8" w:color="003478"/>
            </w:tcBorders>
            <w:shd w:val="clear" w:color="auto" w:fill="E5E7EF"/>
          </w:tcPr>
          <w:p>
            <w:pPr>
              <w:jc w:val="right"/>
              <w:spacing w:after="0" w:line="181" w:lineRule="exact"/>
              <w:rPr>
                <w:sz w:val="20"/>
                <w:szCs w:val="20"/>
                <w:color w:val="auto"/>
              </w:rPr>
            </w:pPr>
            <w:r>
              <w:rPr>
                <w:rFonts w:ascii="Arial" w:cs="Arial" w:eastAsia="Arial" w:hAnsi="Arial"/>
                <w:sz w:val="13"/>
                <w:szCs w:val="13"/>
                <w:color w:val="auto"/>
              </w:rPr>
              <w:t>Votes Cast</w:t>
            </w:r>
            <w:r>
              <w:rPr>
                <w:rFonts w:ascii="Arial" w:cs="Arial" w:eastAsia="Arial" w:hAnsi="Arial"/>
                <w:sz w:val="16"/>
                <w:szCs w:val="16"/>
                <w:color w:val="auto"/>
                <w:vertAlign w:val="superscript"/>
              </w:rPr>
              <w:t>(2)</w:t>
            </w:r>
          </w:p>
        </w:tc>
        <w:tc>
          <w:tcPr>
            <w:tcW w:w="1060" w:type="dxa"/>
            <w:vAlign w:val="bottom"/>
            <w:tcBorders>
              <w:bottom w:val="single" w:sz="8" w:color="003478"/>
            </w:tcBorders>
            <w:shd w:val="clear" w:color="auto" w:fill="E5E7EF"/>
          </w:tcPr>
          <w:p>
            <w:pPr>
              <w:jc w:val="right"/>
              <w:spacing w:after="0" w:line="181" w:lineRule="exact"/>
              <w:rPr>
                <w:sz w:val="20"/>
                <w:szCs w:val="20"/>
                <w:color w:val="auto"/>
              </w:rPr>
            </w:pPr>
            <w:r>
              <w:rPr>
                <w:rFonts w:ascii="Arial" w:cs="Arial" w:eastAsia="Arial" w:hAnsi="Arial"/>
                <w:sz w:val="13"/>
                <w:szCs w:val="13"/>
                <w:color w:val="auto"/>
              </w:rPr>
              <w:t>Non-Votes</w:t>
            </w:r>
            <w:r>
              <w:rPr>
                <w:rFonts w:ascii="Arial" w:cs="Arial" w:eastAsia="Arial" w:hAnsi="Arial"/>
                <w:sz w:val="16"/>
                <w:szCs w:val="16"/>
                <w:color w:val="auto"/>
                <w:vertAlign w:val="superscript"/>
              </w:rPr>
              <w:t>(3)</w:t>
            </w:r>
          </w:p>
        </w:tc>
        <w:tc>
          <w:tcPr>
            <w:tcW w:w="20" w:type="dxa"/>
            <w:vAlign w:val="bottom"/>
            <w:shd w:val="clear" w:color="auto" w:fill="E5E7EF"/>
          </w:tcPr>
          <w:p>
            <w:pPr>
              <w:spacing w:after="0"/>
              <w:rPr>
                <w:sz w:val="15"/>
                <w:szCs w:val="15"/>
                <w:color w:val="auto"/>
              </w:rPr>
            </w:pPr>
          </w:p>
        </w:tc>
      </w:tr>
      <w:tr>
        <w:trPr>
          <w:trHeight w:val="141"/>
        </w:trPr>
        <w:tc>
          <w:tcPr>
            <w:tcW w:w="660" w:type="dxa"/>
            <w:vAlign w:val="bottom"/>
            <w:gridSpan w:val="2"/>
          </w:tcPr>
          <w:p>
            <w:pPr>
              <w:ind w:left="40"/>
              <w:spacing w:after="0" w:line="141" w:lineRule="exact"/>
              <w:rPr>
                <w:sz w:val="20"/>
                <w:szCs w:val="20"/>
                <w:color w:val="auto"/>
              </w:rPr>
            </w:pPr>
            <w:r>
              <w:rPr>
                <w:rFonts w:ascii="Arial" w:cs="Arial" w:eastAsia="Arial" w:hAnsi="Arial"/>
                <w:sz w:val="14"/>
                <w:szCs w:val="14"/>
                <w:b w:val="1"/>
                <w:bCs w:val="1"/>
                <w:color w:val="auto"/>
              </w:rPr>
              <w:t>1</w:t>
            </w:r>
          </w:p>
        </w:tc>
        <w:tc>
          <w:tcPr>
            <w:tcW w:w="4740" w:type="dxa"/>
            <w:vAlign w:val="bottom"/>
          </w:tcPr>
          <w:p>
            <w:pPr>
              <w:ind w:left="160"/>
              <w:spacing w:after="0" w:line="141" w:lineRule="exact"/>
              <w:rPr>
                <w:sz w:val="20"/>
                <w:szCs w:val="20"/>
                <w:color w:val="auto"/>
              </w:rPr>
            </w:pPr>
            <w:r>
              <w:rPr>
                <w:rFonts w:ascii="Arial" w:cs="Arial" w:eastAsia="Arial" w:hAnsi="Arial"/>
                <w:sz w:val="14"/>
                <w:szCs w:val="14"/>
                <w:color w:val="auto"/>
              </w:rPr>
              <w:t>Election of Directors</w:t>
            </w:r>
          </w:p>
        </w:tc>
        <w:tc>
          <w:tcPr>
            <w:tcW w:w="540" w:type="dxa"/>
            <w:vAlign w:val="bottom"/>
            <w:tcBorders>
              <w:right w:val="single" w:sz="8" w:color="E5E7EF"/>
            </w:tcBorders>
          </w:tcPr>
          <w:p>
            <w:pPr>
              <w:jc w:val="right"/>
              <w:spacing w:after="0" w:line="141" w:lineRule="exact"/>
              <w:rPr>
                <w:sz w:val="20"/>
                <w:szCs w:val="20"/>
                <w:color w:val="auto"/>
              </w:rPr>
            </w:pPr>
            <w:r>
              <w:rPr>
                <w:rFonts w:ascii="Arial" w:cs="Arial" w:eastAsia="Arial" w:hAnsi="Arial"/>
                <w:sz w:val="14"/>
                <w:szCs w:val="14"/>
                <w:color w:val="auto"/>
              </w:rPr>
              <w:t>7</w:t>
            </w:r>
          </w:p>
        </w:tc>
        <w:tc>
          <w:tcPr>
            <w:tcW w:w="1400" w:type="dxa"/>
            <w:vAlign w:val="bottom"/>
            <w:shd w:val="clear" w:color="auto" w:fill="E5E7EF"/>
          </w:tcPr>
          <w:p>
            <w:pPr>
              <w:jc w:val="right"/>
              <w:spacing w:after="0" w:line="141" w:lineRule="exact"/>
              <w:rPr>
                <w:sz w:val="20"/>
                <w:szCs w:val="20"/>
                <w:color w:val="auto"/>
              </w:rPr>
            </w:pPr>
            <w:r>
              <w:rPr>
                <w:rFonts w:ascii="Arial" w:cs="Arial" w:eastAsia="Arial" w:hAnsi="Arial"/>
                <w:sz w:val="14"/>
                <w:szCs w:val="14"/>
                <w:b w:val="1"/>
                <w:bCs w:val="1"/>
                <w:color w:val="auto"/>
              </w:rPr>
              <w:t>FOR ALL</w:t>
            </w:r>
          </w:p>
        </w:tc>
        <w:tc>
          <w:tcPr>
            <w:tcW w:w="1740" w:type="dxa"/>
            <w:vAlign w:val="bottom"/>
          </w:tcPr>
          <w:p>
            <w:pPr>
              <w:jc w:val="right"/>
              <w:spacing w:after="0" w:line="141" w:lineRule="exact"/>
              <w:rPr>
                <w:sz w:val="20"/>
                <w:szCs w:val="20"/>
                <w:color w:val="auto"/>
              </w:rPr>
            </w:pPr>
            <w:r>
              <w:rPr>
                <w:rFonts w:ascii="Arial" w:cs="Arial" w:eastAsia="Arial" w:hAnsi="Arial"/>
                <w:sz w:val="14"/>
                <w:szCs w:val="14"/>
                <w:color w:val="auto"/>
              </w:rPr>
              <w:t>Majority of votes cast for</w:t>
            </w:r>
          </w:p>
        </w:tc>
        <w:tc>
          <w:tcPr>
            <w:tcW w:w="1080" w:type="dxa"/>
            <w:vAlign w:val="bottom"/>
          </w:tcPr>
          <w:p>
            <w:pPr>
              <w:jc w:val="right"/>
              <w:spacing w:after="0" w:line="141" w:lineRule="exact"/>
              <w:rPr>
                <w:sz w:val="20"/>
                <w:szCs w:val="20"/>
                <w:color w:val="auto"/>
              </w:rPr>
            </w:pPr>
            <w:r>
              <w:rPr>
                <w:rFonts w:ascii="Arial" w:cs="Arial" w:eastAsia="Arial" w:hAnsi="Arial"/>
                <w:sz w:val="14"/>
                <w:szCs w:val="14"/>
                <w:color w:val="auto"/>
              </w:rPr>
              <w:t>None</w:t>
            </w:r>
          </w:p>
        </w:tc>
        <w:tc>
          <w:tcPr>
            <w:tcW w:w="1080" w:type="dxa"/>
            <w:vAlign w:val="bottom"/>
            <w:gridSpan w:val="2"/>
          </w:tcPr>
          <w:p>
            <w:pPr>
              <w:jc w:val="right"/>
              <w:ind w:right="40"/>
              <w:spacing w:after="0" w:line="141" w:lineRule="exact"/>
              <w:rPr>
                <w:sz w:val="20"/>
                <w:szCs w:val="20"/>
                <w:color w:val="auto"/>
              </w:rPr>
            </w:pPr>
            <w:r>
              <w:rPr>
                <w:rFonts w:ascii="Arial" w:cs="Arial" w:eastAsia="Arial" w:hAnsi="Arial"/>
                <w:sz w:val="14"/>
                <w:szCs w:val="14"/>
                <w:color w:val="auto"/>
              </w:rPr>
              <w:t>None</w:t>
            </w:r>
          </w:p>
        </w:tc>
      </w:tr>
      <w:tr>
        <w:trPr>
          <w:trHeight w:val="134"/>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540" w:type="dxa"/>
            <w:vAlign w:val="bottom"/>
            <w:tcBorders>
              <w:right w:val="single" w:sz="8" w:color="E5E7EF"/>
            </w:tcBorders>
          </w:tcPr>
          <w:p>
            <w:pPr>
              <w:spacing w:after="0"/>
              <w:rPr>
                <w:sz w:val="11"/>
                <w:szCs w:val="11"/>
                <w:color w:val="auto"/>
              </w:rPr>
            </w:pPr>
          </w:p>
        </w:tc>
        <w:tc>
          <w:tcPr>
            <w:tcW w:w="1400" w:type="dxa"/>
            <w:vAlign w:val="bottom"/>
            <w:shd w:val="clear" w:color="auto" w:fill="E5E7EF"/>
          </w:tcPr>
          <w:p>
            <w:pPr>
              <w:jc w:val="right"/>
              <w:spacing w:after="0" w:line="135" w:lineRule="exact"/>
              <w:rPr>
                <w:sz w:val="20"/>
                <w:szCs w:val="20"/>
                <w:color w:val="auto"/>
              </w:rPr>
            </w:pPr>
            <w:r>
              <w:rPr>
                <w:rFonts w:ascii="Arial" w:cs="Arial" w:eastAsia="Arial" w:hAnsi="Arial"/>
                <w:sz w:val="14"/>
                <w:szCs w:val="14"/>
                <w:b w:val="1"/>
                <w:bCs w:val="1"/>
                <w:color w:val="auto"/>
              </w:rPr>
              <w:t>DIRECTOR</w:t>
            </w:r>
          </w:p>
        </w:tc>
        <w:tc>
          <w:tcPr>
            <w:tcW w:w="1740" w:type="dxa"/>
            <w:vAlign w:val="bottom"/>
          </w:tcPr>
          <w:p>
            <w:pPr>
              <w:jc w:val="right"/>
              <w:spacing w:after="0" w:line="135" w:lineRule="exact"/>
              <w:rPr>
                <w:sz w:val="20"/>
                <w:szCs w:val="20"/>
                <w:color w:val="auto"/>
              </w:rPr>
            </w:pPr>
            <w:r>
              <w:rPr>
                <w:rFonts w:ascii="Arial" w:cs="Arial" w:eastAsia="Arial" w:hAnsi="Arial"/>
                <w:sz w:val="14"/>
                <w:szCs w:val="14"/>
                <w:color w:val="auto"/>
              </w:rPr>
              <w:t>each nominee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75"/>
        </w:trPr>
        <w:tc>
          <w:tcPr>
            <w:tcW w:w="20" w:type="dxa"/>
            <w:vAlign w:val="bottom"/>
          </w:tcPr>
          <w:p>
            <w:pPr>
              <w:spacing w:after="0"/>
              <w:rPr>
                <w:sz w:val="15"/>
                <w:szCs w:val="15"/>
                <w:color w:val="auto"/>
              </w:rPr>
            </w:pPr>
          </w:p>
        </w:tc>
        <w:tc>
          <w:tcPr>
            <w:tcW w:w="640" w:type="dxa"/>
            <w:vAlign w:val="bottom"/>
            <w:tcBorders>
              <w:bottom w:val="single" w:sz="8" w:color="959595"/>
            </w:tcBorders>
          </w:tcPr>
          <w:p>
            <w:pPr>
              <w:spacing w:after="0"/>
              <w:rPr>
                <w:sz w:val="15"/>
                <w:szCs w:val="15"/>
                <w:color w:val="auto"/>
              </w:rPr>
            </w:pPr>
          </w:p>
        </w:tc>
        <w:tc>
          <w:tcPr>
            <w:tcW w:w="4740" w:type="dxa"/>
            <w:vAlign w:val="bottom"/>
            <w:tcBorders>
              <w:bottom w:val="single" w:sz="8" w:color="959595"/>
            </w:tcBorders>
          </w:tcPr>
          <w:p>
            <w:pPr>
              <w:spacing w:after="0"/>
              <w:rPr>
                <w:sz w:val="15"/>
                <w:szCs w:val="15"/>
                <w:color w:val="auto"/>
              </w:rPr>
            </w:pPr>
          </w:p>
        </w:tc>
        <w:tc>
          <w:tcPr>
            <w:tcW w:w="540" w:type="dxa"/>
            <w:vAlign w:val="bottom"/>
            <w:tcBorders>
              <w:bottom w:val="single" w:sz="8" w:color="959595"/>
              <w:right w:val="single" w:sz="8" w:color="E5E7EF"/>
            </w:tcBorders>
          </w:tcPr>
          <w:p>
            <w:pPr>
              <w:spacing w:after="0"/>
              <w:rPr>
                <w:sz w:val="15"/>
                <w:szCs w:val="15"/>
                <w:color w:val="auto"/>
              </w:rPr>
            </w:pPr>
          </w:p>
        </w:tc>
        <w:tc>
          <w:tcPr>
            <w:tcW w:w="1400" w:type="dxa"/>
            <w:vAlign w:val="bottom"/>
            <w:tcBorders>
              <w:bottom w:val="single" w:sz="8" w:color="959595"/>
            </w:tcBorders>
            <w:shd w:val="clear" w:color="auto" w:fill="E5E7EF"/>
          </w:tcPr>
          <w:p>
            <w:pPr>
              <w:jc w:val="right"/>
              <w:spacing w:after="0"/>
              <w:rPr>
                <w:sz w:val="20"/>
                <w:szCs w:val="20"/>
                <w:color w:val="auto"/>
              </w:rPr>
            </w:pPr>
            <w:r>
              <w:rPr>
                <w:rFonts w:ascii="Arial" w:cs="Arial" w:eastAsia="Arial" w:hAnsi="Arial"/>
                <w:sz w:val="14"/>
                <w:szCs w:val="14"/>
                <w:b w:val="1"/>
                <w:bCs w:val="1"/>
                <w:color w:val="auto"/>
              </w:rPr>
              <w:t>NOMINEES</w:t>
            </w:r>
          </w:p>
        </w:tc>
        <w:tc>
          <w:tcPr>
            <w:tcW w:w="1740" w:type="dxa"/>
            <w:vAlign w:val="bottom"/>
            <w:tcBorders>
              <w:bottom w:val="single" w:sz="8" w:color="929292"/>
            </w:tcBorders>
          </w:tcPr>
          <w:p>
            <w:pPr>
              <w:spacing w:after="0"/>
              <w:rPr>
                <w:sz w:val="15"/>
                <w:szCs w:val="15"/>
                <w:color w:val="auto"/>
              </w:rPr>
            </w:pPr>
          </w:p>
        </w:tc>
        <w:tc>
          <w:tcPr>
            <w:tcW w:w="1080" w:type="dxa"/>
            <w:vAlign w:val="bottom"/>
            <w:tcBorders>
              <w:bottom w:val="single" w:sz="8" w:color="959595"/>
            </w:tcBorders>
          </w:tcPr>
          <w:p>
            <w:pPr>
              <w:spacing w:after="0"/>
              <w:rPr>
                <w:sz w:val="15"/>
                <w:szCs w:val="15"/>
                <w:color w:val="auto"/>
              </w:rPr>
            </w:pPr>
          </w:p>
        </w:tc>
        <w:tc>
          <w:tcPr>
            <w:tcW w:w="1060" w:type="dxa"/>
            <w:vAlign w:val="bottom"/>
            <w:tcBorders>
              <w:bottom w:val="single" w:sz="8" w:color="959595"/>
            </w:tcBorders>
          </w:tcPr>
          <w:p>
            <w:pPr>
              <w:spacing w:after="0"/>
              <w:rPr>
                <w:sz w:val="15"/>
                <w:szCs w:val="15"/>
                <w:color w:val="auto"/>
              </w:rPr>
            </w:pPr>
          </w:p>
        </w:tc>
        <w:tc>
          <w:tcPr>
            <w:tcW w:w="20" w:type="dxa"/>
            <w:vAlign w:val="bottom"/>
          </w:tcPr>
          <w:p>
            <w:pPr>
              <w:spacing w:after="0"/>
              <w:rPr>
                <w:sz w:val="15"/>
                <w:szCs w:val="15"/>
                <w:color w:val="auto"/>
              </w:rPr>
            </w:pPr>
          </w:p>
        </w:tc>
      </w:tr>
      <w:tr>
        <w:trPr>
          <w:trHeight w:val="146"/>
        </w:trPr>
        <w:tc>
          <w:tcPr>
            <w:tcW w:w="660" w:type="dxa"/>
            <w:vAlign w:val="bottom"/>
            <w:gridSpan w:val="2"/>
          </w:tcPr>
          <w:p>
            <w:pPr>
              <w:ind w:left="40"/>
              <w:spacing w:after="0" w:line="146" w:lineRule="exact"/>
              <w:rPr>
                <w:sz w:val="20"/>
                <w:szCs w:val="20"/>
                <w:color w:val="auto"/>
              </w:rPr>
            </w:pPr>
            <w:r>
              <w:rPr>
                <w:rFonts w:ascii="Arial" w:cs="Arial" w:eastAsia="Arial" w:hAnsi="Arial"/>
                <w:sz w:val="14"/>
                <w:szCs w:val="14"/>
                <w:b w:val="1"/>
                <w:bCs w:val="1"/>
                <w:color w:val="auto"/>
              </w:rPr>
              <w:t>2</w:t>
            </w:r>
          </w:p>
        </w:tc>
        <w:tc>
          <w:tcPr>
            <w:tcW w:w="4740" w:type="dxa"/>
            <w:vAlign w:val="bottom"/>
          </w:tcPr>
          <w:p>
            <w:pPr>
              <w:ind w:left="160"/>
              <w:spacing w:after="0" w:line="146" w:lineRule="exact"/>
              <w:rPr>
                <w:sz w:val="20"/>
                <w:szCs w:val="20"/>
                <w:color w:val="auto"/>
              </w:rPr>
            </w:pPr>
            <w:r>
              <w:rPr>
                <w:rFonts w:ascii="Arial" w:cs="Arial" w:eastAsia="Arial" w:hAnsi="Arial"/>
                <w:sz w:val="14"/>
                <w:szCs w:val="14"/>
                <w:color w:val="auto"/>
              </w:rPr>
              <w:t>Ratification of Appointment of Ernst &amp; Young LLP as our Independent</w:t>
            </w:r>
          </w:p>
        </w:tc>
        <w:tc>
          <w:tcPr>
            <w:tcW w:w="540" w:type="dxa"/>
            <w:vAlign w:val="bottom"/>
            <w:tcBorders>
              <w:right w:val="single" w:sz="8" w:color="E5E7EF"/>
            </w:tcBorders>
          </w:tcPr>
          <w:p>
            <w:pPr>
              <w:jc w:val="right"/>
              <w:spacing w:after="0" w:line="146" w:lineRule="exact"/>
              <w:rPr>
                <w:sz w:val="20"/>
                <w:szCs w:val="20"/>
                <w:color w:val="auto"/>
              </w:rPr>
            </w:pPr>
            <w:r>
              <w:rPr>
                <w:rFonts w:ascii="Arial" w:cs="Arial" w:eastAsia="Arial" w:hAnsi="Arial"/>
                <w:sz w:val="14"/>
                <w:szCs w:val="14"/>
                <w:color w:val="auto"/>
              </w:rPr>
              <w:t>33</w:t>
            </w:r>
          </w:p>
        </w:tc>
        <w:tc>
          <w:tcPr>
            <w:tcW w:w="1400" w:type="dxa"/>
            <w:vAlign w:val="bottom"/>
            <w:shd w:val="clear" w:color="auto" w:fill="E5E7EF"/>
          </w:tcPr>
          <w:p>
            <w:pPr>
              <w:jc w:val="right"/>
              <w:spacing w:after="0" w:line="146" w:lineRule="exact"/>
              <w:rPr>
                <w:sz w:val="20"/>
                <w:szCs w:val="20"/>
                <w:color w:val="auto"/>
              </w:rPr>
            </w:pPr>
            <w:r>
              <w:rPr>
                <w:rFonts w:ascii="Arial" w:cs="Arial" w:eastAsia="Arial" w:hAnsi="Arial"/>
                <w:sz w:val="14"/>
                <w:szCs w:val="14"/>
                <w:b w:val="1"/>
                <w:bCs w:val="1"/>
                <w:color w:val="auto"/>
              </w:rPr>
              <w:t>FOR</w:t>
            </w:r>
          </w:p>
        </w:tc>
        <w:tc>
          <w:tcPr>
            <w:tcW w:w="1740" w:type="dxa"/>
            <w:vAlign w:val="bottom"/>
          </w:tcPr>
          <w:p>
            <w:pPr>
              <w:jc w:val="right"/>
              <w:spacing w:after="0" w:line="146" w:lineRule="exact"/>
              <w:rPr>
                <w:sz w:val="20"/>
                <w:szCs w:val="20"/>
                <w:color w:val="auto"/>
              </w:rPr>
            </w:pPr>
            <w:r>
              <w:rPr>
                <w:rFonts w:ascii="Arial" w:cs="Arial" w:eastAsia="Arial" w:hAnsi="Arial"/>
                <w:sz w:val="14"/>
                <w:szCs w:val="14"/>
                <w:color w:val="auto"/>
              </w:rPr>
              <w:t>Majority of votes cast;</w:t>
            </w:r>
          </w:p>
        </w:tc>
        <w:tc>
          <w:tcPr>
            <w:tcW w:w="1080" w:type="dxa"/>
            <w:vAlign w:val="bottom"/>
          </w:tcPr>
          <w:p>
            <w:pPr>
              <w:jc w:val="right"/>
              <w:spacing w:after="0" w:line="146" w:lineRule="exact"/>
              <w:rPr>
                <w:sz w:val="20"/>
                <w:szCs w:val="20"/>
                <w:color w:val="auto"/>
              </w:rPr>
            </w:pPr>
            <w:r>
              <w:rPr>
                <w:rFonts w:ascii="Arial" w:cs="Arial" w:eastAsia="Arial" w:hAnsi="Arial"/>
                <w:sz w:val="14"/>
                <w:szCs w:val="14"/>
                <w:color w:val="auto"/>
              </w:rPr>
              <w:t>None</w:t>
            </w:r>
          </w:p>
        </w:tc>
        <w:tc>
          <w:tcPr>
            <w:tcW w:w="1080" w:type="dxa"/>
            <w:vAlign w:val="bottom"/>
            <w:gridSpan w:val="2"/>
          </w:tcPr>
          <w:p>
            <w:pPr>
              <w:jc w:val="right"/>
              <w:ind w:right="40"/>
              <w:spacing w:after="0" w:line="146" w:lineRule="exact"/>
              <w:rPr>
                <w:sz w:val="20"/>
                <w:szCs w:val="20"/>
                <w:color w:val="auto"/>
              </w:rPr>
            </w:pPr>
            <w:r>
              <w:rPr>
                <w:rFonts w:ascii="Arial" w:cs="Arial" w:eastAsia="Arial" w:hAnsi="Arial"/>
                <w:sz w:val="14"/>
                <w:szCs w:val="14"/>
                <w:color w:val="auto"/>
              </w:rPr>
              <w:t>Discretionary</w:t>
            </w:r>
          </w:p>
        </w:tc>
      </w:tr>
      <w:tr>
        <w:trPr>
          <w:trHeight w:val="170"/>
        </w:trPr>
        <w:tc>
          <w:tcPr>
            <w:tcW w:w="20" w:type="dxa"/>
            <w:vAlign w:val="bottom"/>
          </w:tcPr>
          <w:p>
            <w:pPr>
              <w:spacing w:after="0"/>
              <w:rPr>
                <w:sz w:val="14"/>
                <w:szCs w:val="14"/>
                <w:color w:val="auto"/>
              </w:rPr>
            </w:pPr>
          </w:p>
        </w:tc>
        <w:tc>
          <w:tcPr>
            <w:tcW w:w="640" w:type="dxa"/>
            <w:vAlign w:val="bottom"/>
            <w:tcBorders>
              <w:bottom w:val="single" w:sz="8" w:color="959595"/>
            </w:tcBorders>
          </w:tcPr>
          <w:p>
            <w:pPr>
              <w:spacing w:after="0"/>
              <w:rPr>
                <w:sz w:val="14"/>
                <w:szCs w:val="14"/>
                <w:color w:val="auto"/>
              </w:rPr>
            </w:pPr>
          </w:p>
        </w:tc>
        <w:tc>
          <w:tcPr>
            <w:tcW w:w="4740" w:type="dxa"/>
            <w:vAlign w:val="bottom"/>
            <w:tcBorders>
              <w:bottom w:val="single" w:sz="8" w:color="959595"/>
            </w:tcBorders>
          </w:tcPr>
          <w:p>
            <w:pPr>
              <w:ind w:left="160"/>
              <w:spacing w:after="0"/>
              <w:rPr>
                <w:sz w:val="20"/>
                <w:szCs w:val="20"/>
                <w:color w:val="auto"/>
              </w:rPr>
            </w:pPr>
            <w:r>
              <w:rPr>
                <w:rFonts w:ascii="Arial" w:cs="Arial" w:eastAsia="Arial" w:hAnsi="Arial"/>
                <w:sz w:val="14"/>
                <w:szCs w:val="14"/>
                <w:color w:val="auto"/>
              </w:rPr>
              <w:t>Auditors for 2022</w:t>
            </w:r>
          </w:p>
        </w:tc>
        <w:tc>
          <w:tcPr>
            <w:tcW w:w="540" w:type="dxa"/>
            <w:vAlign w:val="bottom"/>
            <w:tcBorders>
              <w:bottom w:val="single" w:sz="8" w:color="959595"/>
              <w:right w:val="single" w:sz="8" w:color="E5E7EF"/>
            </w:tcBorders>
          </w:tcPr>
          <w:p>
            <w:pPr>
              <w:spacing w:after="0"/>
              <w:rPr>
                <w:sz w:val="14"/>
                <w:szCs w:val="14"/>
                <w:color w:val="auto"/>
              </w:rPr>
            </w:pPr>
          </w:p>
        </w:tc>
        <w:tc>
          <w:tcPr>
            <w:tcW w:w="1400" w:type="dxa"/>
            <w:vAlign w:val="bottom"/>
            <w:tcBorders>
              <w:bottom w:val="single" w:sz="8" w:color="959595"/>
            </w:tcBorders>
            <w:shd w:val="clear" w:color="auto" w:fill="E5E7EF"/>
          </w:tcPr>
          <w:p>
            <w:pPr>
              <w:spacing w:after="0"/>
              <w:rPr>
                <w:sz w:val="14"/>
                <w:szCs w:val="14"/>
                <w:color w:val="auto"/>
              </w:rPr>
            </w:pPr>
          </w:p>
        </w:tc>
        <w:tc>
          <w:tcPr>
            <w:tcW w:w="174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advisory and non-binding</w:t>
            </w:r>
          </w:p>
        </w:tc>
        <w:tc>
          <w:tcPr>
            <w:tcW w:w="1080" w:type="dxa"/>
            <w:vAlign w:val="bottom"/>
            <w:tcBorders>
              <w:bottom w:val="single" w:sz="8" w:color="959595"/>
            </w:tcBorders>
          </w:tcPr>
          <w:p>
            <w:pPr>
              <w:spacing w:after="0"/>
              <w:rPr>
                <w:sz w:val="14"/>
                <w:szCs w:val="14"/>
                <w:color w:val="auto"/>
              </w:rPr>
            </w:pPr>
          </w:p>
        </w:tc>
        <w:tc>
          <w:tcPr>
            <w:tcW w:w="10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voting permitted</w:t>
            </w:r>
          </w:p>
        </w:tc>
        <w:tc>
          <w:tcPr>
            <w:tcW w:w="20" w:type="dxa"/>
            <w:vAlign w:val="bottom"/>
          </w:tcPr>
          <w:p>
            <w:pPr>
              <w:spacing w:after="0"/>
              <w:rPr>
                <w:sz w:val="14"/>
                <w:szCs w:val="14"/>
                <w:color w:val="auto"/>
              </w:rPr>
            </w:pPr>
          </w:p>
        </w:tc>
      </w:tr>
      <w:tr>
        <w:trPr>
          <w:trHeight w:val="146"/>
        </w:trPr>
        <w:tc>
          <w:tcPr>
            <w:tcW w:w="660" w:type="dxa"/>
            <w:vAlign w:val="bottom"/>
            <w:gridSpan w:val="2"/>
          </w:tcPr>
          <w:p>
            <w:pPr>
              <w:ind w:left="40"/>
              <w:spacing w:after="0" w:line="146" w:lineRule="exact"/>
              <w:rPr>
                <w:sz w:val="20"/>
                <w:szCs w:val="20"/>
                <w:color w:val="auto"/>
              </w:rPr>
            </w:pPr>
            <w:r>
              <w:rPr>
                <w:rFonts w:ascii="Arial" w:cs="Arial" w:eastAsia="Arial" w:hAnsi="Arial"/>
                <w:sz w:val="14"/>
                <w:szCs w:val="14"/>
                <w:b w:val="1"/>
                <w:bCs w:val="1"/>
                <w:color w:val="auto"/>
              </w:rPr>
              <w:t>3</w:t>
            </w:r>
          </w:p>
        </w:tc>
        <w:tc>
          <w:tcPr>
            <w:tcW w:w="4740" w:type="dxa"/>
            <w:vAlign w:val="bottom"/>
          </w:tcPr>
          <w:p>
            <w:pPr>
              <w:ind w:left="160"/>
              <w:spacing w:after="0" w:line="146" w:lineRule="exact"/>
              <w:rPr>
                <w:sz w:val="20"/>
                <w:szCs w:val="20"/>
                <w:color w:val="auto"/>
              </w:rPr>
            </w:pPr>
            <w:r>
              <w:rPr>
                <w:rFonts w:ascii="Arial" w:cs="Arial" w:eastAsia="Arial" w:hAnsi="Arial"/>
                <w:sz w:val="14"/>
                <w:szCs w:val="14"/>
                <w:color w:val="auto"/>
              </w:rPr>
              <w:t>Advisory Vote to Approve the Compensation of our Named Executive</w:t>
            </w:r>
          </w:p>
        </w:tc>
        <w:tc>
          <w:tcPr>
            <w:tcW w:w="540" w:type="dxa"/>
            <w:vAlign w:val="bottom"/>
            <w:tcBorders>
              <w:right w:val="single" w:sz="8" w:color="E5E7EF"/>
            </w:tcBorders>
          </w:tcPr>
          <w:p>
            <w:pPr>
              <w:jc w:val="right"/>
              <w:spacing w:after="0" w:line="146" w:lineRule="exact"/>
              <w:rPr>
                <w:sz w:val="20"/>
                <w:szCs w:val="20"/>
                <w:color w:val="auto"/>
              </w:rPr>
            </w:pPr>
            <w:r>
              <w:rPr>
                <w:rFonts w:ascii="Arial" w:cs="Arial" w:eastAsia="Arial" w:hAnsi="Arial"/>
                <w:sz w:val="14"/>
                <w:szCs w:val="14"/>
                <w:color w:val="auto"/>
              </w:rPr>
              <w:t>36</w:t>
            </w:r>
          </w:p>
        </w:tc>
        <w:tc>
          <w:tcPr>
            <w:tcW w:w="1400" w:type="dxa"/>
            <w:vAlign w:val="bottom"/>
            <w:shd w:val="clear" w:color="auto" w:fill="E5E7EF"/>
          </w:tcPr>
          <w:p>
            <w:pPr>
              <w:jc w:val="right"/>
              <w:spacing w:after="0" w:line="146" w:lineRule="exact"/>
              <w:rPr>
                <w:sz w:val="20"/>
                <w:szCs w:val="20"/>
                <w:color w:val="auto"/>
              </w:rPr>
            </w:pPr>
            <w:r>
              <w:rPr>
                <w:rFonts w:ascii="Arial" w:cs="Arial" w:eastAsia="Arial" w:hAnsi="Arial"/>
                <w:sz w:val="14"/>
                <w:szCs w:val="14"/>
                <w:b w:val="1"/>
                <w:bCs w:val="1"/>
                <w:color w:val="auto"/>
              </w:rPr>
              <w:t>FOR</w:t>
            </w:r>
          </w:p>
        </w:tc>
        <w:tc>
          <w:tcPr>
            <w:tcW w:w="1740" w:type="dxa"/>
            <w:vAlign w:val="bottom"/>
          </w:tcPr>
          <w:p>
            <w:pPr>
              <w:jc w:val="right"/>
              <w:spacing w:after="0" w:line="146" w:lineRule="exact"/>
              <w:rPr>
                <w:sz w:val="20"/>
                <w:szCs w:val="20"/>
                <w:color w:val="auto"/>
              </w:rPr>
            </w:pPr>
            <w:r>
              <w:rPr>
                <w:rFonts w:ascii="Arial" w:cs="Arial" w:eastAsia="Arial" w:hAnsi="Arial"/>
                <w:sz w:val="14"/>
                <w:szCs w:val="14"/>
                <w:color w:val="auto"/>
              </w:rPr>
              <w:t>Majority of votes cast;</w:t>
            </w:r>
          </w:p>
        </w:tc>
        <w:tc>
          <w:tcPr>
            <w:tcW w:w="1080" w:type="dxa"/>
            <w:vAlign w:val="bottom"/>
          </w:tcPr>
          <w:p>
            <w:pPr>
              <w:jc w:val="right"/>
              <w:spacing w:after="0" w:line="146" w:lineRule="exact"/>
              <w:rPr>
                <w:sz w:val="20"/>
                <w:szCs w:val="20"/>
                <w:color w:val="auto"/>
              </w:rPr>
            </w:pPr>
            <w:r>
              <w:rPr>
                <w:rFonts w:ascii="Arial" w:cs="Arial" w:eastAsia="Arial" w:hAnsi="Arial"/>
                <w:sz w:val="14"/>
                <w:szCs w:val="14"/>
                <w:color w:val="auto"/>
              </w:rPr>
              <w:t>None</w:t>
            </w:r>
          </w:p>
        </w:tc>
        <w:tc>
          <w:tcPr>
            <w:tcW w:w="1080" w:type="dxa"/>
            <w:vAlign w:val="bottom"/>
            <w:gridSpan w:val="2"/>
          </w:tcPr>
          <w:p>
            <w:pPr>
              <w:jc w:val="right"/>
              <w:ind w:right="40"/>
              <w:spacing w:after="0" w:line="146" w:lineRule="exact"/>
              <w:rPr>
                <w:sz w:val="20"/>
                <w:szCs w:val="20"/>
                <w:color w:val="auto"/>
              </w:rPr>
            </w:pPr>
            <w:r>
              <w:rPr>
                <w:rFonts w:ascii="Arial" w:cs="Arial" w:eastAsia="Arial" w:hAnsi="Arial"/>
                <w:sz w:val="14"/>
                <w:szCs w:val="14"/>
                <w:color w:val="auto"/>
              </w:rPr>
              <w:t>None</w:t>
            </w:r>
          </w:p>
        </w:tc>
      </w:tr>
      <w:tr>
        <w:trPr>
          <w:trHeight w:val="170"/>
        </w:trPr>
        <w:tc>
          <w:tcPr>
            <w:tcW w:w="20" w:type="dxa"/>
            <w:vAlign w:val="bottom"/>
          </w:tcPr>
          <w:p>
            <w:pPr>
              <w:spacing w:after="0"/>
              <w:rPr>
                <w:sz w:val="14"/>
                <w:szCs w:val="14"/>
                <w:color w:val="auto"/>
              </w:rPr>
            </w:pPr>
          </w:p>
        </w:tc>
        <w:tc>
          <w:tcPr>
            <w:tcW w:w="640" w:type="dxa"/>
            <w:vAlign w:val="bottom"/>
            <w:tcBorders>
              <w:bottom w:val="single" w:sz="8" w:color="959595"/>
            </w:tcBorders>
          </w:tcPr>
          <w:p>
            <w:pPr>
              <w:spacing w:after="0"/>
              <w:rPr>
                <w:sz w:val="14"/>
                <w:szCs w:val="14"/>
                <w:color w:val="auto"/>
              </w:rPr>
            </w:pPr>
          </w:p>
        </w:tc>
        <w:tc>
          <w:tcPr>
            <w:tcW w:w="4740" w:type="dxa"/>
            <w:vAlign w:val="bottom"/>
            <w:tcBorders>
              <w:bottom w:val="single" w:sz="8" w:color="959595"/>
            </w:tcBorders>
          </w:tcPr>
          <w:p>
            <w:pPr>
              <w:ind w:left="160"/>
              <w:spacing w:after="0"/>
              <w:rPr>
                <w:sz w:val="20"/>
                <w:szCs w:val="20"/>
                <w:color w:val="auto"/>
              </w:rPr>
            </w:pPr>
            <w:r>
              <w:rPr>
                <w:rFonts w:ascii="Arial" w:cs="Arial" w:eastAsia="Arial" w:hAnsi="Arial"/>
                <w:sz w:val="14"/>
                <w:szCs w:val="14"/>
                <w:color w:val="auto"/>
              </w:rPr>
              <w:t>Officers (Say-on-Pay)</w:t>
            </w:r>
          </w:p>
        </w:tc>
        <w:tc>
          <w:tcPr>
            <w:tcW w:w="540" w:type="dxa"/>
            <w:vAlign w:val="bottom"/>
            <w:tcBorders>
              <w:bottom w:val="single" w:sz="8" w:color="959595"/>
              <w:right w:val="single" w:sz="8" w:color="E5E7EF"/>
            </w:tcBorders>
          </w:tcPr>
          <w:p>
            <w:pPr>
              <w:spacing w:after="0"/>
              <w:rPr>
                <w:sz w:val="14"/>
                <w:szCs w:val="14"/>
                <w:color w:val="auto"/>
              </w:rPr>
            </w:pPr>
          </w:p>
        </w:tc>
        <w:tc>
          <w:tcPr>
            <w:tcW w:w="1400" w:type="dxa"/>
            <w:vAlign w:val="bottom"/>
            <w:tcBorders>
              <w:bottom w:val="single" w:sz="8" w:color="959595"/>
            </w:tcBorders>
            <w:shd w:val="clear" w:color="auto" w:fill="E5E7EF"/>
          </w:tcPr>
          <w:p>
            <w:pPr>
              <w:spacing w:after="0"/>
              <w:rPr>
                <w:sz w:val="14"/>
                <w:szCs w:val="14"/>
                <w:color w:val="auto"/>
              </w:rPr>
            </w:pPr>
          </w:p>
        </w:tc>
        <w:tc>
          <w:tcPr>
            <w:tcW w:w="174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advisory and non-binding</w:t>
            </w:r>
          </w:p>
        </w:tc>
        <w:tc>
          <w:tcPr>
            <w:tcW w:w="1080" w:type="dxa"/>
            <w:vAlign w:val="bottom"/>
            <w:tcBorders>
              <w:bottom w:val="single" w:sz="8" w:color="959595"/>
            </w:tcBorders>
          </w:tcPr>
          <w:p>
            <w:pPr>
              <w:spacing w:after="0"/>
              <w:rPr>
                <w:sz w:val="14"/>
                <w:szCs w:val="14"/>
                <w:color w:val="auto"/>
              </w:rPr>
            </w:pPr>
          </w:p>
        </w:tc>
        <w:tc>
          <w:tcPr>
            <w:tcW w:w="1060" w:type="dxa"/>
            <w:vAlign w:val="bottom"/>
            <w:tcBorders>
              <w:bottom w:val="single" w:sz="8" w:color="959595"/>
            </w:tcBorders>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660" w:type="dxa"/>
            <w:vAlign w:val="bottom"/>
            <w:gridSpan w:val="2"/>
          </w:tcPr>
          <w:p>
            <w:pPr>
              <w:ind w:left="40"/>
              <w:spacing w:after="0" w:line="146" w:lineRule="exact"/>
              <w:rPr>
                <w:sz w:val="20"/>
                <w:szCs w:val="20"/>
                <w:color w:val="auto"/>
              </w:rPr>
            </w:pPr>
            <w:r>
              <w:rPr>
                <w:rFonts w:ascii="Arial" w:cs="Arial" w:eastAsia="Arial" w:hAnsi="Arial"/>
                <w:sz w:val="14"/>
                <w:szCs w:val="14"/>
                <w:b w:val="1"/>
                <w:bCs w:val="1"/>
                <w:color w:val="auto"/>
              </w:rPr>
              <w:t>4</w:t>
            </w:r>
          </w:p>
        </w:tc>
        <w:tc>
          <w:tcPr>
            <w:tcW w:w="4740" w:type="dxa"/>
            <w:vAlign w:val="bottom"/>
          </w:tcPr>
          <w:p>
            <w:pPr>
              <w:ind w:left="160"/>
              <w:spacing w:after="0" w:line="146" w:lineRule="exact"/>
              <w:rPr>
                <w:sz w:val="20"/>
                <w:szCs w:val="20"/>
                <w:color w:val="auto"/>
              </w:rPr>
            </w:pPr>
            <w:r>
              <w:rPr>
                <w:rFonts w:ascii="Arial" w:cs="Arial" w:eastAsia="Arial" w:hAnsi="Arial"/>
                <w:sz w:val="14"/>
                <w:szCs w:val="14"/>
                <w:color w:val="auto"/>
              </w:rPr>
              <w:t>Stockholder Proposal to Reduce Threshold for Calling Special</w:t>
            </w:r>
          </w:p>
        </w:tc>
        <w:tc>
          <w:tcPr>
            <w:tcW w:w="540" w:type="dxa"/>
            <w:vAlign w:val="bottom"/>
            <w:tcBorders>
              <w:right w:val="single" w:sz="8" w:color="E7E8E9"/>
            </w:tcBorders>
          </w:tcPr>
          <w:p>
            <w:pPr>
              <w:jc w:val="right"/>
              <w:spacing w:after="0" w:line="146" w:lineRule="exact"/>
              <w:rPr>
                <w:sz w:val="20"/>
                <w:szCs w:val="20"/>
                <w:color w:val="auto"/>
              </w:rPr>
            </w:pPr>
            <w:r>
              <w:rPr>
                <w:rFonts w:ascii="Arial" w:cs="Arial" w:eastAsia="Arial" w:hAnsi="Arial"/>
                <w:sz w:val="14"/>
                <w:szCs w:val="14"/>
                <w:color w:val="auto"/>
              </w:rPr>
              <w:t>74</w:t>
            </w:r>
          </w:p>
        </w:tc>
        <w:tc>
          <w:tcPr>
            <w:tcW w:w="1400" w:type="dxa"/>
            <w:vAlign w:val="bottom"/>
            <w:shd w:val="clear" w:color="auto" w:fill="E7E8E9"/>
          </w:tcPr>
          <w:p>
            <w:pPr>
              <w:jc w:val="right"/>
              <w:spacing w:after="0" w:line="146" w:lineRule="exact"/>
              <w:rPr>
                <w:sz w:val="20"/>
                <w:szCs w:val="20"/>
                <w:color w:val="auto"/>
              </w:rPr>
            </w:pPr>
            <w:r>
              <w:rPr>
                <w:rFonts w:ascii="Arial" w:cs="Arial" w:eastAsia="Arial" w:hAnsi="Arial"/>
                <w:sz w:val="14"/>
                <w:szCs w:val="14"/>
                <w:b w:val="1"/>
                <w:bCs w:val="1"/>
                <w:color w:val="auto"/>
              </w:rPr>
              <w:t>AGAINST</w:t>
            </w:r>
          </w:p>
        </w:tc>
        <w:tc>
          <w:tcPr>
            <w:tcW w:w="1740" w:type="dxa"/>
            <w:vAlign w:val="bottom"/>
          </w:tcPr>
          <w:p>
            <w:pPr>
              <w:jc w:val="right"/>
              <w:spacing w:after="0" w:line="146" w:lineRule="exact"/>
              <w:rPr>
                <w:sz w:val="20"/>
                <w:szCs w:val="20"/>
                <w:color w:val="auto"/>
              </w:rPr>
            </w:pPr>
            <w:r>
              <w:rPr>
                <w:rFonts w:ascii="Arial" w:cs="Arial" w:eastAsia="Arial" w:hAnsi="Arial"/>
                <w:sz w:val="14"/>
                <w:szCs w:val="14"/>
                <w:color w:val="auto"/>
              </w:rPr>
              <w:t>Majority of votes cast;</w:t>
            </w:r>
          </w:p>
        </w:tc>
        <w:tc>
          <w:tcPr>
            <w:tcW w:w="1080" w:type="dxa"/>
            <w:vAlign w:val="bottom"/>
          </w:tcPr>
          <w:p>
            <w:pPr>
              <w:jc w:val="right"/>
              <w:spacing w:after="0" w:line="146" w:lineRule="exact"/>
              <w:rPr>
                <w:sz w:val="20"/>
                <w:szCs w:val="20"/>
                <w:color w:val="auto"/>
              </w:rPr>
            </w:pPr>
            <w:r>
              <w:rPr>
                <w:rFonts w:ascii="Arial" w:cs="Arial" w:eastAsia="Arial" w:hAnsi="Arial"/>
                <w:sz w:val="14"/>
                <w:szCs w:val="14"/>
                <w:color w:val="auto"/>
              </w:rPr>
              <w:t>None</w:t>
            </w:r>
          </w:p>
        </w:tc>
        <w:tc>
          <w:tcPr>
            <w:tcW w:w="1080" w:type="dxa"/>
            <w:vAlign w:val="bottom"/>
            <w:gridSpan w:val="2"/>
          </w:tcPr>
          <w:p>
            <w:pPr>
              <w:jc w:val="right"/>
              <w:ind w:right="40"/>
              <w:spacing w:after="0" w:line="146" w:lineRule="exact"/>
              <w:rPr>
                <w:sz w:val="20"/>
                <w:szCs w:val="20"/>
                <w:color w:val="auto"/>
              </w:rPr>
            </w:pPr>
            <w:r>
              <w:rPr>
                <w:rFonts w:ascii="Arial" w:cs="Arial" w:eastAsia="Arial" w:hAnsi="Arial"/>
                <w:sz w:val="14"/>
                <w:szCs w:val="14"/>
                <w:color w:val="auto"/>
              </w:rPr>
              <w:t>None</w:t>
            </w:r>
          </w:p>
        </w:tc>
      </w:tr>
      <w:tr>
        <w:trPr>
          <w:trHeight w:val="191"/>
        </w:trPr>
        <w:tc>
          <w:tcPr>
            <w:tcW w:w="20" w:type="dxa"/>
            <w:vAlign w:val="bottom"/>
          </w:tcPr>
          <w:p>
            <w:pPr>
              <w:spacing w:after="0"/>
              <w:rPr>
                <w:sz w:val="16"/>
                <w:szCs w:val="16"/>
                <w:color w:val="auto"/>
              </w:rPr>
            </w:pPr>
          </w:p>
        </w:tc>
        <w:tc>
          <w:tcPr>
            <w:tcW w:w="640" w:type="dxa"/>
            <w:vAlign w:val="bottom"/>
            <w:tcBorders>
              <w:bottom w:val="single" w:sz="8" w:color="959595"/>
            </w:tcBorders>
          </w:tcPr>
          <w:p>
            <w:pPr>
              <w:spacing w:after="0"/>
              <w:rPr>
                <w:sz w:val="16"/>
                <w:szCs w:val="16"/>
                <w:color w:val="auto"/>
              </w:rPr>
            </w:pPr>
          </w:p>
        </w:tc>
        <w:tc>
          <w:tcPr>
            <w:tcW w:w="4740" w:type="dxa"/>
            <w:vAlign w:val="bottom"/>
            <w:tcBorders>
              <w:bottom w:val="single" w:sz="8" w:color="959595"/>
            </w:tcBorders>
          </w:tcPr>
          <w:p>
            <w:pPr>
              <w:ind w:left="160"/>
              <w:spacing w:after="0"/>
              <w:rPr>
                <w:sz w:val="20"/>
                <w:szCs w:val="20"/>
                <w:color w:val="auto"/>
              </w:rPr>
            </w:pPr>
            <w:r>
              <w:rPr>
                <w:rFonts w:ascii="Arial" w:cs="Arial" w:eastAsia="Arial" w:hAnsi="Arial"/>
                <w:sz w:val="14"/>
                <w:szCs w:val="14"/>
                <w:color w:val="auto"/>
              </w:rPr>
              <w:t>Stockholder Meetings</w:t>
            </w:r>
          </w:p>
        </w:tc>
        <w:tc>
          <w:tcPr>
            <w:tcW w:w="540" w:type="dxa"/>
            <w:vAlign w:val="bottom"/>
            <w:tcBorders>
              <w:bottom w:val="single" w:sz="8" w:color="959595"/>
              <w:right w:val="single" w:sz="8" w:color="E7E8E9"/>
            </w:tcBorders>
          </w:tcPr>
          <w:p>
            <w:pPr>
              <w:spacing w:after="0"/>
              <w:rPr>
                <w:sz w:val="16"/>
                <w:szCs w:val="16"/>
                <w:color w:val="auto"/>
              </w:rPr>
            </w:pPr>
          </w:p>
        </w:tc>
        <w:tc>
          <w:tcPr>
            <w:tcW w:w="1400" w:type="dxa"/>
            <w:vAlign w:val="bottom"/>
            <w:tcBorders>
              <w:bottom w:val="single" w:sz="8" w:color="959595"/>
            </w:tcBorders>
            <w:shd w:val="clear" w:color="auto" w:fill="E7E8E9"/>
          </w:tcPr>
          <w:p>
            <w:pPr>
              <w:spacing w:after="0"/>
              <w:rPr>
                <w:sz w:val="16"/>
                <w:szCs w:val="16"/>
                <w:color w:val="auto"/>
              </w:rPr>
            </w:pPr>
          </w:p>
        </w:tc>
        <w:tc>
          <w:tcPr>
            <w:tcW w:w="174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advisory and non-binding</w:t>
            </w:r>
          </w:p>
        </w:tc>
        <w:tc>
          <w:tcPr>
            <w:tcW w:w="1080" w:type="dxa"/>
            <w:vAlign w:val="bottom"/>
            <w:tcBorders>
              <w:bottom w:val="single" w:sz="8" w:color="959595"/>
            </w:tcBorders>
          </w:tcPr>
          <w:p>
            <w:pPr>
              <w:spacing w:after="0"/>
              <w:rPr>
                <w:sz w:val="16"/>
                <w:szCs w:val="16"/>
                <w:color w:val="auto"/>
              </w:rPr>
            </w:pPr>
          </w:p>
        </w:tc>
        <w:tc>
          <w:tcPr>
            <w:tcW w:w="1060" w:type="dxa"/>
            <w:vAlign w:val="bottom"/>
            <w:tcBorders>
              <w:bottom w:val="single" w:sz="8" w:color="959595"/>
            </w:tcBorders>
          </w:tcPr>
          <w:p>
            <w:pPr>
              <w:spacing w:after="0"/>
              <w:rPr>
                <w:sz w:val="16"/>
                <w:szCs w:val="16"/>
                <w:color w:val="auto"/>
              </w:rPr>
            </w:pPr>
          </w:p>
        </w:tc>
        <w:tc>
          <w:tcPr>
            <w:tcW w:w="20" w:type="dxa"/>
            <w:vAlign w:val="bottom"/>
          </w:tcPr>
          <w:p>
            <w:pPr>
              <w:spacing w:after="0"/>
              <w:rPr>
                <w:sz w:val="16"/>
                <w:szCs w:val="16"/>
                <w:color w:val="auto"/>
              </w:rPr>
            </w:pPr>
          </w:p>
        </w:tc>
      </w:tr>
      <w:tr>
        <w:trPr>
          <w:trHeight w:val="152"/>
        </w:trPr>
        <w:tc>
          <w:tcPr>
            <w:tcW w:w="660" w:type="dxa"/>
            <w:vAlign w:val="bottom"/>
            <w:gridSpan w:val="2"/>
          </w:tcPr>
          <w:p>
            <w:pPr>
              <w:ind w:left="20"/>
              <w:spacing w:after="0" w:line="152" w:lineRule="exact"/>
              <w:rPr>
                <w:sz w:val="20"/>
                <w:szCs w:val="20"/>
                <w:color w:val="auto"/>
              </w:rPr>
            </w:pPr>
            <w:r>
              <w:rPr>
                <w:rFonts w:ascii="Arial" w:cs="Arial" w:eastAsia="Arial" w:hAnsi="Arial"/>
                <w:sz w:val="14"/>
                <w:szCs w:val="14"/>
                <w:b w:val="1"/>
                <w:bCs w:val="1"/>
                <w:color w:val="auto"/>
              </w:rPr>
              <w:t>5</w:t>
            </w:r>
          </w:p>
        </w:tc>
        <w:tc>
          <w:tcPr>
            <w:tcW w:w="4740" w:type="dxa"/>
            <w:vAlign w:val="bottom"/>
          </w:tcPr>
          <w:p>
            <w:pPr>
              <w:ind w:left="140"/>
              <w:spacing w:after="0" w:line="152" w:lineRule="exact"/>
              <w:rPr>
                <w:sz w:val="20"/>
                <w:szCs w:val="20"/>
                <w:color w:val="auto"/>
              </w:rPr>
            </w:pPr>
            <w:r>
              <w:rPr>
                <w:rFonts w:ascii="Arial" w:cs="Arial" w:eastAsia="Arial" w:hAnsi="Arial"/>
                <w:sz w:val="14"/>
                <w:szCs w:val="14"/>
                <w:color w:val="auto"/>
              </w:rPr>
              <w:t>Stockholder Proposal to Issue a Human Rights Impact Assessment</w:t>
            </w:r>
          </w:p>
        </w:tc>
        <w:tc>
          <w:tcPr>
            <w:tcW w:w="540" w:type="dxa"/>
            <w:vAlign w:val="bottom"/>
            <w:tcBorders>
              <w:right w:val="single" w:sz="8" w:color="E7E8E9"/>
            </w:tcBorders>
          </w:tcPr>
          <w:p>
            <w:pPr>
              <w:jc w:val="right"/>
              <w:spacing w:after="0" w:line="152" w:lineRule="exact"/>
              <w:rPr>
                <w:sz w:val="20"/>
                <w:szCs w:val="20"/>
                <w:color w:val="auto"/>
              </w:rPr>
            </w:pPr>
            <w:r>
              <w:rPr>
                <w:rFonts w:ascii="Arial" w:cs="Arial" w:eastAsia="Arial" w:hAnsi="Arial"/>
                <w:sz w:val="14"/>
                <w:szCs w:val="14"/>
                <w:color w:val="auto"/>
              </w:rPr>
              <w:t>76</w:t>
            </w:r>
          </w:p>
        </w:tc>
        <w:tc>
          <w:tcPr>
            <w:tcW w:w="1400" w:type="dxa"/>
            <w:vAlign w:val="bottom"/>
            <w:shd w:val="clear" w:color="auto" w:fill="E7E8E9"/>
          </w:tcPr>
          <w:p>
            <w:pPr>
              <w:jc w:val="right"/>
              <w:spacing w:after="0" w:line="152" w:lineRule="exact"/>
              <w:rPr>
                <w:sz w:val="20"/>
                <w:szCs w:val="20"/>
                <w:color w:val="auto"/>
              </w:rPr>
            </w:pPr>
            <w:r>
              <w:rPr>
                <w:rFonts w:ascii="Arial" w:cs="Arial" w:eastAsia="Arial" w:hAnsi="Arial"/>
                <w:sz w:val="14"/>
                <w:szCs w:val="14"/>
                <w:b w:val="1"/>
                <w:bCs w:val="1"/>
                <w:color w:val="auto"/>
              </w:rPr>
              <w:t>AGAINST</w:t>
            </w:r>
          </w:p>
        </w:tc>
        <w:tc>
          <w:tcPr>
            <w:tcW w:w="1740" w:type="dxa"/>
            <w:vAlign w:val="bottom"/>
          </w:tcPr>
          <w:p>
            <w:pPr>
              <w:jc w:val="right"/>
              <w:spacing w:after="0" w:line="152" w:lineRule="exact"/>
              <w:rPr>
                <w:sz w:val="20"/>
                <w:szCs w:val="20"/>
                <w:color w:val="auto"/>
              </w:rPr>
            </w:pPr>
            <w:r>
              <w:rPr>
                <w:rFonts w:ascii="Arial" w:cs="Arial" w:eastAsia="Arial" w:hAnsi="Arial"/>
                <w:sz w:val="14"/>
                <w:szCs w:val="14"/>
                <w:color w:val="auto"/>
              </w:rPr>
              <w:t>Majority of votes cast;</w:t>
            </w:r>
          </w:p>
        </w:tc>
        <w:tc>
          <w:tcPr>
            <w:tcW w:w="1080" w:type="dxa"/>
            <w:vAlign w:val="bottom"/>
          </w:tcPr>
          <w:p>
            <w:pPr>
              <w:jc w:val="right"/>
              <w:spacing w:after="0" w:line="152" w:lineRule="exact"/>
              <w:rPr>
                <w:sz w:val="20"/>
                <w:szCs w:val="20"/>
                <w:color w:val="auto"/>
              </w:rPr>
            </w:pPr>
            <w:r>
              <w:rPr>
                <w:rFonts w:ascii="Arial" w:cs="Arial" w:eastAsia="Arial" w:hAnsi="Arial"/>
                <w:sz w:val="14"/>
                <w:szCs w:val="14"/>
                <w:color w:val="auto"/>
              </w:rPr>
              <w:t>None</w:t>
            </w:r>
          </w:p>
        </w:tc>
        <w:tc>
          <w:tcPr>
            <w:tcW w:w="1080" w:type="dxa"/>
            <w:vAlign w:val="bottom"/>
            <w:gridSpan w:val="2"/>
          </w:tcPr>
          <w:p>
            <w:pPr>
              <w:jc w:val="right"/>
              <w:ind w:right="40"/>
              <w:spacing w:after="0" w:line="152" w:lineRule="exact"/>
              <w:rPr>
                <w:sz w:val="20"/>
                <w:szCs w:val="20"/>
                <w:color w:val="auto"/>
              </w:rPr>
            </w:pPr>
            <w:r>
              <w:rPr>
                <w:rFonts w:ascii="Arial" w:cs="Arial" w:eastAsia="Arial" w:hAnsi="Arial"/>
                <w:sz w:val="14"/>
                <w:szCs w:val="14"/>
                <w:color w:val="auto"/>
              </w:rPr>
              <w:t>None</w:t>
            </w:r>
          </w:p>
        </w:tc>
      </w:tr>
      <w:tr>
        <w:trPr>
          <w:trHeight w:val="191"/>
        </w:trPr>
        <w:tc>
          <w:tcPr>
            <w:tcW w:w="20" w:type="dxa"/>
            <w:vAlign w:val="bottom"/>
            <w:tcBorders>
              <w:bottom w:val="single" w:sz="8" w:color="9D9D9C"/>
            </w:tcBorders>
          </w:tcPr>
          <w:p>
            <w:pPr>
              <w:spacing w:after="0"/>
              <w:rPr>
                <w:sz w:val="16"/>
                <w:szCs w:val="16"/>
                <w:color w:val="auto"/>
              </w:rPr>
            </w:pPr>
          </w:p>
        </w:tc>
        <w:tc>
          <w:tcPr>
            <w:tcW w:w="640" w:type="dxa"/>
            <w:vAlign w:val="bottom"/>
            <w:tcBorders>
              <w:bottom w:val="single" w:sz="8" w:color="9D9D9C"/>
            </w:tcBorders>
          </w:tcPr>
          <w:p>
            <w:pPr>
              <w:spacing w:after="0"/>
              <w:rPr>
                <w:sz w:val="16"/>
                <w:szCs w:val="16"/>
                <w:color w:val="auto"/>
              </w:rPr>
            </w:pPr>
          </w:p>
        </w:tc>
        <w:tc>
          <w:tcPr>
            <w:tcW w:w="4740" w:type="dxa"/>
            <w:vAlign w:val="bottom"/>
            <w:tcBorders>
              <w:bottom w:val="single" w:sz="8" w:color="9D9D9C"/>
            </w:tcBorders>
          </w:tcPr>
          <w:p>
            <w:pPr>
              <w:ind w:left="140"/>
              <w:spacing w:after="0"/>
              <w:rPr>
                <w:sz w:val="20"/>
                <w:szCs w:val="20"/>
                <w:color w:val="auto"/>
              </w:rPr>
            </w:pPr>
            <w:r>
              <w:rPr>
                <w:rFonts w:ascii="Arial" w:cs="Arial" w:eastAsia="Arial" w:hAnsi="Arial"/>
                <w:sz w:val="14"/>
                <w:szCs w:val="14"/>
                <w:color w:val="auto"/>
              </w:rPr>
              <w:t>Report</w:t>
            </w:r>
          </w:p>
        </w:tc>
        <w:tc>
          <w:tcPr>
            <w:tcW w:w="540" w:type="dxa"/>
            <w:vAlign w:val="bottom"/>
            <w:tcBorders>
              <w:bottom w:val="single" w:sz="8" w:color="9D9D9C"/>
              <w:right w:val="single" w:sz="8" w:color="E7E8E9"/>
            </w:tcBorders>
          </w:tcPr>
          <w:p>
            <w:pPr>
              <w:spacing w:after="0"/>
              <w:rPr>
                <w:sz w:val="16"/>
                <w:szCs w:val="16"/>
                <w:color w:val="auto"/>
              </w:rPr>
            </w:pPr>
          </w:p>
        </w:tc>
        <w:tc>
          <w:tcPr>
            <w:tcW w:w="1400" w:type="dxa"/>
            <w:vAlign w:val="bottom"/>
            <w:tcBorders>
              <w:bottom w:val="single" w:sz="8" w:color="959595"/>
            </w:tcBorders>
            <w:shd w:val="clear" w:color="auto" w:fill="E7E8E9"/>
          </w:tcPr>
          <w:p>
            <w:pPr>
              <w:spacing w:after="0"/>
              <w:rPr>
                <w:sz w:val="16"/>
                <w:szCs w:val="16"/>
                <w:color w:val="auto"/>
              </w:rPr>
            </w:pPr>
          </w:p>
        </w:tc>
        <w:tc>
          <w:tcPr>
            <w:tcW w:w="174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advisory and non-binding</w:t>
            </w:r>
          </w:p>
        </w:tc>
        <w:tc>
          <w:tcPr>
            <w:tcW w:w="1080" w:type="dxa"/>
            <w:vAlign w:val="bottom"/>
            <w:tcBorders>
              <w:bottom w:val="single" w:sz="8" w:color="959595"/>
            </w:tcBorders>
          </w:tcPr>
          <w:p>
            <w:pPr>
              <w:spacing w:after="0"/>
              <w:rPr>
                <w:sz w:val="16"/>
                <w:szCs w:val="16"/>
                <w:color w:val="auto"/>
              </w:rPr>
            </w:pPr>
          </w:p>
        </w:tc>
        <w:tc>
          <w:tcPr>
            <w:tcW w:w="1060" w:type="dxa"/>
            <w:vAlign w:val="bottom"/>
            <w:tcBorders>
              <w:bottom w:val="single" w:sz="8" w:color="959595"/>
            </w:tcBorders>
          </w:tcPr>
          <w:p>
            <w:pPr>
              <w:spacing w:after="0"/>
              <w:rPr>
                <w:sz w:val="16"/>
                <w:szCs w:val="16"/>
                <w:color w:val="auto"/>
              </w:rPr>
            </w:pPr>
          </w:p>
        </w:tc>
        <w:tc>
          <w:tcPr>
            <w:tcW w:w="20" w:type="dxa"/>
            <w:vAlign w:val="bottom"/>
          </w:tcPr>
          <w:p>
            <w:pPr>
              <w:spacing w:after="0"/>
              <w:rPr>
                <w:sz w:val="16"/>
                <w:szCs w:val="16"/>
                <w:color w:val="auto"/>
              </w:rPr>
            </w:pPr>
          </w:p>
        </w:tc>
      </w:tr>
    </w:tbl>
    <w:p>
      <w:pPr>
        <w:spacing w:after="0" w:line="159" w:lineRule="exact"/>
        <w:rPr>
          <w:sz w:val="20"/>
          <w:szCs w:val="20"/>
          <w:color w:val="auto"/>
        </w:rPr>
      </w:pPr>
    </w:p>
    <w:p>
      <w:pPr>
        <w:ind w:left="220" w:hanging="213"/>
        <w:spacing w:after="0"/>
        <w:tabs>
          <w:tab w:leader="none" w:pos="220" w:val="left"/>
        </w:tabs>
        <w:numPr>
          <w:ilvl w:val="0"/>
          <w:numId w:val="124"/>
        </w:numPr>
        <w:rPr>
          <w:rFonts w:ascii="Arial" w:cs="Arial" w:eastAsia="Arial" w:hAnsi="Arial"/>
          <w:sz w:val="19"/>
          <w:szCs w:val="19"/>
          <w:color w:val="auto"/>
          <w:vertAlign w:val="superscript"/>
        </w:rPr>
      </w:pPr>
      <w:r>
        <w:rPr>
          <w:rFonts w:ascii="Arial" w:cs="Arial" w:eastAsia="Arial" w:hAnsi="Arial"/>
          <w:sz w:val="14"/>
          <w:szCs w:val="14"/>
          <w:color w:val="auto"/>
        </w:rPr>
        <w:t>“Votes cast” excludes broker non-votes and excludes abstentions.</w:t>
      </w:r>
    </w:p>
    <w:p>
      <w:pPr>
        <w:spacing w:after="0" w:line="56" w:lineRule="exact"/>
        <w:rPr>
          <w:rFonts w:ascii="Arial" w:cs="Arial" w:eastAsia="Arial" w:hAnsi="Arial"/>
          <w:sz w:val="19"/>
          <w:szCs w:val="19"/>
          <w:color w:val="auto"/>
          <w:vertAlign w:val="superscript"/>
        </w:rPr>
      </w:pPr>
    </w:p>
    <w:p>
      <w:pPr>
        <w:ind w:left="240" w:right="180" w:hanging="233"/>
        <w:spacing w:after="0" w:line="219" w:lineRule="auto"/>
        <w:tabs>
          <w:tab w:leader="none" w:pos="263" w:val="left"/>
        </w:tabs>
        <w:numPr>
          <w:ilvl w:val="0"/>
          <w:numId w:val="124"/>
        </w:numPr>
        <w:rPr>
          <w:rFonts w:ascii="Arial" w:cs="Arial" w:eastAsia="Arial" w:hAnsi="Arial"/>
          <w:sz w:val="19"/>
          <w:szCs w:val="19"/>
          <w:color w:val="auto"/>
          <w:vertAlign w:val="superscript"/>
        </w:rPr>
      </w:pPr>
      <w:r>
        <w:rPr>
          <w:rFonts w:ascii="Arial" w:cs="Arial" w:eastAsia="Arial" w:hAnsi="Arial"/>
          <w:sz w:val="14"/>
          <w:szCs w:val="14"/>
          <w:color w:val="auto"/>
        </w:rPr>
        <w:t>A stockholder who abstains on some or all matters is considered present for purposes of determining if a quorum is present at the Annual Meeting, but an abstention is not counted as a vote cast under Maryland law. Accordingly, an abstention has no effect on the vote on any proposal.</w:t>
      </w:r>
    </w:p>
    <w:p>
      <w:pPr>
        <w:spacing w:after="0" w:line="56" w:lineRule="exact"/>
        <w:rPr>
          <w:rFonts w:ascii="Arial" w:cs="Arial" w:eastAsia="Arial" w:hAnsi="Arial"/>
          <w:sz w:val="19"/>
          <w:szCs w:val="19"/>
          <w:color w:val="auto"/>
          <w:vertAlign w:val="superscript"/>
        </w:rPr>
      </w:pPr>
    </w:p>
    <w:p>
      <w:pPr>
        <w:ind w:left="240" w:right="240" w:hanging="233"/>
        <w:spacing w:after="0" w:line="238" w:lineRule="auto"/>
        <w:tabs>
          <w:tab w:leader="none" w:pos="215" w:val="left"/>
        </w:tabs>
        <w:numPr>
          <w:ilvl w:val="0"/>
          <w:numId w:val="124"/>
        </w:numPr>
        <w:rPr>
          <w:rFonts w:ascii="Arial" w:cs="Arial" w:eastAsia="Arial" w:hAnsi="Arial"/>
          <w:sz w:val="19"/>
          <w:szCs w:val="19"/>
          <w:color w:val="auto"/>
          <w:vertAlign w:val="superscript"/>
        </w:rPr>
      </w:pPr>
      <w:r>
        <w:rPr>
          <w:rFonts w:ascii="Arial" w:cs="Arial" w:eastAsia="Arial" w:hAnsi="Arial"/>
          <w:sz w:val="14"/>
          <w:szCs w:val="14"/>
          <w:color w:val="auto"/>
        </w:rPr>
        <w:t>Brokers only have discretionary authority to vote on Proposal 2. If a broker casts a vote on Proposal 2, the vote will be included in determining whether a quorum exists for holding the meeting. Brokers do not have authority to vote on the other proposals (non-routine matters) absent directions from the beneficial owner. If the beneficial owner does not vote on Proposals 1, 3, 4 or 5 so that there is a “broker non-vote” on those items, the broker non-votes do not count as votes cast for that proposal and have no effect on the proposal outcome. A broker non-vote on these proposals will not impact our ability to obtain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238125</wp:posOffset>
            </wp:positionV>
            <wp:extent cx="963930" cy="2216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81</w:t>
      </w:r>
    </w:p>
    <w:p>
      <w:pPr>
        <w:sectPr>
          <w:pgSz w:w="11900" w:h="16838" w:orient="portrait"/>
          <w:cols w:equalWidth="0" w:num="1">
            <w:col w:w="11240"/>
          </w:cols>
          <w:pgMar w:left="320" w:top="254" w:right="339" w:bottom="1440" w:gutter="0" w:footer="0" w:header="0"/>
        </w:sectPr>
      </w:pPr>
    </w:p>
    <w:bookmarkStart w:id="87" w:name="page88"/>
    <w:bookmarkEnd w:id="87"/>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Annual Meeting Questions and Answers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9"/>
          <w:szCs w:val="29"/>
          <w:color w:val="003478"/>
        </w:rPr>
        <w:t>Can other matters be decided at the Annual Meeting?</w:t>
      </w:r>
    </w:p>
    <w:p>
      <w:pPr>
        <w:spacing w:after="0" w:line="121" w:lineRule="exact"/>
        <w:rPr>
          <w:sz w:val="20"/>
          <w:szCs w:val="20"/>
          <w:color w:val="auto"/>
        </w:rPr>
      </w:pPr>
    </w:p>
    <w:p>
      <w:pPr>
        <w:ind w:right="120"/>
        <w:spacing w:after="0" w:line="267" w:lineRule="auto"/>
        <w:rPr>
          <w:sz w:val="20"/>
          <w:szCs w:val="20"/>
          <w:color w:val="auto"/>
        </w:rPr>
      </w:pPr>
      <w:r>
        <w:rPr>
          <w:rFonts w:ascii="Arial" w:cs="Arial" w:eastAsia="Arial" w:hAnsi="Arial"/>
          <w:sz w:val="17"/>
          <w:szCs w:val="17"/>
          <w:color w:val="auto"/>
        </w:rPr>
        <w:t>At the time this Proxy Statement went to press, we were not aware of any other matters to be presented at the Annual Meeting. If other matters are properly presented for consideration at the Annual Meeting, the proxy holders appointed by our Board (who are named on your proxy card if you are a registered stockholder) will have the discretion to vote on those matters in accordance with their best judgment on behalf of stockholders who provide a valid proxy by Internet, by telephone or by mail if you received it by mail.</w:t>
      </w:r>
    </w:p>
    <w:p>
      <w:pPr>
        <w:spacing w:after="0" w:line="86" w:lineRule="exact"/>
        <w:rPr>
          <w:sz w:val="20"/>
          <w:szCs w:val="20"/>
          <w:color w:val="auto"/>
        </w:rPr>
      </w:pPr>
    </w:p>
    <w:p>
      <w:pPr>
        <w:spacing w:after="0"/>
        <w:rPr>
          <w:sz w:val="20"/>
          <w:szCs w:val="20"/>
          <w:color w:val="auto"/>
        </w:rPr>
      </w:pPr>
      <w:r>
        <w:rPr>
          <w:rFonts w:ascii="Arial" w:cs="Arial" w:eastAsia="Arial" w:hAnsi="Arial"/>
          <w:sz w:val="29"/>
          <w:szCs w:val="29"/>
          <w:color w:val="003478"/>
        </w:rPr>
        <w:t>How can I vote in advance of the Annual Meeting?</w:t>
      </w:r>
    </w:p>
    <w:p>
      <w:pPr>
        <w:spacing w:after="0" w:line="121" w:lineRule="exact"/>
        <w:rPr>
          <w:sz w:val="20"/>
          <w:szCs w:val="20"/>
          <w:color w:val="auto"/>
        </w:rPr>
      </w:pPr>
    </w:p>
    <w:p>
      <w:pPr>
        <w:ind w:left="220" w:hanging="132"/>
        <w:spacing w:after="0"/>
        <w:tabs>
          <w:tab w:leader="none" w:pos="220" w:val="left"/>
        </w:tabs>
        <w:numPr>
          <w:ilvl w:val="0"/>
          <w:numId w:val="125"/>
        </w:numPr>
        <w:rPr>
          <w:rFonts w:ascii="Arial" w:cs="Arial" w:eastAsia="Arial" w:hAnsi="Arial"/>
          <w:sz w:val="17"/>
          <w:szCs w:val="17"/>
          <w:color w:val="002E6D"/>
        </w:rPr>
      </w:pPr>
      <w:r>
        <w:rPr>
          <w:rFonts w:ascii="Arial" w:cs="Arial" w:eastAsia="Arial" w:hAnsi="Arial"/>
          <w:sz w:val="17"/>
          <w:szCs w:val="17"/>
          <w:color w:val="auto"/>
        </w:rPr>
        <w:t>If your shares are registered in your name, you can vote using any of the methods described below.</w:t>
      </w:r>
    </w:p>
    <w:p>
      <w:pPr>
        <w:spacing w:after="0" w:line="127" w:lineRule="exact"/>
        <w:rPr>
          <w:rFonts w:ascii="Arial" w:cs="Arial" w:eastAsia="Arial" w:hAnsi="Arial"/>
          <w:sz w:val="17"/>
          <w:szCs w:val="17"/>
          <w:color w:val="002E6D"/>
        </w:rPr>
      </w:pPr>
    </w:p>
    <w:p>
      <w:pPr>
        <w:ind w:left="240" w:right="40" w:hanging="152"/>
        <w:spacing w:after="0" w:line="269" w:lineRule="auto"/>
        <w:tabs>
          <w:tab w:leader="none" w:pos="205" w:val="left"/>
        </w:tabs>
        <w:numPr>
          <w:ilvl w:val="0"/>
          <w:numId w:val="125"/>
        </w:numPr>
        <w:rPr>
          <w:rFonts w:ascii="Arial" w:cs="Arial" w:eastAsia="Arial" w:hAnsi="Arial"/>
          <w:sz w:val="17"/>
          <w:szCs w:val="17"/>
          <w:color w:val="002E6D"/>
        </w:rPr>
      </w:pPr>
      <w:r>
        <w:rPr>
          <w:rFonts w:ascii="Arial" w:cs="Arial" w:eastAsia="Arial" w:hAnsi="Arial"/>
          <w:sz w:val="17"/>
          <w:szCs w:val="17"/>
          <w:color w:val="auto"/>
        </w:rPr>
        <w:t>If your shares are held in the name of a broker, bank, or other nominee, your nominee will provide you with instructions on the procedure for voting your shares. Employees with shares allocated to an employee benefit plan account should review the information on procedures for voting by employees on page 83.</w:t>
      </w:r>
    </w:p>
    <w:p>
      <w:pPr>
        <w:spacing w:after="0" w:line="95" w:lineRule="exact"/>
        <w:rPr>
          <w:rFonts w:ascii="Arial" w:cs="Arial" w:eastAsia="Arial" w:hAnsi="Arial"/>
          <w:sz w:val="17"/>
          <w:szCs w:val="17"/>
          <w:color w:val="002E6D"/>
        </w:rPr>
      </w:pPr>
    </w:p>
    <w:p>
      <w:pPr>
        <w:ind w:left="240" w:right="220" w:hanging="152"/>
        <w:spacing w:after="0" w:line="274" w:lineRule="auto"/>
        <w:tabs>
          <w:tab w:leader="none" w:pos="205" w:val="left"/>
        </w:tabs>
        <w:numPr>
          <w:ilvl w:val="0"/>
          <w:numId w:val="125"/>
        </w:numPr>
        <w:rPr>
          <w:rFonts w:ascii="Arial" w:cs="Arial" w:eastAsia="Arial" w:hAnsi="Arial"/>
          <w:sz w:val="17"/>
          <w:szCs w:val="17"/>
          <w:color w:val="002E6D"/>
        </w:rPr>
      </w:pPr>
      <w:r>
        <w:rPr>
          <w:rFonts w:ascii="Arial" w:cs="Arial" w:eastAsia="Arial" w:hAnsi="Arial"/>
          <w:sz w:val="17"/>
          <w:szCs w:val="17"/>
          <w:color w:val="auto"/>
        </w:rPr>
        <w:t>If you hold shares in multiple accounts, you may receive multiple Proxy Material packages (electronically and/or by mail). Please be sure to vote all of your Lockheed Martin shares in each of your accounts in accordance with the voting instructions you receive.</w:t>
      </w:r>
    </w:p>
    <w:p>
      <w:pPr>
        <w:spacing w:after="0" w:line="85" w:lineRule="exact"/>
        <w:rPr>
          <w:sz w:val="20"/>
          <w:szCs w:val="20"/>
          <w:color w:val="auto"/>
        </w:rPr>
      </w:pPr>
    </w:p>
    <w:p>
      <w:pPr>
        <w:spacing w:after="0"/>
        <w:rPr>
          <w:sz w:val="20"/>
          <w:szCs w:val="20"/>
          <w:color w:val="auto"/>
        </w:rPr>
      </w:pPr>
      <w:r>
        <w:rPr>
          <w:rFonts w:ascii="Arial" w:cs="Arial" w:eastAsia="Arial" w:hAnsi="Arial"/>
          <w:sz w:val="25"/>
          <w:szCs w:val="25"/>
          <w:color w:val="818EB4"/>
        </w:rPr>
        <w:t>By Internet or Telephone</w:t>
      </w:r>
    </w:p>
    <w:p>
      <w:pPr>
        <w:spacing w:after="0" w:line="103" w:lineRule="exact"/>
        <w:rPr>
          <w:sz w:val="20"/>
          <w:szCs w:val="20"/>
          <w:color w:val="auto"/>
        </w:rPr>
      </w:pPr>
    </w:p>
    <w:p>
      <w:pPr>
        <w:ind w:right="540"/>
        <w:spacing w:after="0" w:line="296" w:lineRule="auto"/>
        <w:rPr>
          <w:sz w:val="20"/>
          <w:szCs w:val="20"/>
          <w:color w:val="auto"/>
        </w:rPr>
      </w:pPr>
      <w:r>
        <w:rPr>
          <w:rFonts w:ascii="Arial" w:cs="Arial" w:eastAsia="Arial" w:hAnsi="Arial"/>
          <w:sz w:val="17"/>
          <w:szCs w:val="17"/>
          <w:color w:val="auto"/>
        </w:rPr>
        <w:t xml:space="preserve">You can vote your shares via the Internet at </w:t>
      </w:r>
      <w:r>
        <w:rPr>
          <w:rFonts w:ascii="Arial" w:cs="Arial" w:eastAsia="Arial" w:hAnsi="Arial"/>
          <w:sz w:val="17"/>
          <w:szCs w:val="17"/>
          <w:i w:val="1"/>
          <w:iCs w:val="1"/>
          <w:color w:val="auto"/>
        </w:rPr>
        <w:t>www.investorvote.com</w:t>
      </w:r>
      <w:r>
        <w:rPr>
          <w:rFonts w:ascii="Arial" w:cs="Arial" w:eastAsia="Arial" w:hAnsi="Arial"/>
          <w:sz w:val="17"/>
          <w:szCs w:val="17"/>
          <w:color w:val="auto"/>
        </w:rPr>
        <w:t>. Please have your proxy card in hand when you go online. You will have an opportunity to confirm your voting selections before your vote is recorded.</w:t>
      </w:r>
    </w:p>
    <w:p>
      <w:pPr>
        <w:spacing w:after="0" w:line="73" w:lineRule="exact"/>
        <w:rPr>
          <w:sz w:val="20"/>
          <w:szCs w:val="20"/>
          <w:color w:val="auto"/>
        </w:rPr>
      </w:pPr>
    </w:p>
    <w:p>
      <w:pPr>
        <w:jc w:val="both"/>
        <w:ind w:right="500"/>
        <w:spacing w:after="0" w:line="269" w:lineRule="auto"/>
        <w:rPr>
          <w:sz w:val="20"/>
          <w:szCs w:val="20"/>
          <w:color w:val="auto"/>
        </w:rPr>
      </w:pPr>
      <w:r>
        <w:rPr>
          <w:rFonts w:ascii="Arial" w:cs="Arial" w:eastAsia="Arial" w:hAnsi="Arial"/>
          <w:sz w:val="17"/>
          <w:szCs w:val="17"/>
          <w:color w:val="auto"/>
        </w:rPr>
        <w:t>You can vote your shares by telephone by calling toll-free 1-800-652-8683 in the U.S., Canada, and Puerto Rico, or 1-781-575-2300 from other locations. Please have your proxy card in hand when you call. You will have an opportunity to confirm your voting selections before your vote is recorded.</w:t>
      </w:r>
    </w:p>
    <w:p>
      <w:pPr>
        <w:spacing w:after="0" w:line="95"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color w:val="auto"/>
        </w:rPr>
        <w:t>Internet and telephone voting facilities for registered stockholders will be available 24 hours a day until the voting poll is closed during the Annual Meeting. If you vote your shares on the Internet or by telephone, you do not have to return your proxy card.</w:t>
      </w:r>
    </w:p>
    <w:p>
      <w:pPr>
        <w:spacing w:after="0" w:line="91"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The availability of Internet and telephone voting for beneficial owners will depend on the voting processes of your broker, bank or other nominee. You should follow the voting instructions in the materials that you received from your nominee.</w:t>
      </w:r>
    </w:p>
    <w:p>
      <w:pPr>
        <w:spacing w:after="0" w:line="85" w:lineRule="exact"/>
        <w:rPr>
          <w:sz w:val="20"/>
          <w:szCs w:val="20"/>
          <w:color w:val="auto"/>
        </w:rPr>
      </w:pPr>
    </w:p>
    <w:p>
      <w:pPr>
        <w:spacing w:after="0"/>
        <w:rPr>
          <w:sz w:val="20"/>
          <w:szCs w:val="20"/>
          <w:color w:val="auto"/>
        </w:rPr>
      </w:pPr>
      <w:r>
        <w:rPr>
          <w:rFonts w:ascii="Arial" w:cs="Arial" w:eastAsia="Arial" w:hAnsi="Arial"/>
          <w:sz w:val="25"/>
          <w:szCs w:val="25"/>
          <w:color w:val="818EB4"/>
        </w:rPr>
        <w:t>By Mail</w:t>
      </w:r>
    </w:p>
    <w:p>
      <w:pPr>
        <w:spacing w:after="0" w:line="121" w:lineRule="exact"/>
        <w:rPr>
          <w:sz w:val="20"/>
          <w:szCs w:val="20"/>
          <w:color w:val="auto"/>
        </w:rPr>
      </w:pPr>
    </w:p>
    <w:p>
      <w:pPr>
        <w:ind w:right="420"/>
        <w:spacing w:after="0" w:line="274" w:lineRule="auto"/>
        <w:rPr>
          <w:sz w:val="20"/>
          <w:szCs w:val="20"/>
          <w:color w:val="auto"/>
        </w:rPr>
      </w:pPr>
      <w:r>
        <w:rPr>
          <w:rFonts w:ascii="Arial" w:cs="Arial" w:eastAsia="Arial" w:hAnsi="Arial"/>
          <w:sz w:val="17"/>
          <w:szCs w:val="17"/>
          <w:color w:val="auto"/>
        </w:rPr>
        <w:t>If you received your Proxy Materials by mail, mark, date and sign the proxy card and return it in the postage prepaid envelope provided. If voting instructions are provided, shares represented by the proxy card will be voted in accordance with the voting instructions.</w:t>
      </w:r>
    </w:p>
    <w:p>
      <w:pPr>
        <w:spacing w:after="0" w:line="91" w:lineRule="exact"/>
        <w:rPr>
          <w:sz w:val="20"/>
          <w:szCs w:val="20"/>
          <w:color w:val="auto"/>
        </w:rPr>
      </w:pPr>
    </w:p>
    <w:p>
      <w:pPr>
        <w:ind w:right="520"/>
        <w:spacing w:after="0" w:line="274" w:lineRule="auto"/>
        <w:rPr>
          <w:sz w:val="20"/>
          <w:szCs w:val="20"/>
          <w:color w:val="auto"/>
        </w:rPr>
      </w:pPr>
      <w:r>
        <w:rPr>
          <w:rFonts w:ascii="Arial" w:cs="Arial" w:eastAsia="Arial" w:hAnsi="Arial"/>
          <w:sz w:val="17"/>
          <w:szCs w:val="17"/>
          <w:color w:val="auto"/>
        </w:rPr>
        <w:t>If you want to vote in accordance with the Board’s recommendations, sign, date and return the proxy card without marking it. The named proxy holders will vote signed but unmarked proxy cards in accordance with the Board’s recommendations.</w:t>
      </w:r>
    </w:p>
    <w:p>
      <w:pPr>
        <w:spacing w:after="0" w:line="91" w:lineRule="exact"/>
        <w:rPr>
          <w:sz w:val="20"/>
          <w:szCs w:val="20"/>
          <w:color w:val="auto"/>
        </w:rPr>
      </w:pPr>
    </w:p>
    <w:p>
      <w:pPr>
        <w:ind w:right="720"/>
        <w:spacing w:after="0" w:line="274" w:lineRule="auto"/>
        <w:rPr>
          <w:sz w:val="20"/>
          <w:szCs w:val="20"/>
          <w:color w:val="auto"/>
        </w:rPr>
      </w:pPr>
      <w:r>
        <w:rPr>
          <w:rFonts w:ascii="Arial" w:cs="Arial" w:eastAsia="Arial" w:hAnsi="Arial"/>
          <w:sz w:val="17"/>
          <w:szCs w:val="17"/>
          <w:color w:val="auto"/>
        </w:rPr>
        <w:t>If you are a registered stockholder, and the postage prepaid envelope is missing, please mail your completed proxy card to Lockheed Martin Corporation, c/o Computershare Investor Services, P.O. Box 505045, Louisville, KY 40233-9718.</w:t>
      </w:r>
    </w:p>
    <w:p>
      <w:pPr>
        <w:spacing w:after="0" w:line="80" w:lineRule="exact"/>
        <w:rPr>
          <w:sz w:val="20"/>
          <w:szCs w:val="20"/>
          <w:color w:val="auto"/>
        </w:rPr>
      </w:pPr>
    </w:p>
    <w:p>
      <w:pPr>
        <w:spacing w:after="0"/>
        <w:rPr>
          <w:sz w:val="20"/>
          <w:szCs w:val="20"/>
          <w:color w:val="auto"/>
        </w:rPr>
      </w:pPr>
      <w:r>
        <w:rPr>
          <w:rFonts w:ascii="Arial" w:cs="Arial" w:eastAsia="Arial" w:hAnsi="Arial"/>
          <w:sz w:val="29"/>
          <w:szCs w:val="29"/>
          <w:color w:val="003478"/>
        </w:rPr>
        <w:t>What is a legal proxy and how can I request one if necessary?</w:t>
      </w:r>
    </w:p>
    <w:p>
      <w:pPr>
        <w:spacing w:after="0" w:line="121"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color w:val="auto"/>
        </w:rPr>
        <w:t>A legal proxy is an authorization from you to another person (if you are a registered stockholder), or your broker, bank or other nominee to you or another person (if you are a beneficial owner) to vote the shares held in your name or in the nominee’s name that satisfies Maryland law.</w:t>
      </w:r>
    </w:p>
    <w:p>
      <w:pPr>
        <w:spacing w:after="0" w:line="91"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If your broker, bank or other nominee informs you that you will not be able to access the virtual Annual Meeting other than as a guest, then you must register in advance to attend and vote at the virtual Annual Meeting by obtaining a legal proxy.</w:t>
      </w:r>
    </w:p>
    <w:p>
      <w:pPr>
        <w:spacing w:after="0" w:line="91" w:lineRule="exact"/>
        <w:rPr>
          <w:sz w:val="20"/>
          <w:szCs w:val="20"/>
          <w:color w:val="auto"/>
        </w:rPr>
      </w:pPr>
    </w:p>
    <w:p>
      <w:pPr>
        <w:ind w:right="100"/>
        <w:spacing w:after="0" w:line="266" w:lineRule="auto"/>
        <w:rPr>
          <w:sz w:val="20"/>
          <w:szCs w:val="20"/>
          <w:color w:val="auto"/>
        </w:rPr>
      </w:pPr>
      <w:r>
        <w:rPr>
          <w:rFonts w:ascii="Arial" w:cs="Arial" w:eastAsia="Arial" w:hAnsi="Arial"/>
          <w:sz w:val="17"/>
          <w:szCs w:val="17"/>
          <w:color w:val="auto"/>
        </w:rPr>
        <w:t xml:space="preserve">To register you must obtain a legally valid proxy from your broker, bank or other nominee and present it to our transfer agent, Computershare. After you have received a valid proxy from your broker, bank or other agent, it should be emailed to Computershare at </w:t>
      </w:r>
      <w:r>
        <w:rPr>
          <w:rFonts w:ascii="Arial" w:cs="Arial" w:eastAsia="Arial" w:hAnsi="Arial"/>
          <w:sz w:val="17"/>
          <w:szCs w:val="17"/>
          <w:i w:val="1"/>
          <w:iCs w:val="1"/>
          <w:color w:val="auto"/>
        </w:rPr>
        <w:t>legalproxy@computershare.com</w:t>
      </w:r>
      <w:r>
        <w:rPr>
          <w:rFonts w:ascii="Arial" w:cs="Arial" w:eastAsia="Arial" w:hAnsi="Arial"/>
          <w:sz w:val="17"/>
          <w:szCs w:val="17"/>
          <w:color w:val="auto"/>
        </w:rPr>
        <w:t xml:space="preserve"> or mailed to "Computershare, Lockheed Martin Corporation Legal Proxy, P.O. Box 43001, Providence, RI 02940-3001" and, in each case, be labeled “Legal Proxy” and include proof from your broker, bank or other agent of your valid proxy (e.g., a forwarded email from your broker, bank or other agent with your valid proxy attached, or an image of your valid proxy attached to your email or included in your mailing). You will then receive a confirmation of your registration, with a control</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82</w:t>
      </w:r>
    </w:p>
    <w:p>
      <w:pPr>
        <w:sectPr>
          <w:pgSz w:w="11900" w:h="16838" w:orient="portrait"/>
          <w:cols w:equalWidth="0" w:num="1">
            <w:col w:w="11240"/>
          </w:cols>
          <w:pgMar w:left="320" w:top="254" w:right="339" w:bottom="1440" w:gutter="0" w:footer="0" w:header="0"/>
        </w:sectPr>
      </w:pPr>
    </w:p>
    <w:bookmarkStart w:id="88" w:name="page89"/>
    <w:bookmarkEnd w:id="88"/>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Annual Meeting Questions and Answers</w:t>
      </w:r>
    </w:p>
    <w:p>
      <w:pPr>
        <w:spacing w:after="0" w:line="200" w:lineRule="exact"/>
        <w:rPr>
          <w:sz w:val="20"/>
          <w:szCs w:val="20"/>
          <w:color w:val="auto"/>
        </w:rPr>
      </w:pPr>
    </w:p>
    <w:p>
      <w:pPr>
        <w:spacing w:after="0" w:line="377"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number, by email from Computershare. Requests for registration must be received by Computershare no later than 5:00 p.m. EDT, on Monday, April 18, 2022.</w:t>
      </w:r>
    </w:p>
    <w:p>
      <w:pPr>
        <w:spacing w:after="0" w:line="80" w:lineRule="exact"/>
        <w:rPr>
          <w:sz w:val="20"/>
          <w:szCs w:val="20"/>
          <w:color w:val="auto"/>
        </w:rPr>
      </w:pPr>
    </w:p>
    <w:p>
      <w:pPr>
        <w:spacing w:after="0"/>
        <w:rPr>
          <w:sz w:val="20"/>
          <w:szCs w:val="20"/>
          <w:color w:val="auto"/>
        </w:rPr>
      </w:pPr>
      <w:r>
        <w:rPr>
          <w:rFonts w:ascii="Arial" w:cs="Arial" w:eastAsia="Arial" w:hAnsi="Arial"/>
          <w:sz w:val="29"/>
          <w:szCs w:val="29"/>
          <w:color w:val="003478"/>
        </w:rPr>
        <w:t>Can I change my proxy vote?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Yes. If you are a registered stockholder, you can change your proxy vote or revoke your proxy at any time before the Annual Meeting by:</w:t>
      </w:r>
    </w:p>
    <w:p>
      <w:pPr>
        <w:spacing w:after="0" w:line="127" w:lineRule="exact"/>
        <w:rPr>
          <w:sz w:val="20"/>
          <w:szCs w:val="20"/>
          <w:color w:val="auto"/>
        </w:rPr>
      </w:pPr>
    </w:p>
    <w:p>
      <w:pPr>
        <w:ind w:left="220" w:hanging="132"/>
        <w:spacing w:after="0"/>
        <w:tabs>
          <w:tab w:leader="none" w:pos="220" w:val="left"/>
        </w:tabs>
        <w:numPr>
          <w:ilvl w:val="0"/>
          <w:numId w:val="126"/>
        </w:numPr>
        <w:rPr>
          <w:rFonts w:ascii="Arial" w:cs="Arial" w:eastAsia="Arial" w:hAnsi="Arial"/>
          <w:sz w:val="17"/>
          <w:szCs w:val="17"/>
          <w:color w:val="002E6D"/>
        </w:rPr>
      </w:pPr>
      <w:r>
        <w:rPr>
          <w:rFonts w:ascii="Arial" w:cs="Arial" w:eastAsia="Arial" w:hAnsi="Arial"/>
          <w:sz w:val="17"/>
          <w:szCs w:val="17"/>
          <w:color w:val="auto"/>
        </w:rPr>
        <w:t>returning a signed proxy card with a later date that is received prior to the closing of the vote at the meeting;</w:t>
      </w:r>
    </w:p>
    <w:p>
      <w:pPr>
        <w:spacing w:after="0" w:line="127" w:lineRule="exact"/>
        <w:rPr>
          <w:rFonts w:ascii="Arial" w:cs="Arial" w:eastAsia="Arial" w:hAnsi="Arial"/>
          <w:sz w:val="17"/>
          <w:szCs w:val="17"/>
          <w:color w:val="002E6D"/>
        </w:rPr>
      </w:pPr>
    </w:p>
    <w:p>
      <w:pPr>
        <w:ind w:left="220" w:hanging="132"/>
        <w:spacing w:after="0"/>
        <w:tabs>
          <w:tab w:leader="none" w:pos="220" w:val="left"/>
        </w:tabs>
        <w:numPr>
          <w:ilvl w:val="0"/>
          <w:numId w:val="126"/>
        </w:numPr>
        <w:rPr>
          <w:rFonts w:ascii="Arial" w:cs="Arial" w:eastAsia="Arial" w:hAnsi="Arial"/>
          <w:sz w:val="17"/>
          <w:szCs w:val="17"/>
          <w:color w:val="002E6D"/>
        </w:rPr>
      </w:pPr>
      <w:r>
        <w:rPr>
          <w:rFonts w:ascii="Arial" w:cs="Arial" w:eastAsia="Arial" w:hAnsi="Arial"/>
          <w:sz w:val="17"/>
          <w:szCs w:val="17"/>
          <w:color w:val="auto"/>
        </w:rPr>
        <w:t>authorizing a new vote electronically through the Internet or by telephone;</w:t>
      </w:r>
    </w:p>
    <w:p>
      <w:pPr>
        <w:spacing w:after="0" w:line="127" w:lineRule="exact"/>
        <w:rPr>
          <w:rFonts w:ascii="Arial" w:cs="Arial" w:eastAsia="Arial" w:hAnsi="Arial"/>
          <w:sz w:val="17"/>
          <w:szCs w:val="17"/>
          <w:color w:val="002E6D"/>
        </w:rPr>
      </w:pPr>
    </w:p>
    <w:p>
      <w:pPr>
        <w:ind w:left="240" w:right="300" w:hanging="152"/>
        <w:spacing w:after="0" w:line="274" w:lineRule="auto"/>
        <w:tabs>
          <w:tab w:leader="none" w:pos="205" w:val="left"/>
        </w:tabs>
        <w:numPr>
          <w:ilvl w:val="0"/>
          <w:numId w:val="126"/>
        </w:numPr>
        <w:rPr>
          <w:rFonts w:ascii="Arial" w:cs="Arial" w:eastAsia="Arial" w:hAnsi="Arial"/>
          <w:sz w:val="17"/>
          <w:szCs w:val="17"/>
          <w:color w:val="002E6D"/>
        </w:rPr>
      </w:pPr>
      <w:r>
        <w:rPr>
          <w:rFonts w:ascii="Arial" w:cs="Arial" w:eastAsia="Arial" w:hAnsi="Arial"/>
          <w:sz w:val="17"/>
          <w:szCs w:val="17"/>
          <w:color w:val="auto"/>
        </w:rPr>
        <w:t>delivering a written revocation of your proxy to Lockheed Martin Corporation, Attention: Senior Vice President, General Counsel and Corporate Secretary, 6801 Rockledge Drive, Bethesda, MD 20817, before your original proxy is voted at the Annual Meeting; or</w:t>
      </w:r>
    </w:p>
    <w:p>
      <w:pPr>
        <w:spacing w:after="0" w:line="91" w:lineRule="exact"/>
        <w:rPr>
          <w:rFonts w:ascii="Arial" w:cs="Arial" w:eastAsia="Arial" w:hAnsi="Arial"/>
          <w:sz w:val="17"/>
          <w:szCs w:val="17"/>
          <w:color w:val="002E6D"/>
        </w:rPr>
      </w:pPr>
    </w:p>
    <w:p>
      <w:pPr>
        <w:ind w:left="220" w:hanging="132"/>
        <w:spacing w:after="0"/>
        <w:tabs>
          <w:tab w:leader="none" w:pos="220" w:val="left"/>
        </w:tabs>
        <w:numPr>
          <w:ilvl w:val="0"/>
          <w:numId w:val="126"/>
        </w:numPr>
        <w:rPr>
          <w:rFonts w:ascii="Arial" w:cs="Arial" w:eastAsia="Arial" w:hAnsi="Arial"/>
          <w:sz w:val="17"/>
          <w:szCs w:val="17"/>
          <w:color w:val="002E6D"/>
        </w:rPr>
      </w:pPr>
      <w:r>
        <w:rPr>
          <w:rFonts w:ascii="Arial" w:cs="Arial" w:eastAsia="Arial" w:hAnsi="Arial"/>
          <w:sz w:val="17"/>
          <w:szCs w:val="17"/>
          <w:color w:val="auto"/>
        </w:rPr>
        <w:t>voting electronically during the Annual Meeting.</w:t>
      </w:r>
    </w:p>
    <w:p>
      <w:pPr>
        <w:spacing w:after="0" w:line="127"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If you are a beneficial owner of shares, you can submit new voting instructions by contacting your broker, bank or other nominee and may be able to submit a vote at the Annual Meeting depending on what your broker, bank or other nominee informs you.</w:t>
      </w:r>
    </w:p>
    <w:p>
      <w:pPr>
        <w:spacing w:after="0" w:line="80" w:lineRule="exact"/>
        <w:rPr>
          <w:sz w:val="20"/>
          <w:szCs w:val="20"/>
          <w:color w:val="auto"/>
        </w:rPr>
      </w:pPr>
    </w:p>
    <w:p>
      <w:pPr>
        <w:spacing w:after="0"/>
        <w:rPr>
          <w:sz w:val="20"/>
          <w:szCs w:val="20"/>
          <w:color w:val="auto"/>
        </w:rPr>
      </w:pPr>
      <w:r>
        <w:rPr>
          <w:rFonts w:ascii="Arial" w:cs="Arial" w:eastAsia="Arial" w:hAnsi="Arial"/>
          <w:sz w:val="29"/>
          <w:szCs w:val="29"/>
          <w:color w:val="003478"/>
        </w:rPr>
        <w:t>What if I return my proxy card but do not provide voting instructions?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Proxies that are signed and returned but do not contain voting instructions will be voted:</w:t>
      </w:r>
    </w:p>
    <w:p>
      <w:pPr>
        <w:spacing w:after="0" w:line="107" w:lineRule="exact"/>
        <w:rPr>
          <w:sz w:val="20"/>
          <w:szCs w:val="20"/>
          <w:color w:val="auto"/>
        </w:rPr>
      </w:pPr>
    </w:p>
    <w:p>
      <w:pPr>
        <w:ind w:left="220" w:hanging="132"/>
        <w:spacing w:after="0"/>
        <w:tabs>
          <w:tab w:leader="none" w:pos="220" w:val="left"/>
        </w:tabs>
        <w:numPr>
          <w:ilvl w:val="0"/>
          <w:numId w:val="127"/>
        </w:numPr>
        <w:rPr>
          <w:rFonts w:ascii="Arial" w:cs="Arial" w:eastAsia="Arial" w:hAnsi="Arial"/>
          <w:sz w:val="17"/>
          <w:szCs w:val="17"/>
          <w:color w:val="002F6C"/>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election of the 13 director nominees listed in this proxy statement (Proposal 1);</w:t>
      </w:r>
    </w:p>
    <w:p>
      <w:pPr>
        <w:spacing w:after="0" w:line="127" w:lineRule="exact"/>
        <w:rPr>
          <w:rFonts w:ascii="Arial" w:cs="Arial" w:eastAsia="Arial" w:hAnsi="Arial"/>
          <w:sz w:val="17"/>
          <w:szCs w:val="17"/>
          <w:color w:val="002F6C"/>
        </w:rPr>
      </w:pPr>
    </w:p>
    <w:p>
      <w:pPr>
        <w:ind w:left="240" w:right="220" w:hanging="152"/>
        <w:spacing w:after="0" w:line="298" w:lineRule="auto"/>
        <w:tabs>
          <w:tab w:leader="none" w:pos="205" w:val="left"/>
        </w:tabs>
        <w:numPr>
          <w:ilvl w:val="0"/>
          <w:numId w:val="127"/>
        </w:numPr>
        <w:rPr>
          <w:rFonts w:ascii="Arial" w:cs="Arial" w:eastAsia="Arial" w:hAnsi="Arial"/>
          <w:sz w:val="17"/>
          <w:szCs w:val="17"/>
          <w:color w:val="002F6C"/>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ratification of the appointment of Ernst &amp; Young LLP, an independent registered public accounting firm, as our independent auditors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2022 fiscal year (Proposal 2);</w:t>
      </w:r>
    </w:p>
    <w:p>
      <w:pPr>
        <w:spacing w:after="0" w:line="52" w:lineRule="exact"/>
        <w:rPr>
          <w:rFonts w:ascii="Arial" w:cs="Arial" w:eastAsia="Arial" w:hAnsi="Arial"/>
          <w:sz w:val="17"/>
          <w:szCs w:val="17"/>
          <w:color w:val="002F6C"/>
        </w:rPr>
      </w:pPr>
    </w:p>
    <w:p>
      <w:pPr>
        <w:ind w:left="220" w:hanging="132"/>
        <w:spacing w:after="0"/>
        <w:tabs>
          <w:tab w:leader="none" w:pos="220" w:val="left"/>
        </w:tabs>
        <w:numPr>
          <w:ilvl w:val="0"/>
          <w:numId w:val="127"/>
        </w:numPr>
        <w:rPr>
          <w:rFonts w:ascii="Arial" w:cs="Arial" w:eastAsia="Arial" w:hAnsi="Arial"/>
          <w:sz w:val="17"/>
          <w:szCs w:val="17"/>
          <w:color w:val="002F6C"/>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advisory vote to approve the compensation of our named executive officers (Say-on-Pay) (Proposal 3);</w:t>
      </w:r>
    </w:p>
    <w:p>
      <w:pPr>
        <w:spacing w:after="0" w:line="127" w:lineRule="exact"/>
        <w:rPr>
          <w:rFonts w:ascii="Arial" w:cs="Arial" w:eastAsia="Arial" w:hAnsi="Arial"/>
          <w:sz w:val="17"/>
          <w:szCs w:val="17"/>
          <w:color w:val="002F6C"/>
        </w:rPr>
      </w:pPr>
    </w:p>
    <w:p>
      <w:pPr>
        <w:ind w:left="220" w:hanging="132"/>
        <w:spacing w:after="0"/>
        <w:tabs>
          <w:tab w:leader="none" w:pos="220" w:val="left"/>
        </w:tabs>
        <w:numPr>
          <w:ilvl w:val="0"/>
          <w:numId w:val="127"/>
        </w:numPr>
        <w:rPr>
          <w:rFonts w:ascii="Arial" w:cs="Arial" w:eastAsia="Arial" w:hAnsi="Arial"/>
          <w:sz w:val="17"/>
          <w:szCs w:val="17"/>
          <w:color w:val="002F6C"/>
        </w:rPr>
      </w:pPr>
      <w:r>
        <w:rPr>
          <w:rFonts w:ascii="Arial" w:cs="Arial" w:eastAsia="Arial" w:hAnsi="Arial"/>
          <w:sz w:val="17"/>
          <w:szCs w:val="17"/>
          <w:b w:val="1"/>
          <w:bCs w:val="1"/>
          <w:color w:val="auto"/>
        </w:rPr>
        <w:t xml:space="preserve">AGAINST </w:t>
      </w:r>
      <w:r>
        <w:rPr>
          <w:rFonts w:ascii="Arial" w:cs="Arial" w:eastAsia="Arial" w:hAnsi="Arial"/>
          <w:sz w:val="17"/>
          <w:szCs w:val="17"/>
          <w:color w:val="auto"/>
        </w:rPr>
        <w:t>the stockholder proposal to reduce threshold for calling special stockholder meetings (Proposal 4);</w:t>
      </w:r>
    </w:p>
    <w:p>
      <w:pPr>
        <w:spacing w:after="0" w:line="127" w:lineRule="exact"/>
        <w:rPr>
          <w:rFonts w:ascii="Arial" w:cs="Arial" w:eastAsia="Arial" w:hAnsi="Arial"/>
          <w:sz w:val="17"/>
          <w:szCs w:val="17"/>
          <w:color w:val="002F6C"/>
        </w:rPr>
      </w:pPr>
    </w:p>
    <w:p>
      <w:pPr>
        <w:ind w:left="220" w:hanging="132"/>
        <w:spacing w:after="0"/>
        <w:tabs>
          <w:tab w:leader="none" w:pos="220" w:val="left"/>
        </w:tabs>
        <w:numPr>
          <w:ilvl w:val="0"/>
          <w:numId w:val="127"/>
        </w:numPr>
        <w:rPr>
          <w:rFonts w:ascii="Arial" w:cs="Arial" w:eastAsia="Arial" w:hAnsi="Arial"/>
          <w:sz w:val="17"/>
          <w:szCs w:val="17"/>
          <w:color w:val="003478"/>
        </w:rPr>
      </w:pPr>
      <w:r>
        <w:rPr>
          <w:rFonts w:ascii="Arial" w:cs="Arial" w:eastAsia="Arial" w:hAnsi="Arial"/>
          <w:sz w:val="17"/>
          <w:szCs w:val="17"/>
          <w:b w:val="1"/>
          <w:bCs w:val="1"/>
          <w:color w:val="auto"/>
        </w:rPr>
        <w:t xml:space="preserve">AGAINST </w:t>
      </w:r>
      <w:r>
        <w:rPr>
          <w:rFonts w:ascii="Arial" w:cs="Arial" w:eastAsia="Arial" w:hAnsi="Arial"/>
          <w:sz w:val="17"/>
          <w:szCs w:val="17"/>
          <w:color w:val="auto"/>
        </w:rPr>
        <w:t>the stockholder proposal to issue a human rights impact assessment report (Proposal 5); and</w:t>
      </w:r>
    </w:p>
    <w:p>
      <w:pPr>
        <w:spacing w:after="0" w:line="147" w:lineRule="exact"/>
        <w:rPr>
          <w:rFonts w:ascii="Arial" w:cs="Arial" w:eastAsia="Arial" w:hAnsi="Arial"/>
          <w:sz w:val="17"/>
          <w:szCs w:val="17"/>
          <w:color w:val="003478"/>
        </w:rPr>
      </w:pPr>
    </w:p>
    <w:p>
      <w:pPr>
        <w:ind w:left="220" w:hanging="132"/>
        <w:spacing w:after="0"/>
        <w:tabs>
          <w:tab w:leader="none" w:pos="220" w:val="left"/>
        </w:tabs>
        <w:numPr>
          <w:ilvl w:val="0"/>
          <w:numId w:val="127"/>
        </w:numPr>
        <w:rPr>
          <w:rFonts w:ascii="Arial" w:cs="Arial" w:eastAsia="Arial" w:hAnsi="Arial"/>
          <w:sz w:val="17"/>
          <w:szCs w:val="17"/>
          <w:color w:val="003478"/>
        </w:rPr>
      </w:pPr>
      <w:r>
        <w:rPr>
          <w:rFonts w:ascii="Arial" w:cs="Arial" w:eastAsia="Arial" w:hAnsi="Arial"/>
          <w:sz w:val="17"/>
          <w:szCs w:val="17"/>
          <w:color w:val="auto"/>
        </w:rPr>
        <w:t>In the best judgment of the named proxy holders if any other matters are properly brought before the Annual Meeting.</w:t>
      </w:r>
    </w:p>
    <w:p>
      <w:pPr>
        <w:spacing w:after="0" w:line="116" w:lineRule="exact"/>
        <w:rPr>
          <w:sz w:val="20"/>
          <w:szCs w:val="20"/>
          <w:color w:val="auto"/>
        </w:rPr>
      </w:pPr>
    </w:p>
    <w:p>
      <w:pPr>
        <w:ind w:right="700"/>
        <w:spacing w:after="0" w:line="250" w:lineRule="auto"/>
        <w:rPr>
          <w:sz w:val="20"/>
          <w:szCs w:val="20"/>
          <w:color w:val="auto"/>
        </w:rPr>
      </w:pPr>
      <w:r>
        <w:rPr>
          <w:rFonts w:ascii="Arial" w:cs="Arial" w:eastAsia="Arial" w:hAnsi="Arial"/>
          <w:sz w:val="29"/>
          <w:szCs w:val="29"/>
          <w:color w:val="003478"/>
        </w:rPr>
        <w:t>How do I vote if I participate in one of the Company’s 401(k) or defined contribution plans?</w:t>
      </w:r>
    </w:p>
    <w:p>
      <w:pPr>
        <w:spacing w:after="0" w:line="96" w:lineRule="exact"/>
        <w:rPr>
          <w:sz w:val="20"/>
          <w:szCs w:val="20"/>
          <w:color w:val="auto"/>
        </w:rPr>
      </w:pPr>
    </w:p>
    <w:p>
      <w:pPr>
        <w:ind w:right="320"/>
        <w:spacing w:after="0" w:line="269" w:lineRule="auto"/>
        <w:rPr>
          <w:sz w:val="20"/>
          <w:szCs w:val="20"/>
          <w:color w:val="auto"/>
        </w:rPr>
      </w:pPr>
      <w:r>
        <w:rPr>
          <w:rFonts w:ascii="Arial" w:cs="Arial" w:eastAsia="Arial" w:hAnsi="Arial"/>
          <w:sz w:val="17"/>
          <w:szCs w:val="17"/>
          <w:color w:val="auto"/>
        </w:rPr>
        <w:t>As a participant in one of our employee 401(k) or defined contribution plans, you can direct the plan trustees how to vote shares allocated to your account(s) on a voting direction card, electronically through the Internet or by telephone. Most active employees who participate in these benefit plans will receive an email notification announcing Internet availability of the Proxy Materials and how to submit voting directions.</w:t>
      </w:r>
    </w:p>
    <w:p>
      <w:pPr>
        <w:spacing w:after="0" w:line="95"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If you do not provide timely directions to the plan trustee, shares allocated to your account(s) will be voted by the plan trustee depending on the terms of your plan or other legal requirements.</w:t>
      </w:r>
    </w:p>
    <w:p>
      <w:pPr>
        <w:spacing w:after="0" w:line="91" w:lineRule="exact"/>
        <w:rPr>
          <w:sz w:val="20"/>
          <w:szCs w:val="20"/>
          <w:color w:val="auto"/>
        </w:rPr>
      </w:pPr>
    </w:p>
    <w:p>
      <w:pPr>
        <w:jc w:val="both"/>
        <w:ind w:right="160"/>
        <w:spacing w:after="0" w:line="269" w:lineRule="auto"/>
        <w:rPr>
          <w:sz w:val="20"/>
          <w:szCs w:val="20"/>
          <w:color w:val="auto"/>
        </w:rPr>
      </w:pPr>
      <w:r>
        <w:rPr>
          <w:rFonts w:ascii="Arial" w:cs="Arial" w:eastAsia="Arial" w:hAnsi="Arial"/>
          <w:sz w:val="17"/>
          <w:szCs w:val="17"/>
          <w:color w:val="auto"/>
        </w:rPr>
        <w:t>Plan participants may attend the virtual Annual Meeting and ask questions, but may not vote plan shares at the Annual Meeting. If you wish to vote, whether you plan to attend the virtual Annual Meeting or not, you should direct the trustee of your plan(s) how you wish to vote your plan shares no later than 11:59 p.m., EDT, on Monday, April 18, 2022.</w:t>
      </w:r>
    </w:p>
    <w:p>
      <w:pPr>
        <w:spacing w:after="0" w:line="84" w:lineRule="exact"/>
        <w:rPr>
          <w:sz w:val="20"/>
          <w:szCs w:val="20"/>
          <w:color w:val="auto"/>
        </w:rPr>
      </w:pPr>
    </w:p>
    <w:p>
      <w:pPr>
        <w:spacing w:after="0"/>
        <w:rPr>
          <w:sz w:val="20"/>
          <w:szCs w:val="20"/>
          <w:color w:val="auto"/>
        </w:rPr>
      </w:pPr>
      <w:r>
        <w:rPr>
          <w:rFonts w:ascii="Arial" w:cs="Arial" w:eastAsia="Arial" w:hAnsi="Arial"/>
          <w:sz w:val="29"/>
          <w:szCs w:val="29"/>
          <w:color w:val="003478"/>
        </w:rPr>
        <w:t>How many shares must be present to hold the Annual Meeting?</w:t>
      </w:r>
    </w:p>
    <w:p>
      <w:pPr>
        <w:spacing w:after="0" w:line="121"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In order for us to lawfully conduct business at our Annual Meeting, a majority of the shares outstanding and entitled to vote as of the Record Date, must be present virtually or by proxy. This is referred to as a quorum. Your shares are counted as present at the Annual Meeting if you attend the Annual Meeting virtually and vote in person or abstain from voting, or if you properly return a proxy by Internet, by telephone or by mail in advance of the Annual Meeting and do not revoke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262255</wp:posOffset>
            </wp:positionV>
            <wp:extent cx="963930" cy="2216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83</w:t>
      </w:r>
    </w:p>
    <w:p>
      <w:pPr>
        <w:sectPr>
          <w:pgSz w:w="11900" w:h="16838" w:orient="portrait"/>
          <w:cols w:equalWidth="0" w:num="1">
            <w:col w:w="11220"/>
          </w:cols>
          <w:pgMar w:left="320" w:top="254" w:right="359" w:bottom="1440" w:gutter="0" w:footer="0" w:header="0"/>
        </w:sectPr>
      </w:pPr>
    </w:p>
    <w:bookmarkStart w:id="89" w:name="page90"/>
    <w:bookmarkEnd w:id="89"/>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Annual Meeting Questions and Answers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9"/>
          <w:szCs w:val="29"/>
          <w:color w:val="003478"/>
        </w:rPr>
        <w:t>Will my shares be voted if I don’t provide my proxy or instruction card?</w:t>
      </w:r>
    </w:p>
    <w:p>
      <w:pPr>
        <w:spacing w:after="0" w:line="116" w:lineRule="exact"/>
        <w:rPr>
          <w:sz w:val="20"/>
          <w:szCs w:val="20"/>
          <w:color w:val="auto"/>
        </w:rPr>
      </w:pPr>
    </w:p>
    <w:p>
      <w:pPr>
        <w:spacing w:after="0"/>
        <w:rPr>
          <w:sz w:val="20"/>
          <w:szCs w:val="20"/>
          <w:color w:val="auto"/>
        </w:rPr>
      </w:pPr>
      <w:r>
        <w:rPr>
          <w:rFonts w:ascii="Arial" w:cs="Arial" w:eastAsia="Arial" w:hAnsi="Arial"/>
          <w:sz w:val="25"/>
          <w:szCs w:val="25"/>
          <w:color w:val="818EB4"/>
        </w:rPr>
        <w:t>Registered Stockholders</w:t>
      </w:r>
    </w:p>
    <w:p>
      <w:pPr>
        <w:spacing w:after="0" w:line="121"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If your shares are registered in your name, your shares will not be voted unless you provide a proxy by Internet in advance of the Annual Meeting, by telephone, by mail, or vote electronically during the Annual Meeting.</w:t>
      </w:r>
    </w:p>
    <w:p>
      <w:pPr>
        <w:spacing w:after="0" w:line="85" w:lineRule="exact"/>
        <w:rPr>
          <w:sz w:val="20"/>
          <w:szCs w:val="20"/>
          <w:color w:val="auto"/>
        </w:rPr>
      </w:pPr>
    </w:p>
    <w:p>
      <w:pPr>
        <w:spacing w:after="0"/>
        <w:rPr>
          <w:sz w:val="20"/>
          <w:szCs w:val="20"/>
          <w:color w:val="auto"/>
        </w:rPr>
      </w:pPr>
      <w:r>
        <w:rPr>
          <w:rFonts w:ascii="Arial" w:cs="Arial" w:eastAsia="Arial" w:hAnsi="Arial"/>
          <w:sz w:val="25"/>
          <w:szCs w:val="25"/>
          <w:color w:val="818EB4"/>
        </w:rPr>
        <w:t>Plan Participants</w:t>
      </w:r>
    </w:p>
    <w:p>
      <w:pPr>
        <w:spacing w:after="0" w:line="12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If you are a participant in one of our employee 401(k) or defined contribution plans and you do not provide timely directions to the plan trustee, shares allocated to your account(s) will be voted by the plan trustee depending on the terms of your plan and other legal requirements.</w:t>
      </w:r>
    </w:p>
    <w:p>
      <w:pPr>
        <w:spacing w:after="0" w:line="85" w:lineRule="exact"/>
        <w:rPr>
          <w:sz w:val="20"/>
          <w:szCs w:val="20"/>
          <w:color w:val="auto"/>
        </w:rPr>
      </w:pPr>
    </w:p>
    <w:p>
      <w:pPr>
        <w:spacing w:after="0"/>
        <w:rPr>
          <w:sz w:val="20"/>
          <w:szCs w:val="20"/>
          <w:color w:val="auto"/>
        </w:rPr>
      </w:pPr>
      <w:r>
        <w:rPr>
          <w:rFonts w:ascii="Arial" w:cs="Arial" w:eastAsia="Arial" w:hAnsi="Arial"/>
          <w:sz w:val="25"/>
          <w:szCs w:val="25"/>
          <w:color w:val="818EB4"/>
        </w:rPr>
        <w:t>Beneficial Owners</w:t>
      </w:r>
    </w:p>
    <w:p>
      <w:pPr>
        <w:spacing w:after="0" w:line="121"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If you hold shares through an account with a broker and you do not provide voting instructions, under NYSE rules, your broker may vote your shares on routine matters only. The ratification of the appointment of Ernst &amp; Young LLP (Proposal 2) is considered a routine matter, and your broker can therefore vote your shares on that Proposal even if you do not provide voting instructions. Proposals 1, 3, 4 and 5 are not considered routine matters, and your broker cannot vote your shares on those Proposals unless you provide voting instructions. Votes withheld by brokers in the absence of voting instructions from a beneficial owner are referred to as “broker non-votes.”</w:t>
      </w:r>
    </w:p>
    <w:p>
      <w:pPr>
        <w:spacing w:after="0" w:line="93" w:lineRule="exact"/>
        <w:rPr>
          <w:sz w:val="20"/>
          <w:szCs w:val="20"/>
          <w:color w:val="auto"/>
        </w:rPr>
      </w:pPr>
    </w:p>
    <w:p>
      <w:pPr>
        <w:spacing w:after="0"/>
        <w:rPr>
          <w:sz w:val="20"/>
          <w:szCs w:val="20"/>
          <w:color w:val="auto"/>
        </w:rPr>
      </w:pPr>
      <w:r>
        <w:rPr>
          <w:rFonts w:ascii="Arial" w:cs="Arial" w:eastAsia="Arial" w:hAnsi="Arial"/>
          <w:sz w:val="25"/>
          <w:szCs w:val="25"/>
          <w:color w:val="818EB4"/>
        </w:rPr>
        <w:t>Multiple Forms of Ownership</w:t>
      </w:r>
    </w:p>
    <w:p>
      <w:pPr>
        <w:spacing w:after="0" w:line="121" w:lineRule="exact"/>
        <w:rPr>
          <w:sz w:val="20"/>
          <w:szCs w:val="20"/>
          <w:color w:val="auto"/>
        </w:rPr>
      </w:pPr>
    </w:p>
    <w:p>
      <w:pPr>
        <w:ind w:right="240"/>
        <w:spacing w:after="0" w:line="269" w:lineRule="auto"/>
        <w:rPr>
          <w:sz w:val="20"/>
          <w:szCs w:val="20"/>
          <w:color w:val="auto"/>
        </w:rPr>
      </w:pPr>
      <w:r>
        <w:rPr>
          <w:rFonts w:ascii="Arial" w:cs="Arial" w:eastAsia="Arial" w:hAnsi="Arial"/>
          <w:sz w:val="17"/>
          <w:szCs w:val="17"/>
          <w:color w:val="auto"/>
        </w:rPr>
        <w:t>The Company cannot provide a single proxy or instruction card for stockholders who own shares in multiple forms as registered stockholders, plan participants or beneficial owners. As a result, if your shares are held in multiple types of accounts, you must submit your votes for each type of account in accordance with the instructions you receive for that account.</w:t>
      </w:r>
    </w:p>
    <w:p>
      <w:pPr>
        <w:spacing w:after="0" w:line="84" w:lineRule="exact"/>
        <w:rPr>
          <w:sz w:val="20"/>
          <w:szCs w:val="20"/>
          <w:color w:val="auto"/>
        </w:rPr>
      </w:pPr>
    </w:p>
    <w:p>
      <w:pPr>
        <w:spacing w:after="0"/>
        <w:rPr>
          <w:sz w:val="20"/>
          <w:szCs w:val="20"/>
          <w:color w:val="auto"/>
        </w:rPr>
      </w:pPr>
      <w:r>
        <w:rPr>
          <w:rFonts w:ascii="Arial" w:cs="Arial" w:eastAsia="Arial" w:hAnsi="Arial"/>
          <w:sz w:val="29"/>
          <w:szCs w:val="29"/>
          <w:color w:val="003478"/>
        </w:rPr>
        <w:t>Who will count the votes?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Representatives of Computershare will tabulate the votes and act as inspectors of election for the Annual Meeting.</w:t>
      </w:r>
    </w:p>
    <w:p>
      <w:pPr>
        <w:spacing w:after="0" w:line="116" w:lineRule="exact"/>
        <w:rPr>
          <w:sz w:val="20"/>
          <w:szCs w:val="20"/>
          <w:color w:val="auto"/>
        </w:rPr>
      </w:pPr>
    </w:p>
    <w:p>
      <w:pPr>
        <w:spacing w:after="0"/>
        <w:rPr>
          <w:sz w:val="20"/>
          <w:szCs w:val="20"/>
          <w:color w:val="auto"/>
        </w:rPr>
      </w:pPr>
      <w:r>
        <w:rPr>
          <w:rFonts w:ascii="Arial" w:cs="Arial" w:eastAsia="Arial" w:hAnsi="Arial"/>
          <w:sz w:val="29"/>
          <w:szCs w:val="29"/>
          <w:color w:val="003478"/>
        </w:rPr>
        <w:t>Where can I find the voting results of the Annual Meeting?</w:t>
      </w:r>
    </w:p>
    <w:p>
      <w:pPr>
        <w:spacing w:after="0" w:line="121" w:lineRule="exact"/>
        <w:rPr>
          <w:sz w:val="20"/>
          <w:szCs w:val="20"/>
          <w:color w:val="auto"/>
        </w:rPr>
      </w:pPr>
    </w:p>
    <w:p>
      <w:pPr>
        <w:ind w:right="600"/>
        <w:spacing w:after="0" w:line="274" w:lineRule="auto"/>
        <w:rPr>
          <w:sz w:val="20"/>
          <w:szCs w:val="20"/>
          <w:color w:val="auto"/>
        </w:rPr>
      </w:pPr>
      <w:r>
        <w:rPr>
          <w:rFonts w:ascii="Arial" w:cs="Arial" w:eastAsia="Arial" w:hAnsi="Arial"/>
          <w:sz w:val="17"/>
          <w:szCs w:val="17"/>
          <w:color w:val="auto"/>
        </w:rPr>
        <w:t>The preliminary voting results will be announced at the Annual Meeting. The final voting results will be tallied by the inspectors of election and disclosed by the Company in a Current Report on Form 8-K filed with the SEC within four business days following the Annual Meeting.</w:t>
      </w:r>
    </w:p>
    <w:p>
      <w:pPr>
        <w:spacing w:after="0" w:line="80" w:lineRule="exact"/>
        <w:rPr>
          <w:sz w:val="20"/>
          <w:szCs w:val="20"/>
          <w:color w:val="auto"/>
        </w:rPr>
      </w:pPr>
    </w:p>
    <w:p>
      <w:pPr>
        <w:spacing w:after="0"/>
        <w:rPr>
          <w:sz w:val="20"/>
          <w:szCs w:val="20"/>
          <w:color w:val="auto"/>
        </w:rPr>
      </w:pPr>
      <w:r>
        <w:rPr>
          <w:rFonts w:ascii="Arial" w:cs="Arial" w:eastAsia="Arial" w:hAnsi="Arial"/>
          <w:sz w:val="29"/>
          <w:szCs w:val="29"/>
          <w:color w:val="003478"/>
        </w:rPr>
        <w:t>What is “householding” and how does it affect me?</w:t>
      </w:r>
    </w:p>
    <w:p>
      <w:pPr>
        <w:spacing w:after="0" w:line="121"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We have adopted a procedure approved by the SEC called “householding.” Under this procedure, we send only one Annual Report and Proxy Statement to eligible stockholders who share a single address, unless we have received instructions to the contrary from any stockholder at that address. This practice is designed to reduce our printing and postage costs. Stockholders who participate in householding will continue to receive separate proxy cards. We do not use householding for any other stockholder mailings, such as dividend checks, Forms 1099 or account statements.</w:t>
      </w:r>
    </w:p>
    <w:p>
      <w:pPr>
        <w:spacing w:after="0" w:line="9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If you are eligible for householding, but received multiple copies of the Annual Report and Proxy Statement and prefer to receive only a single copy of each of these documents for your household, please contact Computershare, Shareholder Relations, P.O. Box 505000, Louisville, KY 40233-5000, or call 1-877-498-8861. If you are a registered stockholder residing at an address with other registered stockholders and wish to receive a separate Annual Report or Proxy Statement at this time or in the future, we will provide you with a separate copy. To obtain this copy, please contact Computershare as indicated above. If you own shares through a broker, bank, or other nominee, you should contact the nominee concerning householding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84</w:t>
      </w:r>
    </w:p>
    <w:p>
      <w:pPr>
        <w:sectPr>
          <w:pgSz w:w="11900" w:h="16838" w:orient="portrait"/>
          <w:cols w:equalWidth="0" w:num="1">
            <w:col w:w="11240"/>
          </w:cols>
          <w:pgMar w:left="320" w:top="254" w:right="339" w:bottom="1440" w:gutter="0" w:footer="0" w:header="0"/>
        </w:sectPr>
      </w:pPr>
    </w:p>
    <w:bookmarkStart w:id="90" w:name="page91"/>
    <w:bookmarkEnd w:id="90"/>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spacing w:after="0"/>
        <w:rPr>
          <w:sz w:val="20"/>
          <w:szCs w:val="20"/>
          <w:color w:val="auto"/>
        </w:rPr>
      </w:pPr>
      <w:r>
        <w:rPr>
          <w:rFonts w:ascii="Arial" w:cs="Arial" w:eastAsia="Arial" w:hAnsi="Arial"/>
          <w:sz w:val="15"/>
          <w:szCs w:val="15"/>
          <w:color w:val="003478"/>
        </w:rPr>
        <w:t>Annual Meeting Questions and Answers</w:t>
      </w: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9"/>
          <w:szCs w:val="29"/>
          <w:color w:val="003478"/>
        </w:rPr>
        <w:t>Can I receive a copy of the Annual Report?</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Yes. We will provide a copy of our Annual Report without charge, upon written request, to any registered or beneficial owner of common stock entitled to vote at the Annual Meeting. Requests should be made in writing addressed to Investor Relations, Lockheed Martin Corporation, 6801 Rockledge Drive, Bethesda, MD 20817, by calling Lockheed Martin Stockholder Direct at 1-800-568-9758, or by accessing the Company’s website at </w:t>
      </w:r>
      <w:r>
        <w:rPr>
          <w:rFonts w:ascii="Arial" w:cs="Arial" w:eastAsia="Arial" w:hAnsi="Arial"/>
          <w:sz w:val="17"/>
          <w:szCs w:val="17"/>
          <w:i w:val="1"/>
          <w:iCs w:val="1"/>
          <w:color w:val="auto"/>
        </w:rPr>
        <w:t>www.lockheedmartin.com/investor</w:t>
      </w:r>
      <w:r>
        <w:rPr>
          <w:rFonts w:ascii="Arial" w:cs="Arial" w:eastAsia="Arial" w:hAnsi="Arial"/>
          <w:sz w:val="17"/>
          <w:szCs w:val="17"/>
          <w:color w:val="auto"/>
        </w:rPr>
        <w:t>.</w:t>
      </w:r>
    </w:p>
    <w:p>
      <w:pPr>
        <w:spacing w:after="0" w:line="86" w:lineRule="exact"/>
        <w:rPr>
          <w:sz w:val="20"/>
          <w:szCs w:val="20"/>
          <w:color w:val="auto"/>
        </w:rPr>
      </w:pPr>
    </w:p>
    <w:p>
      <w:pPr>
        <w:spacing w:after="0"/>
        <w:rPr>
          <w:sz w:val="20"/>
          <w:szCs w:val="20"/>
          <w:color w:val="auto"/>
        </w:rPr>
      </w:pPr>
      <w:r>
        <w:rPr>
          <w:rFonts w:ascii="Arial" w:cs="Arial" w:eastAsia="Arial" w:hAnsi="Arial"/>
          <w:sz w:val="29"/>
          <w:szCs w:val="29"/>
          <w:color w:val="003478"/>
        </w:rPr>
        <w:t>Can I view the Proxy Statement and Annual Report on the Internet?</w:t>
      </w:r>
    </w:p>
    <w:p>
      <w:pPr>
        <w:spacing w:after="0" w:line="103"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 xml:space="preserve">Yes. The Proxy Statement and Annual Report are available on the Internet at </w:t>
      </w:r>
      <w:r>
        <w:rPr>
          <w:rFonts w:ascii="Arial" w:cs="Arial" w:eastAsia="Arial" w:hAnsi="Arial"/>
          <w:sz w:val="17"/>
          <w:szCs w:val="17"/>
          <w:i w:val="1"/>
          <w:iCs w:val="1"/>
          <w:color w:val="auto"/>
        </w:rPr>
        <w:t>www.edocumentview.com/LMT</w:t>
      </w:r>
      <w:r>
        <w:rPr>
          <w:rFonts w:ascii="Arial" w:cs="Arial" w:eastAsia="Arial" w:hAnsi="Arial"/>
          <w:sz w:val="17"/>
          <w:szCs w:val="17"/>
          <w:color w:val="auto"/>
        </w:rPr>
        <w:t xml:space="preserve">. Subject to the “householding” procedures above, all stockholders will receive paper copies of the Proxy Statement, proxy card and Annual Report by mail unless the stockholder has consented to electronic delivery or is an employee with shares allocated in an employee benefit plan. The SEC also maintains a website at </w:t>
      </w:r>
      <w:r>
        <w:rPr>
          <w:rFonts w:ascii="Arial" w:cs="Arial" w:eastAsia="Arial" w:hAnsi="Arial"/>
          <w:sz w:val="17"/>
          <w:szCs w:val="17"/>
          <w:i w:val="1"/>
          <w:iCs w:val="1"/>
          <w:color w:val="auto"/>
        </w:rPr>
        <w:t xml:space="preserve">www.sec.gov </w:t>
      </w:r>
      <w:r>
        <w:rPr>
          <w:rFonts w:ascii="Arial" w:cs="Arial" w:eastAsia="Arial" w:hAnsi="Arial"/>
          <w:sz w:val="17"/>
          <w:szCs w:val="17"/>
          <w:color w:val="auto"/>
        </w:rPr>
        <w:t>that contains reports, proxy statements, and other information regarding Lockheed Martin.</w:t>
      </w:r>
    </w:p>
    <w:p>
      <w:pPr>
        <w:spacing w:after="0" w:line="81" w:lineRule="exact"/>
        <w:rPr>
          <w:sz w:val="20"/>
          <w:szCs w:val="20"/>
          <w:color w:val="auto"/>
        </w:rPr>
      </w:pPr>
    </w:p>
    <w:p>
      <w:pPr>
        <w:ind w:right="140"/>
        <w:spacing w:after="0" w:line="250" w:lineRule="auto"/>
        <w:rPr>
          <w:sz w:val="20"/>
          <w:szCs w:val="20"/>
          <w:color w:val="auto"/>
        </w:rPr>
      </w:pPr>
      <w:r>
        <w:rPr>
          <w:rFonts w:ascii="Arial" w:cs="Arial" w:eastAsia="Arial" w:hAnsi="Arial"/>
          <w:sz w:val="29"/>
          <w:szCs w:val="29"/>
          <w:color w:val="003478"/>
        </w:rPr>
        <w:t>Can I choose to receive the Proxy Statement and Annual Report on the Internet instead of receiving them by mail?</w:t>
      </w:r>
    </w:p>
    <w:p>
      <w:pPr>
        <w:spacing w:after="0" w:line="96" w:lineRule="exact"/>
        <w:rPr>
          <w:sz w:val="20"/>
          <w:szCs w:val="20"/>
          <w:color w:val="auto"/>
        </w:rPr>
      </w:pPr>
    </w:p>
    <w:p>
      <w:pPr>
        <w:ind w:right="220"/>
        <w:spacing w:after="0" w:line="289" w:lineRule="auto"/>
        <w:rPr>
          <w:sz w:val="20"/>
          <w:szCs w:val="20"/>
          <w:color w:val="auto"/>
        </w:rPr>
      </w:pPr>
      <w:r>
        <w:rPr>
          <w:rFonts w:ascii="Arial" w:cs="Arial" w:eastAsia="Arial" w:hAnsi="Arial"/>
          <w:sz w:val="16"/>
          <w:szCs w:val="16"/>
          <w:color w:val="auto"/>
        </w:rPr>
        <w:t xml:space="preserve">Yes. If you are a registered stockholder, you can elect to receive future Annual Meeting materials, including Annual Reports and Proxy Statements, on the Internet only and not receive copies in the mail by visiting Shareholder Services at </w:t>
      </w:r>
      <w:r>
        <w:rPr>
          <w:rFonts w:ascii="Arial" w:cs="Arial" w:eastAsia="Arial" w:hAnsi="Arial"/>
          <w:sz w:val="16"/>
          <w:szCs w:val="16"/>
          <w:i w:val="1"/>
          <w:iCs w:val="1"/>
          <w:color w:val="auto"/>
        </w:rPr>
        <w:t>www.lockheedmartin.com/investor</w:t>
      </w:r>
      <w:r>
        <w:rPr>
          <w:rFonts w:ascii="Arial" w:cs="Arial" w:eastAsia="Arial" w:hAnsi="Arial"/>
          <w:sz w:val="16"/>
          <w:szCs w:val="16"/>
          <w:color w:val="auto"/>
        </w:rPr>
        <w:t xml:space="preserve"> and completing the online consent form. Your request for electronic transmission will remain in effect for all future Annual Reports and Proxy Statements, unless withdrawn. Withdrawal procedures also are available on this website. If you are a beneficial owner, contact your broker, bank or other nominee.</w:t>
      </w:r>
    </w:p>
    <w:p>
      <w:pPr>
        <w:spacing w:after="0" w:line="8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Most active employees who participate in the Company’s 401(k) and defined contribution plans will receive an email notification announcing Internet availability of the Proxy Materials. A paper copy will not be provided unless requested by the employee following the instruction in the email notification.</w:t>
      </w:r>
    </w:p>
    <w:p>
      <w:pPr>
        <w:spacing w:after="0" w:line="84" w:lineRule="exact"/>
        <w:rPr>
          <w:sz w:val="20"/>
          <w:szCs w:val="20"/>
          <w:color w:val="auto"/>
        </w:rPr>
      </w:pPr>
    </w:p>
    <w:p>
      <w:pPr>
        <w:spacing w:after="0"/>
        <w:rPr>
          <w:sz w:val="20"/>
          <w:szCs w:val="20"/>
          <w:color w:val="auto"/>
        </w:rPr>
      </w:pPr>
      <w:r>
        <w:rPr>
          <w:rFonts w:ascii="Arial" w:cs="Arial" w:eastAsia="Arial" w:hAnsi="Arial"/>
          <w:sz w:val="29"/>
          <w:szCs w:val="29"/>
          <w:color w:val="003478"/>
        </w:rPr>
        <w:t>Who is soliciting proxies and who pays the cost of this proxy solicitation?</w:t>
      </w:r>
    </w:p>
    <w:p>
      <w:pPr>
        <w:spacing w:after="0" w:line="121" w:lineRule="exact"/>
        <w:rPr>
          <w:sz w:val="20"/>
          <w:szCs w:val="20"/>
          <w:color w:val="auto"/>
        </w:rPr>
      </w:pPr>
    </w:p>
    <w:p>
      <w:pPr>
        <w:ind w:right="100"/>
        <w:spacing w:after="0" w:line="265" w:lineRule="auto"/>
        <w:rPr>
          <w:sz w:val="20"/>
          <w:szCs w:val="20"/>
          <w:color w:val="auto"/>
        </w:rPr>
      </w:pPr>
      <w:r>
        <w:rPr>
          <w:rFonts w:ascii="Arial" w:cs="Arial" w:eastAsia="Arial" w:hAnsi="Arial"/>
          <w:sz w:val="17"/>
          <w:szCs w:val="17"/>
          <w:color w:val="auto"/>
        </w:rPr>
        <w:t>The Board of directors of the Company is soliciting proxies for the Annual Meeting. The Company pays the cost of soliciting proxies on behalf of the Board for the Annual Meeting. We may solicit proxies by Internet, by telephone, by mail or in person. We may make arrangements with brokerage houses and other custodians, nominees and fiduciaries to send Proxy Materials to beneficial owners on our behalf. We reimburse them for their reasonable expenses. We have retained Morrow Sodali LLC, 333 Ludlow Street, 5th floor, South Tower, Stamford, CT 06902 to aid in the solicitation of proxies and to verify related records for a fee of $35,000, plus expenses. To the extent necessary to ensure sufficient representation at the Annual Meeting, we may request the return of proxies by mail, express delivery, courier, telephone, Internet or other means. Stockholders are requested to return their proxies without delay.</w:t>
      </w:r>
    </w:p>
    <w:p>
      <w:pPr>
        <w:spacing w:after="0" w:line="104" w:lineRule="exact"/>
        <w:rPr>
          <w:sz w:val="20"/>
          <w:szCs w:val="20"/>
          <w:color w:val="auto"/>
        </w:rPr>
      </w:pPr>
    </w:p>
    <w:p>
      <w:pPr>
        <w:spacing w:after="0"/>
        <w:rPr>
          <w:sz w:val="20"/>
          <w:szCs w:val="20"/>
          <w:color w:val="auto"/>
        </w:rPr>
      </w:pPr>
      <w:r>
        <w:rPr>
          <w:rFonts w:ascii="Arial" w:cs="Arial" w:eastAsia="Arial" w:hAnsi="Arial"/>
          <w:sz w:val="29"/>
          <w:szCs w:val="29"/>
          <w:color w:val="003478"/>
        </w:rPr>
        <w:t>How can I contact the Company’s non-management directors?</w:t>
      </w:r>
    </w:p>
    <w:p>
      <w:pPr>
        <w:spacing w:after="0" w:line="121"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 xml:space="preserve">Stockholders and all interested parties may communicate with the independent Lead Director or with the non-management directors as a group. If you wish to raise a question or concern to the independent Lead Director or the non-management directors as a group, you may do so by writing to the independent Lead Director by email at </w:t>
      </w:r>
      <w:r>
        <w:rPr>
          <w:rFonts w:ascii="Arial" w:cs="Arial" w:eastAsia="Arial" w:hAnsi="Arial"/>
          <w:sz w:val="17"/>
          <w:szCs w:val="17"/>
          <w:i w:val="1"/>
          <w:iCs w:val="1"/>
          <w:color w:val="auto"/>
        </w:rPr>
        <w:t>Lead.Director@lmco.com</w:t>
      </w:r>
      <w:r>
        <w:rPr>
          <w:rFonts w:ascii="Arial" w:cs="Arial" w:eastAsia="Arial" w:hAnsi="Arial"/>
          <w:sz w:val="17"/>
          <w:szCs w:val="17"/>
          <w:color w:val="auto"/>
        </w:rPr>
        <w:t>. You also may write to the independent Lead Director or Non-Management Directors, c/o Senior Vice President, General Counsel and Corporate Secretary, Lockheed Martin Corporation, 6801 Rockledge Drive, Bethesda, MD 20817.</w:t>
      </w:r>
    </w:p>
    <w:p>
      <w:pPr>
        <w:spacing w:after="0" w:line="99"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Our Senior Vice President, General Counsel and Corporate Secretary or her delegate reviews all correspondence sent to the Board. The Board has authorized our Senior Vice President, General Counsel and Corporate Secretary or her delegate to respond to correspondence regarding routine stockholder matters and services (e.g., stock transfers, dividends, etc.). Correspondence from stockholders relating to accounting, internal controls or auditing matters are brought to the attention of the Audit Committee. All other correspondence is forwarded to the independent Lead Director who determines whether distribution to a Board committee or to the full Board for review is appropriate. Any director may, at any time, review a log of all correspondence addressed to the Board and request copies of such correspondence.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270510</wp:posOffset>
            </wp:positionV>
            <wp:extent cx="963930" cy="2216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85</w:t>
      </w:r>
    </w:p>
    <w:p>
      <w:pPr>
        <w:sectPr>
          <w:pgSz w:w="11900" w:h="16838" w:orient="portrait"/>
          <w:cols w:equalWidth="0" w:num="1">
            <w:col w:w="11240"/>
          </w:cols>
          <w:pgMar w:left="320" w:top="254" w:right="339" w:bottom="1440" w:gutter="0" w:footer="0" w:header="0"/>
        </w:sectPr>
      </w:pPr>
    </w:p>
    <w:bookmarkStart w:id="91" w:name="page92"/>
    <w:bookmarkEnd w:id="91"/>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Annual Meeting Questions and Answers</w:t>
      </w:r>
    </w:p>
    <w:p>
      <w:pPr>
        <w:spacing w:after="0" w:line="200" w:lineRule="exact"/>
        <w:rPr>
          <w:sz w:val="20"/>
          <w:szCs w:val="20"/>
          <w:color w:val="auto"/>
        </w:rPr>
      </w:pPr>
    </w:p>
    <w:p>
      <w:pPr>
        <w:spacing w:after="0" w:line="366" w:lineRule="exact"/>
        <w:rPr>
          <w:sz w:val="20"/>
          <w:szCs w:val="20"/>
          <w:color w:val="auto"/>
        </w:rPr>
      </w:pPr>
    </w:p>
    <w:p>
      <w:pPr>
        <w:ind w:right="620"/>
        <w:spacing w:after="0" w:line="250" w:lineRule="auto"/>
        <w:rPr>
          <w:sz w:val="20"/>
          <w:szCs w:val="20"/>
          <w:color w:val="auto"/>
        </w:rPr>
      </w:pPr>
      <w:r>
        <w:rPr>
          <w:rFonts w:ascii="Arial" w:cs="Arial" w:eastAsia="Arial" w:hAnsi="Arial"/>
          <w:sz w:val="29"/>
          <w:szCs w:val="29"/>
          <w:color w:val="003478"/>
        </w:rPr>
        <w:t>How do I submit a proposal or nomination for the Annual Meeting of Stockholders in 2023?</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002F6C"/>
        </w:rPr>
        <w:t xml:space="preserve">Address to Submit a Stockholder Proposal: </w:t>
      </w:r>
      <w:r>
        <w:rPr>
          <w:rFonts w:ascii="Arial" w:cs="Arial" w:eastAsia="Arial" w:hAnsi="Arial"/>
          <w:sz w:val="17"/>
          <w:szCs w:val="17"/>
          <w:color w:val="000000"/>
        </w:rPr>
        <w:t>Any stockholder who wishes to submit a proposal or nominate a director for consideration at the 2023</w:t>
      </w:r>
    </w:p>
    <w:p>
      <w:pPr>
        <w:spacing w:after="0" w:line="40" w:lineRule="exact"/>
        <w:rPr>
          <w:sz w:val="20"/>
          <w:szCs w:val="20"/>
          <w:color w:val="auto"/>
        </w:rPr>
      </w:pPr>
    </w:p>
    <w:p>
      <w:pPr>
        <w:ind w:right="720"/>
        <w:spacing w:after="0" w:line="274" w:lineRule="auto"/>
        <w:rPr>
          <w:sz w:val="20"/>
          <w:szCs w:val="20"/>
          <w:color w:val="auto"/>
        </w:rPr>
      </w:pPr>
      <w:r>
        <w:rPr>
          <w:rFonts w:ascii="Arial" w:cs="Arial" w:eastAsia="Arial" w:hAnsi="Arial"/>
          <w:sz w:val="17"/>
          <w:szCs w:val="17"/>
          <w:color w:val="auto"/>
        </w:rPr>
        <w:t>Annual Meeting must send their proposal to Lockheed Martin Corporation, Attention: Senior Vice President, General Counsel and Corporate Secretary, 6801 Rockledge Drive, Bethesda, MD 20817.</w:t>
      </w:r>
    </w:p>
    <w:p>
      <w:pPr>
        <w:spacing w:after="0" w:line="71" w:lineRule="exact"/>
        <w:rPr>
          <w:sz w:val="20"/>
          <w:szCs w:val="20"/>
          <w:color w:val="auto"/>
        </w:rPr>
      </w:pPr>
    </w:p>
    <w:p>
      <w:pPr>
        <w:ind w:right="400"/>
        <w:spacing w:after="0" w:line="281" w:lineRule="auto"/>
        <w:rPr>
          <w:sz w:val="20"/>
          <w:szCs w:val="20"/>
          <w:color w:val="auto"/>
        </w:rPr>
      </w:pPr>
      <w:r>
        <w:rPr>
          <w:rFonts w:ascii="Arial" w:cs="Arial" w:eastAsia="Arial" w:hAnsi="Arial"/>
          <w:sz w:val="17"/>
          <w:szCs w:val="17"/>
          <w:b w:val="1"/>
          <w:bCs w:val="1"/>
          <w:color w:val="002F6C"/>
        </w:rPr>
        <w:t xml:space="preserve">Deadline and Submission Requirements for Stockholder Proposals: </w:t>
      </w:r>
      <w:r>
        <w:rPr>
          <w:rFonts w:ascii="Arial" w:cs="Arial" w:eastAsia="Arial" w:hAnsi="Arial"/>
          <w:sz w:val="17"/>
          <w:szCs w:val="17"/>
          <w:color w:val="000000"/>
        </w:rPr>
        <w:t>There are separate requirements for stockholder proposals under SEC</w:t>
      </w:r>
      <w:r>
        <w:rPr>
          <w:rFonts w:ascii="Arial" w:cs="Arial" w:eastAsia="Arial" w:hAnsi="Arial"/>
          <w:sz w:val="17"/>
          <w:szCs w:val="17"/>
          <w:b w:val="1"/>
          <w:bCs w:val="1"/>
          <w:color w:val="002F6C"/>
        </w:rPr>
        <w:t xml:space="preserve"> </w:t>
      </w:r>
      <w:r>
        <w:rPr>
          <w:rFonts w:ascii="Arial" w:cs="Arial" w:eastAsia="Arial" w:hAnsi="Arial"/>
          <w:sz w:val="17"/>
          <w:szCs w:val="17"/>
          <w:color w:val="000000"/>
        </w:rPr>
        <w:t xml:space="preserve">Rule 14a-8 and proposals under our proxy access bylaw provision as stated below. A copy of our Bylaws can be found at </w:t>
      </w:r>
      <w:r>
        <w:rPr>
          <w:rFonts w:ascii="Arial" w:cs="Arial" w:eastAsia="Arial" w:hAnsi="Arial"/>
          <w:sz w:val="17"/>
          <w:szCs w:val="17"/>
          <w:i w:val="1"/>
          <w:iCs w:val="1"/>
          <w:color w:val="000000"/>
        </w:rPr>
        <w:t>www.lockheedmartin.com/corporate-governance.</w:t>
      </w:r>
    </w:p>
    <w:p>
      <w:pPr>
        <w:sectPr>
          <w:pgSz w:w="11900" w:h="16838" w:orient="portrait"/>
          <w:cols w:equalWidth="0" w:num="1">
            <w:col w:w="11240"/>
          </w:cols>
          <w:pgMar w:left="320" w:top="254" w:right="339" w:bottom="1440" w:gutter="0" w:footer="0" w:header="0"/>
        </w:sectPr>
      </w:pP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60" w:type="dxa"/>
            <w:vAlign w:val="bottom"/>
            <w:shd w:val="clear" w:color="auto" w:fill="E5E7EF"/>
          </w:tcPr>
          <w:p>
            <w:pPr>
              <w:ind w:left="1200"/>
              <w:spacing w:after="0"/>
              <w:rPr>
                <w:sz w:val="20"/>
                <w:szCs w:val="20"/>
                <w:color w:val="auto"/>
              </w:rPr>
            </w:pPr>
            <w:r>
              <w:rPr>
                <w:rFonts w:ascii="Arial" w:cs="Arial" w:eastAsia="Arial" w:hAnsi="Arial"/>
                <w:sz w:val="17"/>
                <w:szCs w:val="17"/>
                <w:b w:val="1"/>
                <w:bCs w:val="1"/>
                <w:color w:val="auto"/>
              </w:rPr>
              <w:t>Type of Proposal</w:t>
            </w:r>
          </w:p>
        </w:tc>
        <w:tc>
          <w:tcPr>
            <w:tcW w:w="220" w:type="dxa"/>
            <w:vAlign w:val="bottom"/>
          </w:tcPr>
          <w:p>
            <w:pPr>
              <w:spacing w:after="0"/>
              <w:rPr>
                <w:sz w:val="18"/>
                <w:szCs w:val="18"/>
                <w:color w:val="auto"/>
              </w:rPr>
            </w:pPr>
          </w:p>
        </w:tc>
        <w:tc>
          <w:tcPr>
            <w:tcW w:w="2640" w:type="dxa"/>
            <w:vAlign w:val="bottom"/>
            <w:shd w:val="clear" w:color="auto" w:fill="959595"/>
          </w:tcPr>
          <w:p>
            <w:pPr>
              <w:ind w:left="960"/>
              <w:spacing w:after="0"/>
              <w:rPr>
                <w:sz w:val="20"/>
                <w:szCs w:val="20"/>
                <w:color w:val="auto"/>
              </w:rPr>
            </w:pPr>
            <w:r>
              <w:rPr>
                <w:rFonts w:ascii="Arial" w:cs="Arial" w:eastAsia="Arial" w:hAnsi="Arial"/>
                <w:sz w:val="17"/>
                <w:szCs w:val="17"/>
                <w:b w:val="1"/>
                <w:bCs w:val="1"/>
                <w:color w:val="FFFFFF"/>
              </w:rPr>
              <w:t>Deadline</w:t>
            </w:r>
          </w:p>
        </w:tc>
      </w:tr>
      <w:tr>
        <w:trPr>
          <w:trHeight w:val="346"/>
        </w:trPr>
        <w:tc>
          <w:tcPr>
            <w:tcW w:w="3760" w:type="dxa"/>
            <w:vAlign w:val="bottom"/>
          </w:tcPr>
          <w:p>
            <w:pPr>
              <w:ind w:left="20"/>
              <w:spacing w:after="0"/>
              <w:rPr>
                <w:sz w:val="20"/>
                <w:szCs w:val="20"/>
                <w:color w:val="auto"/>
              </w:rPr>
            </w:pPr>
            <w:r>
              <w:rPr>
                <w:rFonts w:ascii="Arial" w:cs="Arial" w:eastAsia="Arial" w:hAnsi="Arial"/>
                <w:sz w:val="17"/>
                <w:szCs w:val="17"/>
                <w:b w:val="1"/>
                <w:bCs w:val="1"/>
                <w:color w:val="auto"/>
              </w:rPr>
              <w:t xml:space="preserve">Stockholder Proposal </w:t>
            </w:r>
            <w:r>
              <w:rPr>
                <w:rFonts w:ascii="Arial" w:cs="Arial" w:eastAsia="Arial" w:hAnsi="Arial"/>
                <w:sz w:val="17"/>
                <w:szCs w:val="17"/>
                <w:color w:val="auto"/>
              </w:rPr>
              <w:t>to be included in our</w:t>
            </w:r>
          </w:p>
        </w:tc>
        <w:tc>
          <w:tcPr>
            <w:tcW w:w="220" w:type="dxa"/>
            <w:vAlign w:val="bottom"/>
          </w:tcPr>
          <w:p>
            <w:pPr>
              <w:spacing w:after="0"/>
              <w:rPr>
                <w:sz w:val="24"/>
                <w:szCs w:val="24"/>
                <w:color w:val="auto"/>
              </w:rPr>
            </w:pPr>
          </w:p>
        </w:tc>
        <w:tc>
          <w:tcPr>
            <w:tcW w:w="2640" w:type="dxa"/>
            <w:vAlign w:val="bottom"/>
          </w:tcPr>
          <w:p>
            <w:pPr>
              <w:spacing w:after="0"/>
              <w:rPr>
                <w:sz w:val="20"/>
                <w:szCs w:val="20"/>
                <w:color w:val="auto"/>
              </w:rPr>
            </w:pPr>
            <w:r>
              <w:rPr>
                <w:rFonts w:ascii="Arial" w:cs="Arial" w:eastAsia="Arial" w:hAnsi="Arial"/>
                <w:sz w:val="17"/>
                <w:szCs w:val="17"/>
                <w:color w:val="auto"/>
              </w:rPr>
              <w:t>November 11, 2022</w:t>
            </w:r>
          </w:p>
        </w:tc>
      </w:tr>
      <w:tr>
        <w:trPr>
          <w:trHeight w:val="215"/>
        </w:trPr>
        <w:tc>
          <w:tcPr>
            <w:tcW w:w="3760" w:type="dxa"/>
            <w:vAlign w:val="bottom"/>
          </w:tcPr>
          <w:p>
            <w:pPr>
              <w:ind w:left="20"/>
              <w:spacing w:after="0"/>
              <w:rPr>
                <w:sz w:val="20"/>
                <w:szCs w:val="20"/>
                <w:color w:val="auto"/>
              </w:rPr>
            </w:pPr>
            <w:r>
              <w:rPr>
                <w:rFonts w:ascii="Arial" w:cs="Arial" w:eastAsia="Arial" w:hAnsi="Arial"/>
                <w:sz w:val="17"/>
                <w:szCs w:val="17"/>
                <w:color w:val="auto"/>
              </w:rPr>
              <w:t>proxy statement and proxy card</w:t>
            </w: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343535</wp:posOffset>
            </wp:positionV>
            <wp:extent cx="71329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left="1120"/>
        <w:spacing w:after="0"/>
        <w:rPr>
          <w:sz w:val="20"/>
          <w:szCs w:val="20"/>
          <w:color w:val="auto"/>
        </w:rPr>
      </w:pPr>
      <w:r>
        <w:rPr>
          <w:rFonts w:ascii="Arial" w:cs="Arial" w:eastAsia="Arial" w:hAnsi="Arial"/>
          <w:sz w:val="17"/>
          <w:szCs w:val="17"/>
          <w:b w:val="1"/>
          <w:bCs w:val="1"/>
          <w:color w:val="FFFFFF"/>
        </w:rPr>
        <w:t>Submission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-115570</wp:posOffset>
            </wp:positionV>
            <wp:extent cx="2807335" cy="13652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807335" cy="136525"/>
                    </a:xfrm>
                    <a:prstGeom prst="rect">
                      <a:avLst/>
                    </a:prstGeom>
                    <a:noFill/>
                  </pic:spPr>
                </pic:pic>
              </a:graphicData>
            </a:graphic>
          </wp:anchor>
        </w:drawing>
      </w:r>
    </w:p>
    <w:p>
      <w:pPr>
        <w:spacing w:after="0" w:line="100" w:lineRule="exact"/>
        <w:rPr>
          <w:sz w:val="20"/>
          <w:szCs w:val="20"/>
          <w:color w:val="auto"/>
        </w:rPr>
      </w:pPr>
    </w:p>
    <w:p>
      <w:pPr>
        <w:jc w:val="both"/>
        <w:ind w:right="180"/>
        <w:spacing w:after="0" w:line="269" w:lineRule="auto"/>
        <w:rPr>
          <w:sz w:val="20"/>
          <w:szCs w:val="20"/>
          <w:color w:val="auto"/>
        </w:rPr>
      </w:pPr>
      <w:r>
        <w:rPr>
          <w:rFonts w:ascii="Arial" w:cs="Arial" w:eastAsia="Arial" w:hAnsi="Arial"/>
          <w:sz w:val="17"/>
          <w:szCs w:val="17"/>
          <w:color w:val="auto"/>
        </w:rPr>
        <w:t xml:space="preserve">Must comply with applicable SEC Rules (including SEC Rule 14a-8); see also Staff Legal Bulletin 14, which may be found at </w:t>
      </w:r>
      <w:r>
        <w:rPr>
          <w:rFonts w:ascii="Arial" w:cs="Arial" w:eastAsia="Arial" w:hAnsi="Arial"/>
          <w:sz w:val="17"/>
          <w:szCs w:val="17"/>
          <w:i w:val="1"/>
          <w:iCs w:val="1"/>
          <w:color w:val="auto"/>
        </w:rPr>
        <w:t>www.sec.gov</w:t>
      </w:r>
    </w:p>
    <w:p>
      <w:pPr>
        <w:spacing w:after="0" w:line="200" w:lineRule="exact"/>
        <w:rPr>
          <w:sz w:val="20"/>
          <w:szCs w:val="20"/>
          <w:color w:val="auto"/>
        </w:rPr>
      </w:pPr>
    </w:p>
    <w:p>
      <w:pPr>
        <w:sectPr>
          <w:pgSz w:w="11900" w:h="16838" w:orient="portrait"/>
          <w:cols w:equalWidth="0" w:num="2">
            <w:col w:w="6620" w:space="220"/>
            <w:col w:w="4400"/>
          </w:cols>
          <w:pgMar w:left="320" w:top="254" w:right="339" w:bottom="1440" w:gutter="0" w:footer="0" w:header="0"/>
          <w:type w:val="continuous"/>
        </w:sectPr>
      </w:pPr>
    </w:p>
    <w:p>
      <w:pPr>
        <w:spacing w:after="0" w:line="292" w:lineRule="exact"/>
        <w:rPr>
          <w:sz w:val="20"/>
          <w:szCs w:val="20"/>
          <w:color w:val="auto"/>
        </w:rPr>
      </w:pPr>
    </w:p>
    <w:p>
      <w:pPr>
        <w:ind w:left="20"/>
        <w:spacing w:after="0" w:line="281" w:lineRule="auto"/>
        <w:rPr>
          <w:sz w:val="20"/>
          <w:szCs w:val="20"/>
          <w:color w:val="auto"/>
        </w:rPr>
      </w:pPr>
      <w:r>
        <w:rPr>
          <w:rFonts w:ascii="Arial" w:cs="Arial" w:eastAsia="Arial" w:hAnsi="Arial"/>
          <w:sz w:val="17"/>
          <w:szCs w:val="17"/>
          <w:b w:val="1"/>
          <w:bCs w:val="1"/>
          <w:color w:val="auto"/>
        </w:rPr>
        <w:t xml:space="preserve">Proxy Access Nominee </w:t>
      </w:r>
      <w:r>
        <w:rPr>
          <w:rFonts w:ascii="Arial" w:cs="Arial" w:eastAsia="Arial" w:hAnsi="Arial"/>
          <w:sz w:val="17"/>
          <w:szCs w:val="17"/>
          <w:color w:val="auto"/>
        </w:rPr>
        <w:t>- stockholder</w:t>
      </w:r>
      <w:r>
        <w:rPr>
          <w:rFonts w:ascii="Arial" w:cs="Arial" w:eastAsia="Arial" w:hAnsi="Arial"/>
          <w:sz w:val="17"/>
          <w:szCs w:val="17"/>
          <w:b w:val="1"/>
          <w:bCs w:val="1"/>
          <w:color w:val="auto"/>
        </w:rPr>
        <w:t xml:space="preserve"> </w:t>
      </w:r>
      <w:r>
        <w:rPr>
          <w:rFonts w:ascii="Arial" w:cs="Arial" w:eastAsia="Arial" w:hAnsi="Arial"/>
          <w:sz w:val="17"/>
          <w:szCs w:val="17"/>
          <w:color w:val="auto"/>
        </w:rPr>
        <w:t>nomination of director to be included in our proxy statement and proxy card</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Must be received between October 12, 2022 and November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-2522220</wp:posOffset>
            </wp:positionH>
            <wp:positionV relativeFrom="paragraph">
              <wp:posOffset>73025</wp:posOffset>
            </wp:positionV>
            <wp:extent cx="71329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Must provide the information required under our Bylaws, including Section 1.11</w:t>
      </w:r>
    </w:p>
    <w:p>
      <w:pPr>
        <w:spacing w:after="0" w:line="420" w:lineRule="exact"/>
        <w:rPr>
          <w:sz w:val="20"/>
          <w:szCs w:val="20"/>
          <w:color w:val="auto"/>
        </w:rPr>
      </w:pPr>
    </w:p>
    <w:p>
      <w:pPr>
        <w:sectPr>
          <w:pgSz w:w="11900" w:h="16838" w:orient="portrait"/>
          <w:cols w:equalWidth="0" w:num="3">
            <w:col w:w="3700" w:space="280"/>
            <w:col w:w="2140" w:space="720"/>
            <w:col w:w="4400"/>
          </w:cols>
          <w:pgMar w:left="320" w:top="254" w:right="339" w:bottom="1440" w:gutter="0" w:footer="0" w:header="0"/>
          <w:type w:val="continuous"/>
        </w:sectPr>
      </w:pP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60" w:type="dxa"/>
            <w:vAlign w:val="bottom"/>
          </w:tcPr>
          <w:p>
            <w:pPr>
              <w:ind w:left="20"/>
              <w:spacing w:after="0"/>
              <w:rPr>
                <w:sz w:val="20"/>
                <w:szCs w:val="20"/>
                <w:color w:val="auto"/>
              </w:rPr>
            </w:pPr>
            <w:r>
              <w:rPr>
                <w:rFonts w:ascii="Arial" w:cs="Arial" w:eastAsia="Arial" w:hAnsi="Arial"/>
                <w:sz w:val="17"/>
                <w:szCs w:val="17"/>
                <w:b w:val="1"/>
                <w:bCs w:val="1"/>
                <w:color w:val="auto"/>
              </w:rPr>
              <w:t xml:space="preserve">Stockholder Proposal or Director Nominee </w:t>
            </w:r>
            <w:r>
              <w:rPr>
                <w:rFonts w:ascii="Arial" w:cs="Arial" w:eastAsia="Arial" w:hAnsi="Arial"/>
                <w:sz w:val="17"/>
                <w:szCs w:val="17"/>
                <w:color w:val="auto"/>
              </w:rPr>
              <w:t>not</w:t>
            </w:r>
          </w:p>
        </w:tc>
        <w:tc>
          <w:tcPr>
            <w:tcW w:w="2540" w:type="dxa"/>
            <w:vAlign w:val="bottom"/>
          </w:tcPr>
          <w:p>
            <w:pPr>
              <w:ind w:left="120"/>
              <w:spacing w:after="0"/>
              <w:rPr>
                <w:sz w:val="20"/>
                <w:szCs w:val="20"/>
                <w:color w:val="auto"/>
              </w:rPr>
            </w:pPr>
            <w:r>
              <w:rPr>
                <w:rFonts w:ascii="Arial" w:cs="Arial" w:eastAsia="Arial" w:hAnsi="Arial"/>
                <w:sz w:val="17"/>
                <w:szCs w:val="17"/>
                <w:color w:val="auto"/>
              </w:rPr>
              <w:t>Must be received between</w:t>
            </w:r>
          </w:p>
        </w:tc>
        <w:tc>
          <w:tcPr>
            <w:tcW w:w="4840" w:type="dxa"/>
            <w:vAlign w:val="bottom"/>
          </w:tcPr>
          <w:p>
            <w:pPr>
              <w:ind w:left="440"/>
              <w:spacing w:after="0"/>
              <w:rPr>
                <w:sz w:val="20"/>
                <w:szCs w:val="20"/>
                <w:color w:val="auto"/>
              </w:rPr>
            </w:pPr>
            <w:r>
              <w:rPr>
                <w:rFonts w:ascii="Arial" w:cs="Arial" w:eastAsia="Arial" w:hAnsi="Arial"/>
                <w:sz w:val="17"/>
                <w:szCs w:val="17"/>
                <w:color w:val="auto"/>
              </w:rPr>
              <w:t>Must provide the information required under our Bylaws,</w:t>
            </w:r>
          </w:p>
        </w:tc>
      </w:tr>
      <w:tr>
        <w:trPr>
          <w:trHeight w:val="215"/>
        </w:trPr>
        <w:tc>
          <w:tcPr>
            <w:tcW w:w="3860" w:type="dxa"/>
            <w:vAlign w:val="bottom"/>
          </w:tcPr>
          <w:p>
            <w:pPr>
              <w:ind w:left="20"/>
              <w:spacing w:after="0"/>
              <w:rPr>
                <w:sz w:val="20"/>
                <w:szCs w:val="20"/>
                <w:color w:val="auto"/>
              </w:rPr>
            </w:pPr>
            <w:r>
              <w:rPr>
                <w:rFonts w:ascii="Arial" w:cs="Arial" w:eastAsia="Arial" w:hAnsi="Arial"/>
                <w:sz w:val="17"/>
                <w:szCs w:val="17"/>
                <w:color w:val="auto"/>
              </w:rPr>
              <w:t>intended to be included in our proxy statement</w:t>
            </w:r>
          </w:p>
        </w:tc>
        <w:tc>
          <w:tcPr>
            <w:tcW w:w="2540" w:type="dxa"/>
            <w:vAlign w:val="bottom"/>
          </w:tcPr>
          <w:p>
            <w:pPr>
              <w:ind w:left="120"/>
              <w:spacing w:after="0"/>
              <w:rPr>
                <w:sz w:val="20"/>
                <w:szCs w:val="20"/>
                <w:color w:val="auto"/>
              </w:rPr>
            </w:pPr>
            <w:r>
              <w:rPr>
                <w:rFonts w:ascii="Arial" w:cs="Arial" w:eastAsia="Arial" w:hAnsi="Arial"/>
                <w:sz w:val="17"/>
                <w:szCs w:val="17"/>
                <w:color w:val="auto"/>
              </w:rPr>
              <w:t>October 12, 2022 and</w:t>
            </w:r>
          </w:p>
        </w:tc>
        <w:tc>
          <w:tcPr>
            <w:tcW w:w="4840" w:type="dxa"/>
            <w:vAlign w:val="bottom"/>
          </w:tcPr>
          <w:p>
            <w:pPr>
              <w:ind w:left="440"/>
              <w:spacing w:after="0"/>
              <w:rPr>
                <w:sz w:val="20"/>
                <w:szCs w:val="20"/>
                <w:color w:val="auto"/>
              </w:rPr>
            </w:pPr>
            <w:r>
              <w:rPr>
                <w:rFonts w:ascii="Arial" w:cs="Arial" w:eastAsia="Arial" w:hAnsi="Arial"/>
                <w:sz w:val="17"/>
                <w:szCs w:val="17"/>
                <w:color w:val="auto"/>
              </w:rPr>
              <w:t>including Section 1.10</w:t>
            </w:r>
          </w:p>
        </w:tc>
      </w:tr>
      <w:tr>
        <w:trPr>
          <w:trHeight w:val="215"/>
        </w:trPr>
        <w:tc>
          <w:tcPr>
            <w:tcW w:w="3860" w:type="dxa"/>
            <w:vAlign w:val="bottom"/>
          </w:tcPr>
          <w:p>
            <w:pPr>
              <w:ind w:left="20"/>
              <w:spacing w:after="0"/>
              <w:rPr>
                <w:sz w:val="20"/>
                <w:szCs w:val="20"/>
                <w:color w:val="auto"/>
              </w:rPr>
            </w:pPr>
            <w:r>
              <w:rPr>
                <w:rFonts w:ascii="Arial" w:cs="Arial" w:eastAsia="Arial" w:hAnsi="Arial"/>
                <w:sz w:val="17"/>
                <w:szCs w:val="17"/>
                <w:color w:val="auto"/>
              </w:rPr>
              <w:t>and proxy card</w:t>
            </w:r>
          </w:p>
        </w:tc>
        <w:tc>
          <w:tcPr>
            <w:tcW w:w="2540" w:type="dxa"/>
            <w:vAlign w:val="bottom"/>
          </w:tcPr>
          <w:p>
            <w:pPr>
              <w:ind w:left="120"/>
              <w:spacing w:after="0"/>
              <w:rPr>
                <w:sz w:val="20"/>
                <w:szCs w:val="20"/>
                <w:color w:val="auto"/>
              </w:rPr>
            </w:pPr>
            <w:r>
              <w:rPr>
                <w:rFonts w:ascii="Arial" w:cs="Arial" w:eastAsia="Arial" w:hAnsi="Arial"/>
                <w:sz w:val="17"/>
                <w:szCs w:val="17"/>
                <w:color w:val="auto"/>
              </w:rPr>
              <w:t>November 11, 2022</w:t>
            </w:r>
          </w:p>
        </w:tc>
        <w:tc>
          <w:tcPr>
            <w:tcW w:w="4840" w:type="dxa"/>
            <w:vAlign w:val="bottom"/>
          </w:tcPr>
          <w:p>
            <w:pPr>
              <w:spacing w:after="0"/>
              <w:rPr>
                <w:sz w:val="18"/>
                <w:szCs w:val="18"/>
                <w:color w:val="auto"/>
              </w:rPr>
            </w:pPr>
          </w:p>
        </w:tc>
      </w:tr>
      <w:tr>
        <w:trPr>
          <w:trHeight w:val="138"/>
        </w:trPr>
        <w:tc>
          <w:tcPr>
            <w:tcW w:w="3860" w:type="dxa"/>
            <w:vAlign w:val="bottom"/>
            <w:tcBorders>
              <w:bottom w:val="single" w:sz="8" w:color="9D9D9C"/>
            </w:tcBorders>
          </w:tcPr>
          <w:p>
            <w:pPr>
              <w:spacing w:after="0"/>
              <w:rPr>
                <w:sz w:val="12"/>
                <w:szCs w:val="12"/>
                <w:color w:val="auto"/>
              </w:rPr>
            </w:pPr>
          </w:p>
        </w:tc>
        <w:tc>
          <w:tcPr>
            <w:tcW w:w="2540" w:type="dxa"/>
            <w:vAlign w:val="bottom"/>
            <w:tcBorders>
              <w:bottom w:val="single" w:sz="8" w:color="9D9D9C"/>
            </w:tcBorders>
          </w:tcPr>
          <w:p>
            <w:pPr>
              <w:spacing w:after="0"/>
              <w:rPr>
                <w:sz w:val="12"/>
                <w:szCs w:val="12"/>
                <w:color w:val="auto"/>
              </w:rPr>
            </w:pPr>
          </w:p>
        </w:tc>
        <w:tc>
          <w:tcPr>
            <w:tcW w:w="4840" w:type="dxa"/>
            <w:vAlign w:val="bottom"/>
            <w:tcBorders>
              <w:bottom w:val="single" w:sz="8" w:color="9D9D9C"/>
            </w:tcBorders>
          </w:tcPr>
          <w:p>
            <w:pPr>
              <w:spacing w:after="0"/>
              <w:rPr>
                <w:sz w:val="12"/>
                <w:szCs w:val="12"/>
                <w:color w:val="auto"/>
              </w:rPr>
            </w:pPr>
          </w:p>
        </w:tc>
      </w:tr>
      <w:tr>
        <w:trPr>
          <w:trHeight w:val="202"/>
        </w:trPr>
        <w:tc>
          <w:tcPr>
            <w:tcW w:w="3860" w:type="dxa"/>
            <w:vAlign w:val="bottom"/>
          </w:tcPr>
          <w:p>
            <w:pPr>
              <w:ind w:left="20"/>
              <w:spacing w:after="0"/>
              <w:rPr>
                <w:sz w:val="20"/>
                <w:szCs w:val="20"/>
                <w:color w:val="auto"/>
              </w:rPr>
            </w:pPr>
            <w:r>
              <w:rPr>
                <w:rFonts w:ascii="Arial" w:cs="Arial" w:eastAsia="Arial" w:hAnsi="Arial"/>
                <w:sz w:val="17"/>
                <w:szCs w:val="17"/>
                <w:b w:val="1"/>
                <w:bCs w:val="1"/>
                <w:color w:val="auto"/>
              </w:rPr>
              <w:t xml:space="preserve">Universal Proxy Nominee – </w:t>
            </w:r>
            <w:r>
              <w:rPr>
                <w:rFonts w:ascii="Arial" w:cs="Arial" w:eastAsia="Arial" w:hAnsi="Arial"/>
                <w:sz w:val="17"/>
                <w:szCs w:val="17"/>
                <w:color w:val="auto"/>
              </w:rPr>
              <w:t>for stockholders</w:t>
            </w:r>
          </w:p>
        </w:tc>
        <w:tc>
          <w:tcPr>
            <w:tcW w:w="2540" w:type="dxa"/>
            <w:vAlign w:val="bottom"/>
          </w:tcPr>
          <w:p>
            <w:pPr>
              <w:ind w:left="120"/>
              <w:spacing w:after="0"/>
              <w:rPr>
                <w:sz w:val="20"/>
                <w:szCs w:val="20"/>
                <w:color w:val="auto"/>
              </w:rPr>
            </w:pPr>
            <w:r>
              <w:rPr>
                <w:rFonts w:ascii="Arial" w:cs="Arial" w:eastAsia="Arial" w:hAnsi="Arial"/>
                <w:sz w:val="17"/>
                <w:szCs w:val="17"/>
                <w:color w:val="auto"/>
              </w:rPr>
              <w:t>February 20, 2023</w:t>
            </w:r>
          </w:p>
        </w:tc>
        <w:tc>
          <w:tcPr>
            <w:tcW w:w="4840" w:type="dxa"/>
            <w:vAlign w:val="bottom"/>
          </w:tcPr>
          <w:p>
            <w:pPr>
              <w:ind w:left="440"/>
              <w:spacing w:after="0"/>
              <w:rPr>
                <w:sz w:val="20"/>
                <w:szCs w:val="20"/>
                <w:color w:val="auto"/>
              </w:rPr>
            </w:pPr>
            <w:r>
              <w:rPr>
                <w:rFonts w:ascii="Arial" w:cs="Arial" w:eastAsia="Arial" w:hAnsi="Arial"/>
                <w:sz w:val="17"/>
                <w:szCs w:val="17"/>
                <w:color w:val="auto"/>
              </w:rPr>
              <w:t>Must provide the information required by SEC Rule 14a-</w:t>
            </w:r>
          </w:p>
        </w:tc>
      </w:tr>
      <w:tr>
        <w:trPr>
          <w:trHeight w:val="188"/>
        </w:trPr>
        <w:tc>
          <w:tcPr>
            <w:tcW w:w="3860" w:type="dxa"/>
            <w:vAlign w:val="bottom"/>
          </w:tcPr>
          <w:p>
            <w:pPr>
              <w:ind w:left="20"/>
              <w:spacing w:after="0" w:line="188" w:lineRule="exact"/>
              <w:rPr>
                <w:sz w:val="20"/>
                <w:szCs w:val="20"/>
                <w:color w:val="auto"/>
              </w:rPr>
            </w:pPr>
            <w:r>
              <w:rPr>
                <w:rFonts w:ascii="Arial" w:cs="Arial" w:eastAsia="Arial" w:hAnsi="Arial"/>
                <w:sz w:val="17"/>
                <w:szCs w:val="17"/>
                <w:color w:val="auto"/>
              </w:rPr>
              <w:t>who intend to solicit proxies in support of director</w:t>
            </w:r>
          </w:p>
        </w:tc>
        <w:tc>
          <w:tcPr>
            <w:tcW w:w="2540" w:type="dxa"/>
            <w:vAlign w:val="bottom"/>
          </w:tcPr>
          <w:p>
            <w:pPr>
              <w:spacing w:after="0"/>
              <w:rPr>
                <w:sz w:val="16"/>
                <w:szCs w:val="16"/>
                <w:color w:val="auto"/>
              </w:rPr>
            </w:pPr>
          </w:p>
        </w:tc>
        <w:tc>
          <w:tcPr>
            <w:tcW w:w="4840" w:type="dxa"/>
            <w:vAlign w:val="bottom"/>
          </w:tcPr>
          <w:p>
            <w:pPr>
              <w:ind w:left="440"/>
              <w:spacing w:after="0" w:line="188" w:lineRule="exact"/>
              <w:rPr>
                <w:sz w:val="20"/>
                <w:szCs w:val="20"/>
                <w:color w:val="auto"/>
              </w:rPr>
            </w:pPr>
            <w:r>
              <w:rPr>
                <w:rFonts w:ascii="Arial" w:cs="Arial" w:eastAsia="Arial" w:hAnsi="Arial"/>
                <w:sz w:val="17"/>
                <w:szCs w:val="17"/>
                <w:color w:val="auto"/>
              </w:rPr>
              <w:t>19</w:t>
            </w:r>
          </w:p>
        </w:tc>
      </w:tr>
      <w:tr>
        <w:trPr>
          <w:trHeight w:val="215"/>
        </w:trPr>
        <w:tc>
          <w:tcPr>
            <w:tcW w:w="3860" w:type="dxa"/>
            <w:vAlign w:val="bottom"/>
            <w:tcBorders>
              <w:bottom w:val="single" w:sz="8" w:color="9D9D9C"/>
            </w:tcBorders>
          </w:tcPr>
          <w:p>
            <w:pPr>
              <w:ind w:left="20"/>
              <w:spacing w:after="0"/>
              <w:rPr>
                <w:sz w:val="20"/>
                <w:szCs w:val="20"/>
                <w:color w:val="auto"/>
              </w:rPr>
            </w:pPr>
            <w:r>
              <w:rPr>
                <w:rFonts w:ascii="Arial" w:cs="Arial" w:eastAsia="Arial" w:hAnsi="Arial"/>
                <w:sz w:val="17"/>
                <w:szCs w:val="17"/>
                <w:color w:val="auto"/>
              </w:rPr>
              <w:t>nominees other than our nominees</w:t>
            </w:r>
          </w:p>
        </w:tc>
        <w:tc>
          <w:tcPr>
            <w:tcW w:w="2540" w:type="dxa"/>
            <w:vAlign w:val="bottom"/>
            <w:tcBorders>
              <w:bottom w:val="single" w:sz="8" w:color="9D9D9C"/>
            </w:tcBorders>
          </w:tcPr>
          <w:p>
            <w:pPr>
              <w:spacing w:after="0"/>
              <w:rPr>
                <w:sz w:val="18"/>
                <w:szCs w:val="18"/>
                <w:color w:val="auto"/>
              </w:rPr>
            </w:pPr>
          </w:p>
        </w:tc>
        <w:tc>
          <w:tcPr>
            <w:tcW w:w="4840" w:type="dxa"/>
            <w:vAlign w:val="bottom"/>
            <w:tcBorders>
              <w:bottom w:val="single" w:sz="8" w:color="9D9D9C"/>
            </w:tcBorders>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9"/>
          <w:szCs w:val="29"/>
          <w:color w:val="003478"/>
        </w:rPr>
        <w:t>Can I find additional information about the stockholder proponents?</w:t>
      </w:r>
    </w:p>
    <w:p>
      <w:pPr>
        <w:spacing w:after="0" w:line="121" w:lineRule="exact"/>
        <w:rPr>
          <w:sz w:val="20"/>
          <w:szCs w:val="20"/>
          <w:color w:val="auto"/>
        </w:rPr>
      </w:pPr>
    </w:p>
    <w:p>
      <w:pPr>
        <w:ind w:right="520"/>
        <w:spacing w:after="0" w:line="267" w:lineRule="auto"/>
        <w:rPr>
          <w:sz w:val="20"/>
          <w:szCs w:val="20"/>
          <w:color w:val="auto"/>
        </w:rPr>
      </w:pPr>
      <w:r>
        <w:rPr>
          <w:rFonts w:ascii="Arial" w:cs="Arial" w:eastAsia="Arial" w:hAnsi="Arial"/>
          <w:sz w:val="17"/>
          <w:szCs w:val="17"/>
          <w:color w:val="auto"/>
        </w:rPr>
        <w:t>Yes. As required by SEC regulations, upon receiving an oral or written request from a stockholder to the Corporate Secretary, Lockheed Martin Corporation, 6801 Rockledge Drive, Bethesda, MD 20817 or (301) 897-6000, we will provide the address of the sponsors of the stockholders proposals included within this Proxy Statement. The Company is not responsible for the contents of the stockholder proposals or the related supporting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29"/>
          <w:szCs w:val="29"/>
          <w:color w:val="003478"/>
        </w:rPr>
        <w:t>Can I find additional information on the Company’s website?</w:t>
      </w:r>
    </w:p>
    <w:p>
      <w:pPr>
        <w:spacing w:after="0" w:line="10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Yes. You will find information about the Company and our corporate governance practices at </w:t>
      </w:r>
      <w:r>
        <w:rPr>
          <w:rFonts w:ascii="Arial" w:cs="Arial" w:eastAsia="Arial" w:hAnsi="Arial"/>
          <w:sz w:val="17"/>
          <w:szCs w:val="17"/>
          <w:i w:val="1"/>
          <w:iCs w:val="1"/>
          <w:color w:val="auto"/>
        </w:rPr>
        <w:t>www.lockheedmartin.com/corporate-governance</w:t>
      </w:r>
      <w:r>
        <w:rPr>
          <w:rFonts w:ascii="Arial" w:cs="Arial" w:eastAsia="Arial" w:hAnsi="Arial"/>
          <w:sz w:val="17"/>
          <w:szCs w:val="17"/>
          <w:color w:val="auto"/>
        </w:rPr>
        <w:t>. Our website contains information about our Board, Board committees, Charter, Bylaws, Code of Conduct, Governance Guidelines and information about insider transactions. Stockholders may obtain, without charge, hard copies of the above documents by writing to Investor Relations, Lockheed Martin Corporation, 6801 Rockledge Drive, Bethesda, MD 20817. Information contained on or made available through our website or other websites mentioned in this Proxy Statement is not incorporated into, and is not a part of this Proxy Statement, and any references to our website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86</w:t>
      </w:r>
    </w:p>
    <w:p>
      <w:pPr>
        <w:sectPr>
          <w:pgSz w:w="11900" w:h="16838" w:orient="portrait"/>
          <w:cols w:equalWidth="0" w:num="1">
            <w:col w:w="11240"/>
          </w:cols>
          <w:pgMar w:left="320" w:top="254" w:right="339" w:bottom="1440" w:gutter="0" w:footer="0" w:header="0"/>
          <w:type w:val="continuous"/>
        </w:sectPr>
      </w:pPr>
    </w:p>
    <w:bookmarkStart w:id="92" w:name="page93"/>
    <w:bookmarkEnd w:id="92"/>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1000"/>
        <w:spacing w:after="0" w:line="250" w:lineRule="auto"/>
        <w:rPr>
          <w:sz w:val="20"/>
          <w:szCs w:val="20"/>
          <w:color w:val="auto"/>
        </w:rPr>
      </w:pPr>
      <w:r>
        <w:rPr>
          <w:rFonts w:ascii="Arial" w:cs="Arial" w:eastAsia="Arial" w:hAnsi="Arial"/>
          <w:sz w:val="29"/>
          <w:szCs w:val="29"/>
          <w:color w:val="003478"/>
        </w:rPr>
        <w:t>Appendix A: Definition of Non-GAAP (Generally Accepted Accounting Principles) Measures</w:t>
      </w:r>
    </w:p>
    <w:p>
      <w:pPr>
        <w:spacing w:after="0" w:line="96"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This Proxy Statement contains Non-GAAP financial measures (as defined by SEC Regulation G). While we believe that these Non-GAAP financial measures may be useful in evaluating Lockheed Martin, this information should be considered supplemental and is not a substitute for financial information prepared in accordance with GAAP. In addition, our definitions for Non-GAAP measures may differ from similarly titled measures used by other companies or analysts.</w:t>
      </w:r>
    </w:p>
    <w:p>
      <w:pPr>
        <w:spacing w:after="0" w:line="92" w:lineRule="exact"/>
        <w:rPr>
          <w:sz w:val="20"/>
          <w:szCs w:val="20"/>
          <w:color w:val="auto"/>
        </w:rPr>
      </w:pPr>
    </w:p>
    <w:p>
      <w:pPr>
        <w:spacing w:after="0"/>
        <w:rPr>
          <w:sz w:val="20"/>
          <w:szCs w:val="20"/>
          <w:color w:val="auto"/>
        </w:rPr>
      </w:pPr>
      <w:r>
        <w:rPr>
          <w:rFonts w:ascii="Arial" w:cs="Arial" w:eastAsia="Arial" w:hAnsi="Arial"/>
          <w:sz w:val="25"/>
          <w:szCs w:val="25"/>
          <w:color w:val="818EB4"/>
        </w:rPr>
        <w:t>Segment Operating Profit</w:t>
      </w:r>
    </w:p>
    <w:p>
      <w:pPr>
        <w:spacing w:after="0" w:line="12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Segment Operating Profit represents operating profit from our business segments before unallocated income and expense. This measure is used by our senior management in evaluating the performance of our business segments. The caption “Total Unallocated Items” reconciles Segment Operating Profit to Consolidated Operating Profit. We use Segment Operating Profit as a performance goal in the annual incentive plan.</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380" w:type="dxa"/>
            <w:vAlign w:val="bottom"/>
            <w:tcBorders>
              <w:right w:val="single" w:sz="8" w:color="E5E7EF"/>
            </w:tcBorders>
            <w:shd w:val="clear" w:color="auto" w:fill="E5E7EF"/>
          </w:tcPr>
          <w:p>
            <w:pPr>
              <w:spacing w:after="0"/>
              <w:rPr>
                <w:sz w:val="14"/>
                <w:szCs w:val="14"/>
                <w:color w:val="auto"/>
              </w:rPr>
            </w:pPr>
          </w:p>
        </w:tc>
        <w:tc>
          <w:tcPr>
            <w:tcW w:w="840" w:type="dxa"/>
            <w:vAlign w:val="bottom"/>
            <w:shd w:val="clear" w:color="auto" w:fill="E5E7EF"/>
          </w:tcPr>
          <w:p>
            <w:pPr>
              <w:jc w:val="right"/>
              <w:spacing w:after="0"/>
              <w:rPr>
                <w:sz w:val="20"/>
                <w:szCs w:val="20"/>
                <w:color w:val="auto"/>
              </w:rPr>
            </w:pPr>
            <w:r>
              <w:rPr>
                <w:rFonts w:ascii="Arial" w:cs="Arial" w:eastAsia="Arial" w:hAnsi="Arial"/>
                <w:sz w:val="13"/>
                <w:szCs w:val="13"/>
                <w:color w:val="auto"/>
              </w:rPr>
              <w:t>2021</w:t>
            </w:r>
          </w:p>
        </w:tc>
        <w:tc>
          <w:tcPr>
            <w:tcW w:w="20" w:type="dxa"/>
            <w:vAlign w:val="bottom"/>
          </w:tcPr>
          <w:p>
            <w:pPr>
              <w:spacing w:after="0"/>
              <w:rPr>
                <w:sz w:val="14"/>
                <w:szCs w:val="14"/>
                <w:color w:val="auto"/>
              </w:rPr>
            </w:pPr>
          </w:p>
        </w:tc>
      </w:tr>
      <w:tr>
        <w:trPr>
          <w:trHeight w:val="238"/>
        </w:trPr>
        <w:tc>
          <w:tcPr>
            <w:tcW w:w="10380" w:type="dxa"/>
            <w:vAlign w:val="bottom"/>
            <w:tcBorders>
              <w:bottom w:val="single" w:sz="8" w:color="E5E7EF"/>
              <w:right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($M)</w:t>
            </w:r>
          </w:p>
        </w:tc>
        <w:tc>
          <w:tcPr>
            <w:tcW w:w="84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0"/>
                <w:szCs w:val="20"/>
                <w:color w:val="auto"/>
              </w:rPr>
            </w:pPr>
          </w:p>
        </w:tc>
      </w:tr>
      <w:tr>
        <w:trPr>
          <w:trHeight w:val="182"/>
        </w:trPr>
        <w:tc>
          <w:tcPr>
            <w:tcW w:w="10380" w:type="dxa"/>
            <w:vAlign w:val="bottom"/>
            <w:tcBorders>
              <w:top w:val="single" w:sz="8" w:color="003478"/>
              <w:bottom w:val="single" w:sz="8" w:color="959595"/>
            </w:tcBorders>
          </w:tcPr>
          <w:p>
            <w:pPr>
              <w:ind w:left="20"/>
              <w:spacing w:after="0"/>
              <w:rPr>
                <w:sz w:val="20"/>
                <w:szCs w:val="20"/>
                <w:color w:val="auto"/>
              </w:rPr>
            </w:pPr>
            <w:r>
              <w:rPr>
                <w:rFonts w:ascii="Arial" w:cs="Arial" w:eastAsia="Arial" w:hAnsi="Arial"/>
                <w:sz w:val="14"/>
                <w:szCs w:val="14"/>
                <w:color w:val="auto"/>
              </w:rPr>
              <w:t>Segment Operating Profit (Non-GAAP)</w:t>
            </w:r>
          </w:p>
        </w:tc>
        <w:tc>
          <w:tcPr>
            <w:tcW w:w="840" w:type="dxa"/>
            <w:vAlign w:val="bottom"/>
            <w:tcBorders>
              <w:top w:val="single" w:sz="8" w:color="003478"/>
              <w:bottom w:val="single" w:sz="8" w:color="959595"/>
            </w:tcBorders>
          </w:tcPr>
          <w:p>
            <w:pPr>
              <w:jc w:val="right"/>
              <w:spacing w:after="0"/>
              <w:rPr>
                <w:sz w:val="20"/>
                <w:szCs w:val="20"/>
                <w:color w:val="auto"/>
              </w:rPr>
            </w:pPr>
            <w:r>
              <w:rPr>
                <w:rFonts w:ascii="Arial" w:cs="Arial" w:eastAsia="Arial" w:hAnsi="Arial"/>
                <w:sz w:val="14"/>
                <w:szCs w:val="14"/>
                <w:color w:val="auto"/>
              </w:rPr>
              <w:t>7,379</w:t>
            </w:r>
          </w:p>
        </w:tc>
        <w:tc>
          <w:tcPr>
            <w:tcW w:w="20" w:type="dxa"/>
            <w:vAlign w:val="bottom"/>
          </w:tcPr>
          <w:p>
            <w:pPr>
              <w:spacing w:after="0"/>
              <w:rPr>
                <w:sz w:val="15"/>
                <w:szCs w:val="15"/>
                <w:color w:val="auto"/>
              </w:rPr>
            </w:pPr>
          </w:p>
        </w:tc>
      </w:tr>
      <w:tr>
        <w:trPr>
          <w:trHeight w:val="182"/>
        </w:trPr>
        <w:tc>
          <w:tcPr>
            <w:tcW w:w="1038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Total Unallocated Items</w:t>
            </w:r>
          </w:p>
        </w:tc>
        <w:tc>
          <w:tcPr>
            <w:tcW w:w="840" w:type="dxa"/>
            <w:vAlign w:val="bottom"/>
            <w:tcBorders>
              <w:bottom w:val="single" w:sz="8" w:color="002F6C"/>
            </w:tcBorders>
          </w:tcPr>
          <w:p>
            <w:pPr>
              <w:jc w:val="right"/>
              <w:ind w:right="12"/>
              <w:spacing w:after="0"/>
              <w:rPr>
                <w:sz w:val="20"/>
                <w:szCs w:val="20"/>
                <w:color w:val="auto"/>
              </w:rPr>
            </w:pPr>
            <w:r>
              <w:rPr>
                <w:rFonts w:ascii="Arial" w:cs="Arial" w:eastAsia="Arial" w:hAnsi="Arial"/>
                <w:sz w:val="14"/>
                <w:szCs w:val="14"/>
                <w:color w:val="auto"/>
              </w:rPr>
              <w:t>1,744</w:t>
            </w:r>
          </w:p>
        </w:tc>
        <w:tc>
          <w:tcPr>
            <w:tcW w:w="20" w:type="dxa"/>
            <w:vAlign w:val="bottom"/>
            <w:tcBorders>
              <w:bottom w:val="single" w:sz="8" w:color="002F6C"/>
            </w:tcBorders>
          </w:tcPr>
          <w:p>
            <w:pPr>
              <w:spacing w:after="0"/>
              <w:rPr>
                <w:sz w:val="15"/>
                <w:szCs w:val="15"/>
                <w:color w:val="auto"/>
              </w:rPr>
            </w:pPr>
          </w:p>
        </w:tc>
      </w:tr>
      <w:tr>
        <w:trPr>
          <w:trHeight w:val="182"/>
        </w:trPr>
        <w:tc>
          <w:tcPr>
            <w:tcW w:w="10380" w:type="dxa"/>
            <w:vAlign w:val="bottom"/>
            <w:tcBorders>
              <w:bottom w:val="single" w:sz="8" w:color="959595"/>
              <w:right w:val="single" w:sz="8" w:color="002F6C"/>
            </w:tcBorders>
          </w:tcPr>
          <w:p>
            <w:pPr>
              <w:ind w:left="20"/>
              <w:spacing w:after="0"/>
              <w:rPr>
                <w:sz w:val="20"/>
                <w:szCs w:val="20"/>
                <w:color w:val="auto"/>
              </w:rPr>
            </w:pPr>
            <w:r>
              <w:rPr>
                <w:rFonts w:ascii="Arial" w:cs="Arial" w:eastAsia="Arial" w:hAnsi="Arial"/>
                <w:sz w:val="14"/>
                <w:szCs w:val="14"/>
                <w:b w:val="1"/>
                <w:bCs w:val="1"/>
                <w:color w:val="auto"/>
              </w:rPr>
              <w:t>Consolidated Operating Profit (GAAP)</w:t>
            </w:r>
          </w:p>
        </w:tc>
        <w:tc>
          <w:tcPr>
            <w:tcW w:w="840" w:type="dxa"/>
            <w:vAlign w:val="bottom"/>
            <w:tcBorders>
              <w:bottom w:val="single" w:sz="8" w:color="002F6C"/>
            </w:tcBorders>
          </w:tcPr>
          <w:p>
            <w:pPr>
              <w:jc w:val="right"/>
              <w:spacing w:after="0"/>
              <w:rPr>
                <w:sz w:val="20"/>
                <w:szCs w:val="20"/>
                <w:color w:val="auto"/>
              </w:rPr>
            </w:pPr>
            <w:r>
              <w:rPr>
                <w:rFonts w:ascii="Arial" w:cs="Arial" w:eastAsia="Arial" w:hAnsi="Arial"/>
                <w:sz w:val="14"/>
                <w:szCs w:val="14"/>
                <w:b w:val="1"/>
                <w:bCs w:val="1"/>
                <w:color w:val="auto"/>
              </w:rPr>
              <w:t>9,123</w:t>
            </w:r>
          </w:p>
        </w:tc>
        <w:tc>
          <w:tcPr>
            <w:tcW w:w="20" w:type="dxa"/>
            <w:vAlign w:val="bottom"/>
            <w:tcBorders>
              <w:bottom w:val="single" w:sz="8" w:color="002F6C"/>
            </w:tcBorders>
            <w:shd w:val="clear" w:color="auto" w:fill="002F6C"/>
          </w:tcPr>
          <w:p>
            <w:pPr>
              <w:spacing w:after="0"/>
              <w:rPr>
                <w:sz w:val="15"/>
                <w:szCs w:val="15"/>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25"/>
          <w:szCs w:val="25"/>
          <w:color w:val="818EB4"/>
        </w:rPr>
        <w:t>Return on Invested Capital (ROIC)</w:t>
      </w:r>
    </w:p>
    <w:p>
      <w:pPr>
        <w:spacing w:after="0" w:line="121"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ROIC is defined as net earnings plus after-tax interest expense divided by average invested capital (total equity plus debt) after adjusting total equity by adding back adjustments related to the Company’s post-retirement benefit plans. We use ROIC as a performance measure for LTIP and PSUs.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00" w:type="dxa"/>
            <w:vAlign w:val="bottom"/>
            <w:vMerge w:val="restart"/>
            <w:shd w:val="clear" w:color="auto" w:fill="E5E7EF"/>
          </w:tcPr>
          <w:p>
            <w:pPr>
              <w:ind w:left="20"/>
              <w:spacing w:after="0"/>
              <w:rPr>
                <w:sz w:val="20"/>
                <w:szCs w:val="20"/>
                <w:color w:val="auto"/>
              </w:rPr>
            </w:pPr>
            <w:r>
              <w:rPr>
                <w:rFonts w:ascii="Arial" w:cs="Arial" w:eastAsia="Arial" w:hAnsi="Arial"/>
                <w:sz w:val="13"/>
                <w:szCs w:val="13"/>
                <w:color w:val="auto"/>
              </w:rPr>
              <w:t>ROIC Calculation ($M)</w:t>
            </w:r>
          </w:p>
        </w:tc>
        <w:tc>
          <w:tcPr>
            <w:tcW w:w="4020" w:type="dxa"/>
            <w:vAlign w:val="bottom"/>
            <w:shd w:val="clear" w:color="auto" w:fill="E5E7EF"/>
          </w:tcPr>
          <w:p>
            <w:pPr>
              <w:spacing w:after="0"/>
              <w:rPr>
                <w:sz w:val="14"/>
                <w:szCs w:val="14"/>
                <w:color w:val="auto"/>
              </w:rPr>
            </w:pPr>
          </w:p>
        </w:tc>
        <w:tc>
          <w:tcPr>
            <w:tcW w:w="820" w:type="dxa"/>
            <w:vAlign w:val="bottom"/>
            <w:shd w:val="clear" w:color="auto" w:fill="E5E7EF"/>
          </w:tcPr>
          <w:p>
            <w:pPr>
              <w:jc w:val="right"/>
              <w:spacing w:after="0"/>
              <w:rPr>
                <w:sz w:val="20"/>
                <w:szCs w:val="20"/>
                <w:color w:val="auto"/>
              </w:rPr>
            </w:pPr>
            <w:r>
              <w:rPr>
                <w:rFonts w:ascii="Arial" w:cs="Arial" w:eastAsia="Arial" w:hAnsi="Arial"/>
                <w:sz w:val="13"/>
                <w:szCs w:val="13"/>
                <w:color w:val="auto"/>
              </w:rPr>
              <w:t>Three-Year</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E5E7EF"/>
            </w:tcBorders>
            <w:vMerge w:val="continue"/>
            <w:shd w:val="clear" w:color="auto" w:fill="E5E7EF"/>
          </w:tcPr>
          <w:p>
            <w:pPr>
              <w:spacing w:after="0"/>
              <w:rPr>
                <w:sz w:val="16"/>
                <w:szCs w:val="16"/>
                <w:color w:val="auto"/>
              </w:rPr>
            </w:pPr>
          </w:p>
        </w:tc>
        <w:tc>
          <w:tcPr>
            <w:tcW w:w="4020" w:type="dxa"/>
            <w:vAlign w:val="bottom"/>
            <w:tcBorders>
              <w:bottom w:val="single" w:sz="8" w:color="E5E7EF"/>
            </w:tcBorders>
            <w:shd w:val="clear" w:color="auto" w:fill="E5E7EF"/>
          </w:tcPr>
          <w:p>
            <w:pPr>
              <w:spacing w:after="0"/>
              <w:rPr>
                <w:sz w:val="16"/>
                <w:szCs w:val="16"/>
                <w:color w:val="auto"/>
              </w:rPr>
            </w:pPr>
          </w:p>
        </w:tc>
        <w:tc>
          <w:tcPr>
            <w:tcW w:w="82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2019–2021</w:t>
            </w:r>
          </w:p>
        </w:tc>
        <w:tc>
          <w:tcPr>
            <w:tcW w:w="0" w:type="dxa"/>
            <w:vAlign w:val="bottom"/>
          </w:tcPr>
          <w:p>
            <w:pPr>
              <w:spacing w:after="0"/>
              <w:rPr>
                <w:sz w:val="1"/>
                <w:szCs w:val="1"/>
                <w:color w:val="auto"/>
              </w:rPr>
            </w:pPr>
          </w:p>
        </w:tc>
      </w:tr>
      <w:tr>
        <w:trPr>
          <w:trHeight w:val="222"/>
        </w:trPr>
        <w:tc>
          <w:tcPr>
            <w:tcW w:w="6400" w:type="dxa"/>
            <w:vAlign w:val="bottom"/>
            <w:tcBorders>
              <w:top w:val="single" w:sz="8" w:color="003478"/>
              <w:bottom w:val="single" w:sz="8" w:color="959595"/>
            </w:tcBorders>
          </w:tcPr>
          <w:p>
            <w:pPr>
              <w:ind w:left="20"/>
              <w:spacing w:after="0"/>
              <w:rPr>
                <w:sz w:val="20"/>
                <w:szCs w:val="20"/>
                <w:color w:val="auto"/>
              </w:rPr>
            </w:pPr>
            <w:r>
              <w:rPr>
                <w:rFonts w:ascii="Arial" w:cs="Arial" w:eastAsia="Arial" w:hAnsi="Arial"/>
                <w:sz w:val="14"/>
                <w:szCs w:val="14"/>
                <w:color w:val="auto"/>
              </w:rPr>
              <w:t>Net Earnings</w:t>
            </w:r>
            <w:r>
              <w:rPr>
                <w:rFonts w:ascii="Arial" w:cs="Arial" w:eastAsia="Arial" w:hAnsi="Arial"/>
                <w:sz w:val="18"/>
                <w:szCs w:val="18"/>
                <w:color w:val="auto"/>
                <w:vertAlign w:val="superscript"/>
              </w:rPr>
              <w:t>(a)</w:t>
            </w:r>
          </w:p>
        </w:tc>
        <w:tc>
          <w:tcPr>
            <w:tcW w:w="4020" w:type="dxa"/>
            <w:vAlign w:val="bottom"/>
            <w:tcBorders>
              <w:top w:val="single" w:sz="8" w:color="003478"/>
              <w:bottom w:val="single" w:sz="8" w:color="959595"/>
            </w:tcBorders>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003478"/>
              <w:bottom w:val="single" w:sz="8" w:color="959595"/>
            </w:tcBorders>
          </w:tcPr>
          <w:p>
            <w:pPr>
              <w:jc w:val="right"/>
              <w:ind w:right="110"/>
              <w:spacing w:after="0"/>
              <w:rPr>
                <w:sz w:val="20"/>
                <w:szCs w:val="20"/>
                <w:color w:val="auto"/>
              </w:rPr>
            </w:pPr>
            <w:r>
              <w:rPr>
                <w:rFonts w:ascii="Arial" w:cs="Arial" w:eastAsia="Arial" w:hAnsi="Arial"/>
                <w:sz w:val="14"/>
                <w:szCs w:val="14"/>
                <w:color w:val="auto"/>
              </w:rPr>
              <w:t>6,459</w:t>
            </w:r>
          </w:p>
        </w:tc>
        <w:tc>
          <w:tcPr>
            <w:tcW w:w="0" w:type="dxa"/>
            <w:vAlign w:val="bottom"/>
          </w:tcPr>
          <w:p>
            <w:pPr>
              <w:spacing w:after="0"/>
              <w:rPr>
                <w:sz w:val="1"/>
                <w:szCs w:val="1"/>
                <w:color w:val="auto"/>
              </w:rPr>
            </w:pPr>
          </w:p>
        </w:tc>
      </w:tr>
      <w:tr>
        <w:trPr>
          <w:trHeight w:val="182"/>
        </w:trPr>
        <w:tc>
          <w:tcPr>
            <w:tcW w:w="6400" w:type="dxa"/>
            <w:vAlign w:val="bottom"/>
            <w:tcBorders>
              <w:bottom w:val="single" w:sz="8" w:color="959595"/>
            </w:tcBorders>
          </w:tcPr>
          <w:p>
            <w:pPr>
              <w:ind w:left="20"/>
              <w:spacing w:after="0" w:line="182" w:lineRule="exact"/>
              <w:rPr>
                <w:sz w:val="20"/>
                <w:szCs w:val="20"/>
                <w:color w:val="auto"/>
              </w:rPr>
            </w:pPr>
            <w:r>
              <w:rPr>
                <w:rFonts w:ascii="Arial" w:cs="Arial" w:eastAsia="Arial" w:hAnsi="Arial"/>
                <w:sz w:val="14"/>
                <w:szCs w:val="14"/>
                <w:color w:val="auto"/>
              </w:rPr>
              <w:t xml:space="preserve">Adjustments to Net Earnings </w:t>
            </w:r>
            <w:r>
              <w:rPr>
                <w:rFonts w:ascii="Arial" w:cs="Arial" w:eastAsia="Arial" w:hAnsi="Arial"/>
                <w:sz w:val="18"/>
                <w:szCs w:val="18"/>
                <w:color w:val="auto"/>
                <w:vertAlign w:val="superscript"/>
              </w:rPr>
              <w:t>(b)</w:t>
            </w:r>
          </w:p>
        </w:tc>
        <w:tc>
          <w:tcPr>
            <w:tcW w:w="4020" w:type="dxa"/>
            <w:vAlign w:val="bottom"/>
            <w:tcBorders>
              <w:bottom w:val="single" w:sz="8" w:color="959595"/>
            </w:tcBorders>
          </w:tcPr>
          <w:p>
            <w:pPr>
              <w:spacing w:after="0"/>
              <w:rPr>
                <w:sz w:val="15"/>
                <w:szCs w:val="15"/>
                <w:color w:val="auto"/>
              </w:rPr>
            </w:pPr>
          </w:p>
        </w:tc>
        <w:tc>
          <w:tcPr>
            <w:tcW w:w="820" w:type="dxa"/>
            <w:vAlign w:val="bottom"/>
            <w:tcBorders>
              <w:bottom w:val="single" w:sz="8" w:color="959595"/>
            </w:tcBorders>
          </w:tcPr>
          <w:p>
            <w:pPr>
              <w:jc w:val="right"/>
              <w:ind w:right="110"/>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222"/>
        </w:trPr>
        <w:tc>
          <w:tcPr>
            <w:tcW w:w="640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 xml:space="preserve">Interest Expense (multiplied by 79%) </w:t>
            </w:r>
            <w:r>
              <w:rPr>
                <w:rFonts w:ascii="Arial" w:cs="Arial" w:eastAsia="Arial" w:hAnsi="Arial"/>
                <w:sz w:val="18"/>
                <w:szCs w:val="18"/>
                <w:color w:val="auto"/>
                <w:vertAlign w:val="superscript"/>
              </w:rPr>
              <w:t>(a)(c)</w:t>
            </w:r>
          </w:p>
        </w:tc>
        <w:tc>
          <w:tcPr>
            <w:tcW w:w="4020" w:type="dxa"/>
            <w:vAlign w:val="bottom"/>
            <w:tcBorders>
              <w:bottom w:val="single" w:sz="8" w:color="959595"/>
            </w:tcBorders>
          </w:tcPr>
          <w:p>
            <w:pPr>
              <w:spacing w:after="0"/>
              <w:rPr>
                <w:sz w:val="19"/>
                <w:szCs w:val="19"/>
                <w:color w:val="auto"/>
              </w:rPr>
            </w:pPr>
          </w:p>
        </w:tc>
        <w:tc>
          <w:tcPr>
            <w:tcW w:w="820" w:type="dxa"/>
            <w:vAlign w:val="bottom"/>
            <w:tcBorders>
              <w:bottom w:val="single" w:sz="8" w:color="959595"/>
            </w:tcBorders>
          </w:tcPr>
          <w:p>
            <w:pPr>
              <w:jc w:val="right"/>
              <w:ind w:right="110"/>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195"/>
        </w:trPr>
        <w:tc>
          <w:tcPr>
            <w:tcW w:w="640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Return</w:t>
            </w:r>
          </w:p>
        </w:tc>
        <w:tc>
          <w:tcPr>
            <w:tcW w:w="4020" w:type="dxa"/>
            <w:vAlign w:val="bottom"/>
            <w:tcBorders>
              <w:bottom w:val="single" w:sz="8" w:color="959595"/>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959595"/>
            </w:tcBorders>
          </w:tcPr>
          <w:p>
            <w:pPr>
              <w:jc w:val="right"/>
              <w:ind w:right="110"/>
              <w:spacing w:after="0"/>
              <w:rPr>
                <w:sz w:val="20"/>
                <w:szCs w:val="20"/>
                <w:color w:val="auto"/>
              </w:rPr>
            </w:pPr>
            <w:r>
              <w:rPr>
                <w:rFonts w:ascii="Arial" w:cs="Arial" w:eastAsia="Arial" w:hAnsi="Arial"/>
                <w:sz w:val="14"/>
                <w:szCs w:val="14"/>
                <w:b w:val="1"/>
                <w:bCs w:val="1"/>
                <w:color w:val="auto"/>
              </w:rPr>
              <w:t>7,351</w:t>
            </w:r>
          </w:p>
        </w:tc>
        <w:tc>
          <w:tcPr>
            <w:tcW w:w="0" w:type="dxa"/>
            <w:vAlign w:val="bottom"/>
          </w:tcPr>
          <w:p>
            <w:pPr>
              <w:spacing w:after="0"/>
              <w:rPr>
                <w:sz w:val="1"/>
                <w:szCs w:val="1"/>
                <w:color w:val="auto"/>
              </w:rPr>
            </w:pPr>
          </w:p>
        </w:tc>
      </w:tr>
      <w:tr>
        <w:trPr>
          <w:trHeight w:val="222"/>
        </w:trPr>
        <w:tc>
          <w:tcPr>
            <w:tcW w:w="640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Average Debt</w:t>
            </w:r>
            <w:r>
              <w:rPr>
                <w:rFonts w:ascii="Arial" w:cs="Arial" w:eastAsia="Arial" w:hAnsi="Arial"/>
                <w:sz w:val="18"/>
                <w:szCs w:val="18"/>
                <w:color w:val="auto"/>
                <w:vertAlign w:val="superscript"/>
              </w:rPr>
              <w:t>(d)(e)</w:t>
            </w:r>
          </w:p>
        </w:tc>
        <w:tc>
          <w:tcPr>
            <w:tcW w:w="4020" w:type="dxa"/>
            <w:vAlign w:val="bottom"/>
            <w:tcBorders>
              <w:bottom w:val="single" w:sz="8" w:color="959595"/>
            </w:tcBorders>
          </w:tcPr>
          <w:p>
            <w:pPr>
              <w:jc w:val="right"/>
              <w:ind w:right="10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959595"/>
            </w:tcBorders>
          </w:tcPr>
          <w:p>
            <w:pPr>
              <w:jc w:val="right"/>
              <w:ind w:right="110"/>
              <w:spacing w:after="0"/>
              <w:rPr>
                <w:sz w:val="20"/>
                <w:szCs w:val="20"/>
                <w:color w:val="auto"/>
              </w:rPr>
            </w:pPr>
            <w:r>
              <w:rPr>
                <w:rFonts w:ascii="Arial" w:cs="Arial" w:eastAsia="Arial" w:hAnsi="Arial"/>
                <w:sz w:val="14"/>
                <w:szCs w:val="14"/>
                <w:color w:val="auto"/>
              </w:rPr>
              <w:t>12,743</w:t>
            </w:r>
          </w:p>
        </w:tc>
        <w:tc>
          <w:tcPr>
            <w:tcW w:w="0" w:type="dxa"/>
            <w:vAlign w:val="bottom"/>
          </w:tcPr>
          <w:p>
            <w:pPr>
              <w:spacing w:after="0"/>
              <w:rPr>
                <w:sz w:val="1"/>
                <w:szCs w:val="1"/>
                <w:color w:val="auto"/>
              </w:rPr>
            </w:pPr>
          </w:p>
        </w:tc>
      </w:tr>
      <w:tr>
        <w:trPr>
          <w:trHeight w:val="222"/>
        </w:trPr>
        <w:tc>
          <w:tcPr>
            <w:tcW w:w="6400" w:type="dxa"/>
            <w:vAlign w:val="bottom"/>
            <w:tcBorders>
              <w:bottom w:val="single" w:sz="8" w:color="959595"/>
            </w:tcBorders>
          </w:tcPr>
          <w:p>
            <w:pPr>
              <w:ind w:left="20"/>
              <w:spacing w:after="0"/>
              <w:rPr>
                <w:sz w:val="20"/>
                <w:szCs w:val="20"/>
                <w:color w:val="auto"/>
              </w:rPr>
            </w:pPr>
            <w:r>
              <w:rPr>
                <w:rFonts w:ascii="Arial" w:cs="Arial" w:eastAsia="Arial" w:hAnsi="Arial"/>
                <w:sz w:val="14"/>
                <w:szCs w:val="14"/>
                <w:color w:val="auto"/>
              </w:rPr>
              <w:t>Average Equity</w:t>
            </w:r>
            <w:r>
              <w:rPr>
                <w:rFonts w:ascii="Arial" w:cs="Arial" w:eastAsia="Arial" w:hAnsi="Arial"/>
                <w:sz w:val="18"/>
                <w:szCs w:val="18"/>
                <w:color w:val="auto"/>
                <w:vertAlign w:val="superscript"/>
              </w:rPr>
              <w:t>(e)(f)</w:t>
            </w:r>
          </w:p>
        </w:tc>
        <w:tc>
          <w:tcPr>
            <w:tcW w:w="4020" w:type="dxa"/>
            <w:vAlign w:val="bottom"/>
            <w:tcBorders>
              <w:bottom w:val="single" w:sz="8" w:color="959595"/>
            </w:tcBorders>
          </w:tcPr>
          <w:p>
            <w:pPr>
              <w:spacing w:after="0"/>
              <w:rPr>
                <w:sz w:val="19"/>
                <w:szCs w:val="19"/>
                <w:color w:val="auto"/>
              </w:rPr>
            </w:pPr>
          </w:p>
        </w:tc>
        <w:tc>
          <w:tcPr>
            <w:tcW w:w="820" w:type="dxa"/>
            <w:vAlign w:val="bottom"/>
            <w:tcBorders>
              <w:bottom w:val="single" w:sz="8" w:color="959595"/>
            </w:tcBorders>
          </w:tcPr>
          <w:p>
            <w:pPr>
              <w:jc w:val="right"/>
              <w:ind w:right="110"/>
              <w:spacing w:after="0"/>
              <w:rPr>
                <w:sz w:val="20"/>
                <w:szCs w:val="20"/>
                <w:color w:val="auto"/>
              </w:rPr>
            </w:pPr>
            <w:r>
              <w:rPr>
                <w:rFonts w:ascii="Arial" w:cs="Arial" w:eastAsia="Arial" w:hAnsi="Arial"/>
                <w:sz w:val="14"/>
                <w:szCs w:val="14"/>
                <w:color w:val="auto"/>
              </w:rPr>
              <w:t>5,056</w:t>
            </w:r>
          </w:p>
        </w:tc>
        <w:tc>
          <w:tcPr>
            <w:tcW w:w="0" w:type="dxa"/>
            <w:vAlign w:val="bottom"/>
          </w:tcPr>
          <w:p>
            <w:pPr>
              <w:spacing w:after="0"/>
              <w:rPr>
                <w:sz w:val="1"/>
                <w:szCs w:val="1"/>
                <w:color w:val="auto"/>
              </w:rPr>
            </w:pPr>
          </w:p>
        </w:tc>
      </w:tr>
      <w:tr>
        <w:trPr>
          <w:trHeight w:val="182"/>
        </w:trPr>
        <w:tc>
          <w:tcPr>
            <w:tcW w:w="6400" w:type="dxa"/>
            <w:vAlign w:val="bottom"/>
            <w:tcBorders>
              <w:bottom w:val="single" w:sz="8" w:color="9D9D9C"/>
            </w:tcBorders>
          </w:tcPr>
          <w:p>
            <w:pPr>
              <w:ind w:left="20"/>
              <w:spacing w:after="0" w:line="182" w:lineRule="exact"/>
              <w:rPr>
                <w:sz w:val="20"/>
                <w:szCs w:val="20"/>
                <w:color w:val="auto"/>
              </w:rPr>
            </w:pPr>
            <w:r>
              <w:rPr>
                <w:rFonts w:ascii="Arial" w:cs="Arial" w:eastAsia="Arial" w:hAnsi="Arial"/>
                <w:sz w:val="14"/>
                <w:szCs w:val="14"/>
                <w:color w:val="auto"/>
              </w:rPr>
              <w:t xml:space="preserve">Average Adjustments to Equity </w:t>
            </w:r>
            <w:r>
              <w:rPr>
                <w:rFonts w:ascii="Arial" w:cs="Arial" w:eastAsia="Arial" w:hAnsi="Arial"/>
                <w:sz w:val="18"/>
                <w:szCs w:val="18"/>
                <w:color w:val="auto"/>
                <w:vertAlign w:val="superscript"/>
              </w:rPr>
              <w:t>(b)</w:t>
            </w:r>
          </w:p>
        </w:tc>
        <w:tc>
          <w:tcPr>
            <w:tcW w:w="4020" w:type="dxa"/>
            <w:vAlign w:val="bottom"/>
            <w:tcBorders>
              <w:bottom w:val="single" w:sz="8" w:color="9D9D9C"/>
            </w:tcBorders>
          </w:tcPr>
          <w:p>
            <w:pPr>
              <w:spacing w:after="0"/>
              <w:rPr>
                <w:sz w:val="15"/>
                <w:szCs w:val="15"/>
                <w:color w:val="auto"/>
              </w:rPr>
            </w:pPr>
          </w:p>
        </w:tc>
        <w:tc>
          <w:tcPr>
            <w:tcW w:w="820" w:type="dxa"/>
            <w:vAlign w:val="bottom"/>
            <w:tcBorders>
              <w:bottom w:val="single" w:sz="8" w:color="9D9D9C"/>
            </w:tcBorders>
          </w:tcPr>
          <w:p>
            <w:pPr>
              <w:jc w:val="right"/>
              <w:ind w:right="110"/>
              <w:spacing w:after="0"/>
              <w:rPr>
                <w:sz w:val="20"/>
                <w:szCs w:val="20"/>
                <w:color w:val="auto"/>
              </w:rPr>
            </w:pPr>
            <w:r>
              <w:rPr>
                <w:rFonts w:ascii="Arial" w:cs="Arial" w:eastAsia="Arial" w:hAnsi="Arial"/>
                <w:sz w:val="14"/>
                <w:szCs w:val="14"/>
                <w:color w:val="auto"/>
              </w:rPr>
              <w:t>191</w:t>
            </w:r>
          </w:p>
        </w:tc>
        <w:tc>
          <w:tcPr>
            <w:tcW w:w="0" w:type="dxa"/>
            <w:vAlign w:val="bottom"/>
          </w:tcPr>
          <w:p>
            <w:pPr>
              <w:spacing w:after="0"/>
              <w:rPr>
                <w:sz w:val="1"/>
                <w:szCs w:val="1"/>
                <w:color w:val="auto"/>
              </w:rPr>
            </w:pPr>
          </w:p>
        </w:tc>
      </w:tr>
      <w:tr>
        <w:trPr>
          <w:trHeight w:val="253"/>
        </w:trPr>
        <w:tc>
          <w:tcPr>
            <w:tcW w:w="6400" w:type="dxa"/>
            <w:vAlign w:val="bottom"/>
          </w:tcPr>
          <w:p>
            <w:pPr>
              <w:ind w:left="20"/>
              <w:spacing w:after="0"/>
              <w:rPr>
                <w:sz w:val="20"/>
                <w:szCs w:val="20"/>
                <w:color w:val="auto"/>
              </w:rPr>
            </w:pPr>
            <w:r>
              <w:rPr>
                <w:rFonts w:ascii="Arial" w:cs="Arial" w:eastAsia="Arial" w:hAnsi="Arial"/>
                <w:sz w:val="14"/>
                <w:szCs w:val="14"/>
                <w:color w:val="auto"/>
              </w:rPr>
              <w:t>Average Benefit Plan Adjustments</w:t>
            </w:r>
            <w:r>
              <w:rPr>
                <w:rFonts w:ascii="Arial" w:cs="Arial" w:eastAsia="Arial" w:hAnsi="Arial"/>
                <w:sz w:val="18"/>
                <w:szCs w:val="18"/>
                <w:color w:val="auto"/>
                <w:vertAlign w:val="superscript"/>
              </w:rPr>
              <w:t>(e)</w:t>
            </w:r>
          </w:p>
        </w:tc>
        <w:tc>
          <w:tcPr>
            <w:tcW w:w="4020" w:type="dxa"/>
            <w:vAlign w:val="bottom"/>
          </w:tcPr>
          <w:p>
            <w:pPr>
              <w:spacing w:after="0"/>
              <w:rPr>
                <w:sz w:val="22"/>
                <w:szCs w:val="22"/>
                <w:color w:val="auto"/>
              </w:rPr>
            </w:pPr>
          </w:p>
        </w:tc>
        <w:tc>
          <w:tcPr>
            <w:tcW w:w="820" w:type="dxa"/>
            <w:vAlign w:val="bottom"/>
          </w:tcPr>
          <w:p>
            <w:pPr>
              <w:jc w:val="right"/>
              <w:ind w:right="110"/>
              <w:spacing w:after="0"/>
              <w:rPr>
                <w:sz w:val="20"/>
                <w:szCs w:val="20"/>
                <w:color w:val="auto"/>
              </w:rPr>
            </w:pPr>
            <w:r>
              <w:rPr>
                <w:rFonts w:ascii="Arial" w:cs="Arial" w:eastAsia="Arial" w:hAnsi="Arial"/>
                <w:sz w:val="14"/>
                <w:szCs w:val="14"/>
                <w:color w:val="auto"/>
              </w:rPr>
              <w:t>14,485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7141210" cy="2813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1210" cy="281305"/>
                    </a:xfrm>
                    <a:prstGeom prst="rect">
                      <a:avLst/>
                    </a:prstGeom>
                    <a:noFill/>
                  </pic:spPr>
                </pic:pic>
              </a:graphicData>
            </a:graphic>
          </wp:anchor>
        </w:drawing>
      </w:r>
    </w:p>
    <w:p>
      <w:pPr>
        <w:sectPr>
          <w:pgSz w:w="11900" w:h="16838" w:orient="portrait"/>
          <w:cols w:equalWidth="0" w:num="1">
            <w:col w:w="11240"/>
          </w:cols>
          <w:pgMar w:left="320" w:top="254" w:right="339" w:bottom="1440" w:gutter="0" w:footer="0" w:header="0"/>
        </w:sectPr>
      </w:pPr>
    </w:p>
    <w:p>
      <w:pPr>
        <w:ind w:left="20"/>
        <w:spacing w:after="0"/>
        <w:rPr>
          <w:sz w:val="20"/>
          <w:szCs w:val="20"/>
          <w:color w:val="auto"/>
        </w:rPr>
      </w:pPr>
      <w:r>
        <w:rPr>
          <w:rFonts w:ascii="Arial" w:cs="Arial" w:eastAsia="Arial" w:hAnsi="Arial"/>
          <w:sz w:val="14"/>
          <w:szCs w:val="14"/>
          <w:b w:val="1"/>
          <w:bCs w:val="1"/>
          <w:color w:val="auto"/>
        </w:rPr>
        <w:t>Average Invested Capital</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ROIC</w:t>
      </w:r>
    </w:p>
    <w:p>
      <w:pPr>
        <w:spacing w:after="0" w:line="20" w:lineRule="exact"/>
        <w:rPr>
          <w:sz w:val="20"/>
          <w:szCs w:val="20"/>
          <w:color w:val="auto"/>
        </w:rPr>
      </w:pPr>
      <w:r>
        <w:rPr>
          <w:sz w:val="20"/>
          <w:szCs w:val="20"/>
          <w:color w:val="auto"/>
        </w:rPr>
        <w:br w:type="column"/>
      </w:r>
    </w:p>
    <w:p>
      <w:pPr>
        <w:ind w:left="437" w:hanging="437"/>
        <w:spacing w:after="0"/>
        <w:tabs>
          <w:tab w:leader="none" w:pos="437" w:val="left"/>
        </w:tabs>
        <w:numPr>
          <w:ilvl w:val="0"/>
          <w:numId w:val="128"/>
        </w:numPr>
        <w:rPr>
          <w:rFonts w:ascii="Arial" w:cs="Arial" w:eastAsia="Arial" w:hAnsi="Arial"/>
          <w:sz w:val="14"/>
          <w:szCs w:val="14"/>
          <w:b w:val="1"/>
          <w:bCs w:val="1"/>
          <w:color w:val="auto"/>
        </w:rPr>
      </w:pPr>
      <w:r>
        <w:rPr>
          <w:rFonts w:ascii="Arial" w:cs="Arial" w:eastAsia="Arial" w:hAnsi="Arial"/>
          <w:sz w:val="14"/>
          <w:szCs w:val="14"/>
          <w:b w:val="1"/>
          <w:bCs w:val="1"/>
          <w:color w:val="auto"/>
        </w:rPr>
        <w:t>32,475</w:t>
      </w:r>
    </w:p>
    <w:p>
      <w:pPr>
        <w:spacing w:after="0" w:line="49" w:lineRule="exact"/>
        <w:rPr>
          <w:rFonts w:ascii="Arial" w:cs="Arial" w:eastAsia="Arial" w:hAnsi="Arial"/>
          <w:sz w:val="14"/>
          <w:szCs w:val="14"/>
          <w:b w:val="1"/>
          <w:bCs w:val="1"/>
          <w:color w:val="auto"/>
        </w:rPr>
      </w:pPr>
    </w:p>
    <w:p>
      <w:pPr>
        <w:ind w:left="597"/>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22.6 %</w:t>
      </w:r>
    </w:p>
    <w:p>
      <w:pPr>
        <w:spacing w:after="0" w:line="200" w:lineRule="exact"/>
        <w:rPr>
          <w:sz w:val="20"/>
          <w:szCs w:val="20"/>
          <w:color w:val="auto"/>
        </w:rPr>
      </w:pPr>
    </w:p>
    <w:p>
      <w:pPr>
        <w:sectPr>
          <w:pgSz w:w="11900" w:h="16838" w:orient="portrait"/>
          <w:cols w:equalWidth="0" w:num="2">
            <w:col w:w="9463" w:space="720"/>
            <w:col w:w="1057"/>
          </w:cols>
          <w:pgMar w:left="320" w:top="254" w:right="339" w:bottom="1440" w:gutter="0" w:footer="0" w:header="0"/>
          <w:type w:val="continuous"/>
        </w:sectPr>
      </w:pPr>
    </w:p>
    <w:p>
      <w:pPr>
        <w:spacing w:after="0" w:line="36" w:lineRule="exact"/>
        <w:rPr>
          <w:sz w:val="20"/>
          <w:szCs w:val="20"/>
          <w:color w:val="auto"/>
        </w:rPr>
      </w:pPr>
    </w:p>
    <w:p>
      <w:pPr>
        <w:ind w:left="340" w:hanging="333"/>
        <w:spacing w:after="0"/>
        <w:tabs>
          <w:tab w:leader="none" w:pos="340" w:val="left"/>
        </w:tabs>
        <w:numPr>
          <w:ilvl w:val="0"/>
          <w:numId w:val="129"/>
        </w:numPr>
        <w:rPr>
          <w:rFonts w:ascii="Arial" w:cs="Arial" w:eastAsia="Arial" w:hAnsi="Arial"/>
          <w:sz w:val="9"/>
          <w:szCs w:val="9"/>
          <w:color w:val="auto"/>
        </w:rPr>
      </w:pPr>
      <w:r>
        <w:rPr>
          <w:rFonts w:ascii="Arial" w:cs="Arial" w:eastAsia="Arial" w:hAnsi="Arial"/>
          <w:sz w:val="17"/>
          <w:szCs w:val="17"/>
          <w:color w:val="auto"/>
        </w:rPr>
        <w:t>Three-year 2019-2021 values for Net Earnings, Interest Expense and any Return related adjustments reflect average values over the period.</w:t>
      </w:r>
    </w:p>
    <w:p>
      <w:pPr>
        <w:spacing w:after="0" w:line="73" w:lineRule="exact"/>
        <w:rPr>
          <w:rFonts w:ascii="Arial" w:cs="Arial" w:eastAsia="Arial" w:hAnsi="Arial"/>
          <w:sz w:val="9"/>
          <w:szCs w:val="9"/>
          <w:color w:val="auto"/>
        </w:rPr>
      </w:pPr>
    </w:p>
    <w:p>
      <w:pPr>
        <w:ind w:left="340" w:right="140" w:hanging="333"/>
        <w:spacing w:after="0" w:line="269" w:lineRule="auto"/>
        <w:tabs>
          <w:tab w:leader="none" w:pos="346" w:val="left"/>
        </w:tabs>
        <w:numPr>
          <w:ilvl w:val="0"/>
          <w:numId w:val="129"/>
        </w:numPr>
        <w:rPr>
          <w:rFonts w:ascii="Arial" w:cs="Arial" w:eastAsia="Arial" w:hAnsi="Arial"/>
          <w:sz w:val="9"/>
          <w:szCs w:val="9"/>
          <w:color w:val="auto"/>
        </w:rPr>
      </w:pPr>
      <w:r>
        <w:rPr>
          <w:rFonts w:ascii="Arial" w:cs="Arial" w:eastAsia="Arial" w:hAnsi="Arial"/>
          <w:sz w:val="17"/>
          <w:szCs w:val="17"/>
          <w:color w:val="auto"/>
        </w:rPr>
        <w:t>Net income and equity were adjusted to exclude the impact of the noncash, non-operating pension settlement charge of $1.7 billion ($1.3 billion after-tax) due to the 2021 pension risk transfer event. In addition, net income and equity were adjusted to neutralize pension-related impacts to the Company’s long range plan resulting solely from the implementation of the American Rescue Plan Act of 2021.</w:t>
      </w:r>
    </w:p>
    <w:p>
      <w:pPr>
        <w:spacing w:after="0" w:line="41" w:lineRule="exact"/>
        <w:rPr>
          <w:rFonts w:ascii="Arial" w:cs="Arial" w:eastAsia="Arial" w:hAnsi="Arial"/>
          <w:sz w:val="9"/>
          <w:szCs w:val="9"/>
          <w:color w:val="auto"/>
        </w:rPr>
      </w:pPr>
    </w:p>
    <w:p>
      <w:pPr>
        <w:ind w:left="340" w:right="200" w:hanging="333"/>
        <w:spacing w:after="0" w:line="274" w:lineRule="auto"/>
        <w:tabs>
          <w:tab w:leader="none" w:pos="341" w:val="left"/>
        </w:tabs>
        <w:numPr>
          <w:ilvl w:val="0"/>
          <w:numId w:val="129"/>
        </w:numPr>
        <w:rPr>
          <w:rFonts w:ascii="Arial" w:cs="Arial" w:eastAsia="Arial" w:hAnsi="Arial"/>
          <w:sz w:val="9"/>
          <w:szCs w:val="9"/>
          <w:color w:val="auto"/>
        </w:rPr>
      </w:pPr>
      <w:r>
        <w:rPr>
          <w:rFonts w:ascii="Arial" w:cs="Arial" w:eastAsia="Arial" w:hAnsi="Arial"/>
          <w:sz w:val="17"/>
          <w:szCs w:val="17"/>
          <w:color w:val="auto"/>
        </w:rPr>
        <w:t>Represents after-tax interest expense utilizing the U.S. federal statutory tax rate of 21 percent in 2019-2021. Interest expense is added back to net earnings as it represents the return to debt holders. Debt is included as a component of average invested capital.</w:t>
      </w:r>
    </w:p>
    <w:p>
      <w:pPr>
        <w:spacing w:after="0" w:line="37" w:lineRule="exact"/>
        <w:rPr>
          <w:rFonts w:ascii="Arial" w:cs="Arial" w:eastAsia="Arial" w:hAnsi="Arial"/>
          <w:sz w:val="9"/>
          <w:szCs w:val="9"/>
          <w:color w:val="auto"/>
        </w:rPr>
      </w:pPr>
    </w:p>
    <w:p>
      <w:pPr>
        <w:ind w:left="340" w:hanging="333"/>
        <w:spacing w:after="0"/>
        <w:tabs>
          <w:tab w:leader="none" w:pos="340" w:val="left"/>
        </w:tabs>
        <w:numPr>
          <w:ilvl w:val="0"/>
          <w:numId w:val="129"/>
        </w:numPr>
        <w:rPr>
          <w:rFonts w:ascii="Arial" w:cs="Arial" w:eastAsia="Arial" w:hAnsi="Arial"/>
          <w:sz w:val="9"/>
          <w:szCs w:val="9"/>
          <w:color w:val="auto"/>
        </w:rPr>
      </w:pPr>
      <w:r>
        <w:rPr>
          <w:rFonts w:ascii="Arial" w:cs="Arial" w:eastAsia="Arial" w:hAnsi="Arial"/>
          <w:sz w:val="17"/>
          <w:szCs w:val="17"/>
          <w:color w:val="auto"/>
        </w:rPr>
        <w:t>Debt consists of long-term debt, including current maturities, and short-term borrowings (if any).</w:t>
      </w:r>
    </w:p>
    <w:p>
      <w:pPr>
        <w:spacing w:after="0" w:line="73" w:lineRule="exact"/>
        <w:rPr>
          <w:rFonts w:ascii="Arial" w:cs="Arial" w:eastAsia="Arial" w:hAnsi="Arial"/>
          <w:sz w:val="9"/>
          <w:szCs w:val="9"/>
          <w:color w:val="auto"/>
        </w:rPr>
      </w:pPr>
    </w:p>
    <w:p>
      <w:pPr>
        <w:ind w:left="340" w:right="180" w:hanging="333"/>
        <w:spacing w:after="0" w:line="274" w:lineRule="auto"/>
        <w:tabs>
          <w:tab w:leader="none" w:pos="346" w:val="left"/>
        </w:tabs>
        <w:numPr>
          <w:ilvl w:val="0"/>
          <w:numId w:val="129"/>
        </w:numPr>
        <w:rPr>
          <w:rFonts w:ascii="Arial" w:cs="Arial" w:eastAsia="Arial" w:hAnsi="Arial"/>
          <w:sz w:val="9"/>
          <w:szCs w:val="9"/>
          <w:color w:val="auto"/>
        </w:rPr>
      </w:pPr>
      <w:r>
        <w:rPr>
          <w:rFonts w:ascii="Arial" w:cs="Arial" w:eastAsia="Arial" w:hAnsi="Arial"/>
          <w:sz w:val="17"/>
          <w:szCs w:val="17"/>
          <w:color w:val="auto"/>
        </w:rPr>
        <w:t>The three-year averages are calculated using thirteen quarter point balances at the start of the plan performance period and at the end of each quarter for each of the three-years in the performance period.</w:t>
      </w:r>
    </w:p>
    <w:p>
      <w:pPr>
        <w:spacing w:after="0" w:line="37" w:lineRule="exact"/>
        <w:rPr>
          <w:rFonts w:ascii="Arial" w:cs="Arial" w:eastAsia="Arial" w:hAnsi="Arial"/>
          <w:sz w:val="9"/>
          <w:szCs w:val="9"/>
          <w:color w:val="auto"/>
        </w:rPr>
      </w:pPr>
    </w:p>
    <w:p>
      <w:pPr>
        <w:ind w:left="320" w:hanging="313"/>
        <w:spacing w:after="0"/>
        <w:tabs>
          <w:tab w:leader="none" w:pos="320" w:val="left"/>
        </w:tabs>
        <w:numPr>
          <w:ilvl w:val="0"/>
          <w:numId w:val="129"/>
        </w:numPr>
        <w:rPr>
          <w:rFonts w:ascii="Arial" w:cs="Arial" w:eastAsia="Arial" w:hAnsi="Arial"/>
          <w:sz w:val="9"/>
          <w:szCs w:val="9"/>
          <w:color w:val="auto"/>
        </w:rPr>
      </w:pPr>
      <w:r>
        <w:rPr>
          <w:rFonts w:ascii="Arial" w:cs="Arial" w:eastAsia="Arial" w:hAnsi="Arial"/>
          <w:sz w:val="17"/>
          <w:szCs w:val="17"/>
          <w:color w:val="auto"/>
        </w:rPr>
        <w:t>Equity includes non-cash adjustments, primarily to recognize the funded/unfunded status of the Company’s post-retirement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255270</wp:posOffset>
            </wp:positionV>
            <wp:extent cx="963930" cy="2216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87</w:t>
      </w:r>
    </w:p>
    <w:p>
      <w:pPr>
        <w:sectPr>
          <w:pgSz w:w="11900" w:h="16838" w:orient="portrait"/>
          <w:cols w:equalWidth="0" w:num="1">
            <w:col w:w="11240"/>
          </w:cols>
          <w:pgMar w:left="320" w:top="254" w:right="339" w:bottom="1440" w:gutter="0" w:footer="0" w:header="0"/>
          <w:type w:val="continuous"/>
        </w:sectPr>
      </w:pPr>
    </w:p>
    <w:bookmarkStart w:id="93" w:name="page94"/>
    <w:bookmarkEnd w:id="93"/>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130" w:lineRule="exact"/>
        <w:rPr>
          <w:sz w:val="20"/>
          <w:szCs w:val="20"/>
          <w:color w:val="auto"/>
        </w:rPr>
      </w:pPr>
    </w:p>
    <w:p>
      <w:pPr>
        <w:jc w:val="right"/>
        <w:spacing w:after="0"/>
        <w:rPr>
          <w:sz w:val="20"/>
          <w:szCs w:val="20"/>
          <w:color w:val="auto"/>
        </w:rPr>
      </w:pPr>
      <w:r>
        <w:rPr>
          <w:rFonts w:ascii="Arial" w:cs="Arial" w:eastAsia="Arial" w:hAnsi="Arial"/>
          <w:sz w:val="15"/>
          <w:szCs w:val="15"/>
          <w:color w:val="003478"/>
        </w:rPr>
        <w:t>Appendix A: Definition of Non-GAAP (Generally Accepted Accounting Principles) Measures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25"/>
          <w:szCs w:val="25"/>
          <w:color w:val="818EB4"/>
        </w:rPr>
        <w:t>Performance Cash</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Performance Cash represents the Company’s Cash from Operations adjusted for items as described in the PSU and LTIP award agreements. For the 2019-2021 performance cycle award agreements, Cash from Operations was adjusted for the items in the table below to calculate Performance Cash.</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580" w:type="dxa"/>
            <w:vAlign w:val="bottom"/>
            <w:shd w:val="clear" w:color="auto" w:fill="E5E7EF"/>
          </w:tcPr>
          <w:p>
            <w:pPr>
              <w:spacing w:after="0"/>
              <w:rPr>
                <w:sz w:val="14"/>
                <w:szCs w:val="14"/>
                <w:color w:val="auto"/>
              </w:rPr>
            </w:pPr>
          </w:p>
        </w:tc>
        <w:tc>
          <w:tcPr>
            <w:tcW w:w="1660" w:type="dxa"/>
            <w:vAlign w:val="bottom"/>
            <w:shd w:val="clear" w:color="auto" w:fill="E5E7EF"/>
          </w:tcPr>
          <w:p>
            <w:pPr>
              <w:jc w:val="right"/>
              <w:spacing w:after="0"/>
              <w:rPr>
                <w:sz w:val="20"/>
                <w:szCs w:val="20"/>
                <w:color w:val="auto"/>
              </w:rPr>
            </w:pPr>
            <w:r>
              <w:rPr>
                <w:rFonts w:ascii="Arial" w:cs="Arial" w:eastAsia="Arial" w:hAnsi="Arial"/>
                <w:sz w:val="13"/>
                <w:szCs w:val="13"/>
                <w:color w:val="auto"/>
              </w:rPr>
              <w:t>2019-2021</w:t>
            </w:r>
          </w:p>
        </w:tc>
      </w:tr>
      <w:tr>
        <w:trPr>
          <w:trHeight w:val="265"/>
        </w:trPr>
        <w:tc>
          <w:tcPr>
            <w:tcW w:w="9580" w:type="dxa"/>
            <w:vAlign w:val="bottom"/>
            <w:tcBorders>
              <w:bottom w:val="single" w:sz="8" w:color="E5E7EF"/>
            </w:tcBorders>
            <w:shd w:val="clear" w:color="auto" w:fill="E5E7EF"/>
          </w:tcPr>
          <w:p>
            <w:pPr>
              <w:ind w:left="20"/>
              <w:spacing w:after="0"/>
              <w:rPr>
                <w:sz w:val="20"/>
                <w:szCs w:val="20"/>
                <w:color w:val="auto"/>
              </w:rPr>
            </w:pPr>
            <w:r>
              <w:rPr>
                <w:rFonts w:ascii="Arial" w:cs="Arial" w:eastAsia="Arial" w:hAnsi="Arial"/>
                <w:sz w:val="13"/>
                <w:szCs w:val="13"/>
                <w:color w:val="auto"/>
              </w:rPr>
              <w:t>Cash Flow ($M)</w:t>
            </w:r>
          </w:p>
        </w:tc>
        <w:tc>
          <w:tcPr>
            <w:tcW w:w="1660" w:type="dxa"/>
            <w:vAlign w:val="bottom"/>
            <w:tcBorders>
              <w:bottom w:val="single" w:sz="8" w:color="E5E7EF"/>
            </w:tcBorders>
            <w:shd w:val="clear" w:color="auto" w:fill="E5E7EF"/>
          </w:tcPr>
          <w:p>
            <w:pPr>
              <w:jc w:val="right"/>
              <w:spacing w:after="0"/>
              <w:rPr>
                <w:sz w:val="20"/>
                <w:szCs w:val="20"/>
                <w:color w:val="auto"/>
              </w:rPr>
            </w:pPr>
            <w:r>
              <w:rPr>
                <w:rFonts w:ascii="Arial" w:cs="Arial" w:eastAsia="Arial" w:hAnsi="Arial"/>
                <w:sz w:val="13"/>
                <w:szCs w:val="13"/>
                <w:color w:val="auto"/>
              </w:rPr>
              <w:t>($)</w:t>
            </w:r>
          </w:p>
        </w:tc>
      </w:tr>
      <w:tr>
        <w:trPr>
          <w:trHeight w:val="195"/>
        </w:trPr>
        <w:tc>
          <w:tcPr>
            <w:tcW w:w="9580" w:type="dxa"/>
            <w:vAlign w:val="bottom"/>
            <w:tcBorders>
              <w:top w:val="single" w:sz="8" w:color="003478"/>
              <w:bottom w:val="single" w:sz="8" w:color="959595"/>
            </w:tcBorders>
          </w:tcPr>
          <w:p>
            <w:pPr>
              <w:ind w:left="20"/>
              <w:spacing w:after="0"/>
              <w:rPr>
                <w:sz w:val="20"/>
                <w:szCs w:val="20"/>
                <w:color w:val="auto"/>
              </w:rPr>
            </w:pPr>
            <w:r>
              <w:rPr>
                <w:rFonts w:ascii="Arial" w:cs="Arial" w:eastAsia="Arial" w:hAnsi="Arial"/>
                <w:sz w:val="14"/>
                <w:szCs w:val="14"/>
                <w:b w:val="1"/>
                <w:bCs w:val="1"/>
                <w:color w:val="auto"/>
              </w:rPr>
              <w:t>Cash from Operations (GAAP)</w:t>
            </w:r>
          </w:p>
        </w:tc>
        <w:tc>
          <w:tcPr>
            <w:tcW w:w="1660" w:type="dxa"/>
            <w:vAlign w:val="bottom"/>
            <w:tcBorders>
              <w:top w:val="single" w:sz="8" w:color="003478"/>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24,715</w:t>
            </w:r>
          </w:p>
        </w:tc>
      </w:tr>
      <w:tr>
        <w:trPr>
          <w:trHeight w:val="189"/>
        </w:trPr>
        <w:tc>
          <w:tcPr>
            <w:tcW w:w="958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Pension Funding Adjustment</w:t>
            </w:r>
          </w:p>
        </w:tc>
        <w:tc>
          <w:tcPr>
            <w:tcW w:w="1660" w:type="dxa"/>
            <w:vAlign w:val="bottom"/>
            <w:tcBorders>
              <w:bottom w:val="single" w:sz="8" w:color="959595"/>
            </w:tcBorders>
          </w:tcPr>
          <w:p>
            <w:pPr>
              <w:spacing w:after="0"/>
              <w:rPr>
                <w:sz w:val="16"/>
                <w:szCs w:val="16"/>
                <w:color w:val="auto"/>
              </w:rPr>
            </w:pPr>
          </w:p>
        </w:tc>
      </w:tr>
      <w:tr>
        <w:trPr>
          <w:trHeight w:val="201"/>
        </w:trPr>
        <w:tc>
          <w:tcPr>
            <w:tcW w:w="958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Actual Pension Funding</w:t>
            </w:r>
          </w:p>
        </w:tc>
        <w:tc>
          <w:tcPr>
            <w:tcW w:w="1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2,483</w:t>
            </w:r>
          </w:p>
        </w:tc>
      </w:tr>
      <w:tr>
        <w:trPr>
          <w:trHeight w:val="195"/>
        </w:trPr>
        <w:tc>
          <w:tcPr>
            <w:tcW w:w="9580" w:type="dxa"/>
            <w:vAlign w:val="bottom"/>
            <w:tcBorders>
              <w:bottom w:val="single" w:sz="8" w:color="959595"/>
            </w:tcBorders>
          </w:tcPr>
          <w:p>
            <w:pPr>
              <w:ind w:left="240"/>
              <w:spacing w:after="0"/>
              <w:rPr>
                <w:sz w:val="20"/>
                <w:szCs w:val="20"/>
                <w:color w:val="auto"/>
              </w:rPr>
            </w:pPr>
            <w:r>
              <w:rPr>
                <w:rFonts w:ascii="Arial" w:cs="Arial" w:eastAsia="Arial" w:hAnsi="Arial"/>
                <w:sz w:val="14"/>
                <w:szCs w:val="14"/>
                <w:color w:val="auto"/>
              </w:rPr>
              <w:t>Planned Pension Funding</w:t>
            </w:r>
          </w:p>
        </w:tc>
        <w:tc>
          <w:tcPr>
            <w:tcW w:w="1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2,844</w:t>
            </w:r>
          </w:p>
        </w:tc>
      </w:tr>
      <w:tr>
        <w:trPr>
          <w:trHeight w:val="195"/>
        </w:trPr>
        <w:tc>
          <w:tcPr>
            <w:tcW w:w="9580" w:type="dxa"/>
            <w:vAlign w:val="bottom"/>
            <w:tcBorders>
              <w:bottom w:val="single" w:sz="8" w:color="959595"/>
            </w:tcBorders>
          </w:tcPr>
          <w:p>
            <w:pPr>
              <w:ind w:left="260"/>
              <w:spacing w:after="0"/>
              <w:rPr>
                <w:sz w:val="20"/>
                <w:szCs w:val="20"/>
                <w:color w:val="auto"/>
              </w:rPr>
            </w:pPr>
            <w:r>
              <w:rPr>
                <w:rFonts w:ascii="Arial" w:cs="Arial" w:eastAsia="Arial" w:hAnsi="Arial"/>
                <w:sz w:val="14"/>
                <w:szCs w:val="14"/>
                <w:color w:val="auto"/>
              </w:rPr>
              <w:t>Delta: Forecasted vs. Actual Pension Contributions</w:t>
            </w:r>
          </w:p>
        </w:tc>
        <w:tc>
          <w:tcPr>
            <w:tcW w:w="1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(361)</w:t>
            </w:r>
          </w:p>
        </w:tc>
      </w:tr>
      <w:tr>
        <w:trPr>
          <w:trHeight w:val="195"/>
        </w:trPr>
        <w:tc>
          <w:tcPr>
            <w:tcW w:w="958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Adjustment for Unplanned Tax Payments related to Divestitures</w:t>
            </w:r>
          </w:p>
        </w:tc>
        <w:tc>
          <w:tcPr>
            <w:tcW w:w="1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37</w:t>
            </w:r>
          </w:p>
        </w:tc>
      </w:tr>
      <w:tr>
        <w:trPr>
          <w:trHeight w:val="195"/>
        </w:trPr>
        <w:tc>
          <w:tcPr>
            <w:tcW w:w="958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Adjustment for Unplanned Tax Payments related to Reduction in Planned Pension Contributions</w:t>
            </w:r>
          </w:p>
        </w:tc>
        <w:tc>
          <w:tcPr>
            <w:tcW w:w="1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457</w:t>
            </w:r>
          </w:p>
        </w:tc>
      </w:tr>
      <w:tr>
        <w:trPr>
          <w:trHeight w:val="182"/>
        </w:trPr>
        <w:tc>
          <w:tcPr>
            <w:tcW w:w="9580" w:type="dxa"/>
            <w:vAlign w:val="bottom"/>
            <w:tcBorders>
              <w:bottom w:val="single" w:sz="8" w:color="959595"/>
            </w:tcBorders>
          </w:tcPr>
          <w:p>
            <w:pPr>
              <w:ind w:left="60"/>
              <w:spacing w:after="0"/>
              <w:rPr>
                <w:sz w:val="20"/>
                <w:szCs w:val="20"/>
                <w:color w:val="auto"/>
              </w:rPr>
            </w:pPr>
            <w:r>
              <w:rPr>
                <w:rFonts w:ascii="Arial" w:cs="Arial" w:eastAsia="Arial" w:hAnsi="Arial"/>
                <w:sz w:val="14"/>
                <w:szCs w:val="14"/>
                <w:color w:val="auto"/>
              </w:rPr>
              <w:t>Adjustment for Implementation of American Rescue Plan Act</w:t>
            </w:r>
          </w:p>
        </w:tc>
        <w:tc>
          <w:tcPr>
            <w:tcW w:w="1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3</w:t>
            </w:r>
          </w:p>
        </w:tc>
      </w:tr>
      <w:tr>
        <w:trPr>
          <w:trHeight w:val="195"/>
        </w:trPr>
        <w:tc>
          <w:tcPr>
            <w:tcW w:w="9580" w:type="dxa"/>
            <w:vAlign w:val="bottom"/>
            <w:tcBorders>
              <w:bottom w:val="single" w:sz="8" w:color="959595"/>
            </w:tcBorders>
          </w:tcPr>
          <w:p>
            <w:pPr>
              <w:ind w:left="60"/>
              <w:spacing w:after="0"/>
              <w:rPr>
                <w:sz w:val="20"/>
                <w:szCs w:val="20"/>
                <w:color w:val="auto"/>
              </w:rPr>
            </w:pPr>
            <w:r>
              <w:rPr>
                <w:rFonts w:ascii="Arial" w:cs="Arial" w:eastAsia="Arial" w:hAnsi="Arial"/>
                <w:sz w:val="14"/>
                <w:szCs w:val="14"/>
                <w:i w:val="1"/>
                <w:iCs w:val="1"/>
                <w:color w:val="auto"/>
              </w:rPr>
              <w:t>Net Adjusting Items</w:t>
            </w:r>
          </w:p>
        </w:tc>
        <w:tc>
          <w:tcPr>
            <w:tcW w:w="1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color w:val="auto"/>
              </w:rPr>
              <w:t>136</w:t>
            </w:r>
          </w:p>
        </w:tc>
      </w:tr>
      <w:tr>
        <w:trPr>
          <w:trHeight w:val="195"/>
        </w:trPr>
        <w:tc>
          <w:tcPr>
            <w:tcW w:w="9580" w:type="dxa"/>
            <w:vAlign w:val="bottom"/>
            <w:tcBorders>
              <w:bottom w:val="single" w:sz="8" w:color="959595"/>
            </w:tcBorders>
          </w:tcPr>
          <w:p>
            <w:pPr>
              <w:ind w:left="20"/>
              <w:spacing w:after="0"/>
              <w:rPr>
                <w:sz w:val="20"/>
                <w:szCs w:val="20"/>
                <w:color w:val="auto"/>
              </w:rPr>
            </w:pPr>
            <w:r>
              <w:rPr>
                <w:rFonts w:ascii="Arial" w:cs="Arial" w:eastAsia="Arial" w:hAnsi="Arial"/>
                <w:sz w:val="14"/>
                <w:szCs w:val="14"/>
                <w:b w:val="1"/>
                <w:bCs w:val="1"/>
                <w:color w:val="auto"/>
              </w:rPr>
              <w:t>Performance Cash (Non-GAAP)</w:t>
            </w:r>
          </w:p>
        </w:tc>
        <w:tc>
          <w:tcPr>
            <w:tcW w:w="1660" w:type="dxa"/>
            <w:vAlign w:val="bottom"/>
            <w:tcBorders>
              <w:bottom w:val="single" w:sz="8" w:color="959595"/>
            </w:tcBorders>
          </w:tcPr>
          <w:p>
            <w:pPr>
              <w:jc w:val="right"/>
              <w:spacing w:after="0"/>
              <w:rPr>
                <w:sz w:val="20"/>
                <w:szCs w:val="20"/>
                <w:color w:val="auto"/>
              </w:rPr>
            </w:pPr>
            <w:r>
              <w:rPr>
                <w:rFonts w:ascii="Arial" w:cs="Arial" w:eastAsia="Arial" w:hAnsi="Arial"/>
                <w:sz w:val="14"/>
                <w:szCs w:val="14"/>
                <w:b w:val="1"/>
                <w:bCs w:val="1"/>
                <w:color w:val="auto"/>
              </w:rPr>
              <w:t>24,851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8600" w:val="left"/>
          <w:tab w:leader="none" w:pos="11040" w:val="left"/>
        </w:tabs>
        <w:rPr>
          <w:sz w:val="20"/>
          <w:szCs w:val="20"/>
          <w:color w:val="auto"/>
        </w:rPr>
      </w:pPr>
      <w:r>
        <w:rPr>
          <w:rFonts w:ascii="Arial" w:cs="Arial" w:eastAsia="Arial" w:hAnsi="Arial"/>
          <w:sz w:val="15"/>
          <w:szCs w:val="15"/>
          <w:color w:val="003478"/>
        </w:rPr>
        <w:t>www.lockheedmartin.com</w:t>
      </w:r>
      <w:r>
        <w:rPr>
          <w:sz w:val="20"/>
          <w:szCs w:val="20"/>
          <w:color w:val="auto"/>
        </w:rPr>
        <w:tab/>
      </w:r>
      <w:r>
        <w:rPr>
          <w:rFonts w:ascii="Arial" w:cs="Arial" w:eastAsia="Arial" w:hAnsi="Arial"/>
          <w:sz w:val="15"/>
          <w:szCs w:val="15"/>
          <w:color w:val="003478"/>
        </w:rPr>
        <w:t>2022 Proxy Statement</w:t>
      </w:r>
      <w:r>
        <w:rPr>
          <w:sz w:val="20"/>
          <w:szCs w:val="20"/>
          <w:color w:val="auto"/>
        </w:rPr>
        <w:tab/>
      </w:r>
      <w:r>
        <w:rPr>
          <w:rFonts w:ascii="Arial" w:cs="Arial" w:eastAsia="Arial" w:hAnsi="Arial"/>
          <w:sz w:val="14"/>
          <w:szCs w:val="14"/>
          <w:b w:val="1"/>
          <w:bCs w:val="1"/>
          <w:color w:val="808080"/>
        </w:rPr>
        <w:t>88</w:t>
      </w:r>
    </w:p>
    <w:p>
      <w:pPr>
        <w:sectPr>
          <w:pgSz w:w="11900" w:h="16838" w:orient="portrait"/>
          <w:cols w:equalWidth="0" w:num="1">
            <w:col w:w="11240"/>
          </w:cols>
          <w:pgMar w:left="320" w:top="254" w:right="339" w:bottom="1440" w:gutter="0" w:footer="0" w:header="0"/>
        </w:sectPr>
      </w:pPr>
    </w:p>
    <w:bookmarkStart w:id="94" w:name="page95"/>
    <w:bookmarkEnd w:id="94"/>
    <w:p>
      <w:pPr>
        <w:spacing w:after="0"/>
        <w:rPr>
          <w:rFonts w:ascii="Arial" w:cs="Arial" w:eastAsia="Arial" w:hAnsi="Arial"/>
          <w:sz w:val="17"/>
          <w:szCs w:val="17"/>
          <w:u w:val="single" w:color="auto"/>
          <w:color w:val="0000FF"/>
        </w:rPr>
      </w:pPr>
      <w:hyperlink w:anchor="page5">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5"/>
          <w:szCs w:val="25"/>
          <w:color w:val="818EB4"/>
        </w:rPr>
        <w:t>Disclosure Regarding Forward-Looking Statements</w:t>
      </w:r>
    </w:p>
    <w:p>
      <w:pPr>
        <w:spacing w:after="0" w:line="68"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This Proxy Statement contains statements that, to the extent they are not recitations of historical fact, constitute forward-looking statements within the meaning of the federal securities laws, and are based on Lockheed Martin’s current expectations and assumptions. The words “believe,” “estimate,” “anticipate,” “project,” “intend,” “expect,” “plan,” “outlook,” “scheduled,” “forecast” and similar expressions are intended to identify forward-looking statements. These statements are not guarantees of future performance and are subject to risks and uncertainties. Actual results may differ materially due to factors such as:</w:t>
      </w:r>
    </w:p>
    <w:p>
      <w:pPr>
        <w:sectPr>
          <w:pgSz w:w="11900" w:h="16838" w:orient="portrait"/>
          <w:cols w:equalWidth="0" w:num="1">
            <w:col w:w="11220"/>
          </w:cols>
          <w:pgMar w:left="320" w:top="254" w:right="359" w:bottom="1440" w:gutter="0" w:footer="0" w:header="0"/>
        </w:sectPr>
      </w:pPr>
    </w:p>
    <w:p>
      <w:pPr>
        <w:spacing w:after="0" w:line="105" w:lineRule="exact"/>
        <w:rPr>
          <w:sz w:val="20"/>
          <w:szCs w:val="20"/>
          <w:color w:val="auto"/>
        </w:rPr>
      </w:pPr>
    </w:p>
    <w:p>
      <w:pPr>
        <w:ind w:left="260" w:right="160" w:hanging="154"/>
        <w:spacing w:after="0" w:line="196" w:lineRule="auto"/>
        <w:tabs>
          <w:tab w:leader="none" w:pos="236" w:val="left"/>
        </w:tabs>
        <w:numPr>
          <w:ilvl w:val="0"/>
          <w:numId w:val="130"/>
        </w:numPr>
        <w:rPr>
          <w:rFonts w:ascii="Arial" w:cs="Arial" w:eastAsia="Arial" w:hAnsi="Arial"/>
          <w:sz w:val="16"/>
          <w:szCs w:val="16"/>
          <w:color w:val="003478"/>
        </w:rPr>
      </w:pPr>
      <w:r>
        <w:rPr>
          <w:rFonts w:ascii="Arial" w:cs="Arial" w:eastAsia="Arial" w:hAnsi="Arial"/>
          <w:sz w:val="16"/>
          <w:szCs w:val="16"/>
          <w:color w:val="auto"/>
        </w:rPr>
        <w:t>the impact of COVID-19 or future epidemics on our business, including potential supply chain disruptions, facility closures, work stoppages, program delays, payment policies and regulations, our ability to recover our costs under contracts and uncertainty regarding the impacts of potential vaccine mandates or other requirements;</w:t>
      </w:r>
    </w:p>
    <w:p>
      <w:pPr>
        <w:spacing w:after="0" w:line="1" w:lineRule="exact"/>
        <w:rPr>
          <w:rFonts w:ascii="Arial" w:cs="Arial" w:eastAsia="Arial" w:hAnsi="Arial"/>
          <w:sz w:val="16"/>
          <w:szCs w:val="16"/>
          <w:color w:val="003478"/>
        </w:rPr>
      </w:pPr>
    </w:p>
    <w:p>
      <w:pPr>
        <w:ind w:left="260" w:right="80" w:hanging="154"/>
        <w:spacing w:after="0" w:line="198" w:lineRule="auto"/>
        <w:tabs>
          <w:tab w:leader="none" w:pos="236" w:val="left"/>
        </w:tabs>
        <w:numPr>
          <w:ilvl w:val="0"/>
          <w:numId w:val="130"/>
        </w:numPr>
        <w:rPr>
          <w:rFonts w:ascii="Arial" w:cs="Arial" w:eastAsia="Arial" w:hAnsi="Arial"/>
          <w:sz w:val="16"/>
          <w:szCs w:val="16"/>
          <w:color w:val="003478"/>
        </w:rPr>
      </w:pPr>
      <w:r>
        <w:rPr>
          <w:rFonts w:ascii="Arial" w:cs="Arial" w:eastAsia="Arial" w:hAnsi="Arial"/>
          <w:sz w:val="16"/>
          <w:szCs w:val="16"/>
          <w:color w:val="auto"/>
        </w:rPr>
        <w:t>budget uncertainty, the risk of future budget cuts, the debt ceiling and the potential for government shutdowns and changing funding and acquisition priorities;</w:t>
      </w:r>
    </w:p>
    <w:p>
      <w:pPr>
        <w:spacing w:after="0" w:line="1" w:lineRule="exact"/>
        <w:rPr>
          <w:rFonts w:ascii="Arial" w:cs="Arial" w:eastAsia="Arial" w:hAnsi="Arial"/>
          <w:sz w:val="16"/>
          <w:szCs w:val="16"/>
          <w:color w:val="003478"/>
        </w:rPr>
      </w:pPr>
    </w:p>
    <w:p>
      <w:pPr>
        <w:jc w:val="both"/>
        <w:ind w:left="260" w:right="20" w:hanging="154"/>
        <w:spacing w:after="0" w:line="204" w:lineRule="auto"/>
        <w:tabs>
          <w:tab w:leader="none" w:pos="236" w:val="left"/>
        </w:tabs>
        <w:numPr>
          <w:ilvl w:val="0"/>
          <w:numId w:val="130"/>
        </w:numPr>
        <w:rPr>
          <w:rFonts w:ascii="Arial" w:cs="Arial" w:eastAsia="Arial" w:hAnsi="Arial"/>
          <w:sz w:val="16"/>
          <w:szCs w:val="16"/>
          <w:color w:val="003478"/>
        </w:rPr>
      </w:pPr>
      <w:r>
        <w:rPr>
          <w:rFonts w:ascii="Arial" w:cs="Arial" w:eastAsia="Arial" w:hAnsi="Arial"/>
          <w:sz w:val="16"/>
          <w:szCs w:val="16"/>
          <w:color w:val="auto"/>
        </w:rPr>
        <w:t>our reliance on contracts with the U.S. Government, which are dependent on U.S. Government funding and can be terminated for convenience, and our ability to negotiate favorable contract terms;</w:t>
      </w:r>
    </w:p>
    <w:p>
      <w:pPr>
        <w:spacing w:after="0" w:line="1" w:lineRule="exact"/>
        <w:rPr>
          <w:rFonts w:ascii="Arial" w:cs="Arial" w:eastAsia="Arial" w:hAnsi="Arial"/>
          <w:sz w:val="16"/>
          <w:szCs w:val="16"/>
          <w:color w:val="003478"/>
        </w:rPr>
      </w:pPr>
    </w:p>
    <w:p>
      <w:pPr>
        <w:ind w:left="260" w:right="160" w:hanging="154"/>
        <w:spacing w:after="0" w:line="198" w:lineRule="auto"/>
        <w:tabs>
          <w:tab w:leader="none" w:pos="236" w:val="left"/>
        </w:tabs>
        <w:numPr>
          <w:ilvl w:val="0"/>
          <w:numId w:val="130"/>
        </w:numPr>
        <w:rPr>
          <w:rFonts w:ascii="Arial" w:cs="Arial" w:eastAsia="Arial" w:hAnsi="Arial"/>
          <w:sz w:val="16"/>
          <w:szCs w:val="16"/>
          <w:color w:val="003478"/>
        </w:rPr>
      </w:pPr>
      <w:r>
        <w:rPr>
          <w:rFonts w:ascii="Arial" w:cs="Arial" w:eastAsia="Arial" w:hAnsi="Arial"/>
          <w:sz w:val="16"/>
          <w:szCs w:val="16"/>
          <w:color w:val="auto"/>
        </w:rPr>
        <w:t>risks related to the development, production, sustainment, performance, schedule, cost and requirements of complex and technologically advanced programs including the F-35 program;</w:t>
      </w:r>
    </w:p>
    <w:p>
      <w:pPr>
        <w:spacing w:after="0" w:line="1" w:lineRule="exact"/>
        <w:rPr>
          <w:rFonts w:ascii="Arial" w:cs="Arial" w:eastAsia="Arial" w:hAnsi="Arial"/>
          <w:sz w:val="16"/>
          <w:szCs w:val="16"/>
          <w:color w:val="003478"/>
        </w:rPr>
      </w:pPr>
    </w:p>
    <w:p>
      <w:pPr>
        <w:jc w:val="both"/>
        <w:ind w:left="260" w:right="40" w:hanging="154"/>
        <w:spacing w:after="0" w:line="201" w:lineRule="auto"/>
        <w:tabs>
          <w:tab w:leader="none" w:pos="236" w:val="left"/>
        </w:tabs>
        <w:numPr>
          <w:ilvl w:val="0"/>
          <w:numId w:val="130"/>
        </w:numPr>
        <w:rPr>
          <w:rFonts w:ascii="Arial" w:cs="Arial" w:eastAsia="Arial" w:hAnsi="Arial"/>
          <w:sz w:val="16"/>
          <w:szCs w:val="16"/>
          <w:color w:val="003478"/>
        </w:rPr>
      </w:pPr>
      <w:r>
        <w:rPr>
          <w:rFonts w:ascii="Arial" w:cs="Arial" w:eastAsia="Arial" w:hAnsi="Arial"/>
          <w:sz w:val="16"/>
          <w:szCs w:val="16"/>
          <w:color w:val="auto"/>
        </w:rPr>
        <w:t>planned production rates and orders for significant programs; compliance with stringent performance and reliability standards; materials availability;</w:t>
      </w:r>
    </w:p>
    <w:p>
      <w:pPr>
        <w:ind w:left="260" w:right="420" w:hanging="154"/>
        <w:spacing w:after="0" w:line="210" w:lineRule="auto"/>
        <w:tabs>
          <w:tab w:leader="none" w:pos="236" w:val="left"/>
        </w:tabs>
        <w:numPr>
          <w:ilvl w:val="0"/>
          <w:numId w:val="130"/>
        </w:numPr>
        <w:rPr>
          <w:rFonts w:ascii="Arial" w:cs="Arial" w:eastAsia="Arial" w:hAnsi="Arial"/>
          <w:sz w:val="16"/>
          <w:szCs w:val="16"/>
          <w:color w:val="003478"/>
        </w:rPr>
      </w:pPr>
      <w:r>
        <w:rPr>
          <w:rFonts w:ascii="Arial" w:cs="Arial" w:eastAsia="Arial" w:hAnsi="Arial"/>
          <w:sz w:val="16"/>
          <w:szCs w:val="16"/>
          <w:color w:val="auto"/>
        </w:rPr>
        <w:t>performance and financial viability of key suppliers, teammates, joint ventures and partners, subcontractors and customers;</w:t>
      </w:r>
    </w:p>
    <w:p>
      <w:pPr>
        <w:ind w:left="260" w:hanging="154"/>
        <w:spacing w:after="0" w:line="197" w:lineRule="auto"/>
        <w:tabs>
          <w:tab w:leader="none" w:pos="236" w:val="left"/>
        </w:tabs>
        <w:numPr>
          <w:ilvl w:val="0"/>
          <w:numId w:val="130"/>
        </w:numPr>
        <w:rPr>
          <w:rFonts w:ascii="Arial" w:cs="Arial" w:eastAsia="Arial" w:hAnsi="Arial"/>
          <w:sz w:val="16"/>
          <w:szCs w:val="16"/>
          <w:color w:val="003478"/>
        </w:rPr>
      </w:pPr>
      <w:r>
        <w:rPr>
          <w:rFonts w:ascii="Arial" w:cs="Arial" w:eastAsia="Arial" w:hAnsi="Arial"/>
          <w:sz w:val="16"/>
          <w:szCs w:val="16"/>
          <w:color w:val="auto"/>
        </w:rPr>
        <w:t>economic, industry, business and political conditions including their effects on governmental policy and government actions that disrupt our supply chain or prevent the sale or delivery of our products (such as delays in approvals for exports requiring Congressional notification);</w:t>
      </w:r>
    </w:p>
    <w:p>
      <w:pPr>
        <w:jc w:val="both"/>
        <w:ind w:left="260" w:right="40" w:hanging="154"/>
        <w:spacing w:after="0" w:line="198" w:lineRule="auto"/>
        <w:tabs>
          <w:tab w:leader="none" w:pos="236" w:val="left"/>
        </w:tabs>
        <w:numPr>
          <w:ilvl w:val="0"/>
          <w:numId w:val="130"/>
        </w:numPr>
        <w:rPr>
          <w:rFonts w:ascii="Arial" w:cs="Arial" w:eastAsia="Arial" w:hAnsi="Arial"/>
          <w:sz w:val="16"/>
          <w:szCs w:val="16"/>
          <w:color w:val="003478"/>
        </w:rPr>
      </w:pPr>
      <w:r>
        <w:rPr>
          <w:rFonts w:ascii="Arial" w:cs="Arial" w:eastAsia="Arial" w:hAnsi="Arial"/>
          <w:sz w:val="16"/>
          <w:szCs w:val="16"/>
          <w:color w:val="auto"/>
        </w:rPr>
        <w:t>trade policies or sanctions (including potential Chinese sanctions on us or our suppliers, teammates or partners and U.S. Government sanctions on Turkey and its removal from the F-35 program);</w:t>
      </w:r>
    </w:p>
    <w:p>
      <w:pPr>
        <w:spacing w:after="0" w:line="1" w:lineRule="exact"/>
        <w:rPr>
          <w:rFonts w:ascii="Arial" w:cs="Arial" w:eastAsia="Arial" w:hAnsi="Arial"/>
          <w:sz w:val="16"/>
          <w:szCs w:val="16"/>
          <w:color w:val="003478"/>
        </w:rPr>
      </w:pPr>
    </w:p>
    <w:p>
      <w:pPr>
        <w:ind w:left="260" w:right="140" w:hanging="154"/>
        <w:spacing w:after="0" w:line="210" w:lineRule="auto"/>
        <w:tabs>
          <w:tab w:leader="none" w:pos="236" w:val="left"/>
        </w:tabs>
        <w:numPr>
          <w:ilvl w:val="0"/>
          <w:numId w:val="130"/>
        </w:numPr>
        <w:rPr>
          <w:rFonts w:ascii="Arial" w:cs="Arial" w:eastAsia="Arial" w:hAnsi="Arial"/>
          <w:sz w:val="16"/>
          <w:szCs w:val="16"/>
          <w:color w:val="003478"/>
        </w:rPr>
      </w:pPr>
      <w:r>
        <w:rPr>
          <w:rFonts w:ascii="Arial" w:cs="Arial" w:eastAsia="Arial" w:hAnsi="Arial"/>
          <w:sz w:val="16"/>
          <w:szCs w:val="16"/>
          <w:color w:val="auto"/>
        </w:rPr>
        <w:t>our success expanding into and doing business in adjacent markets and internationally and the differing risks posed by international sales;</w:t>
      </w:r>
    </w:p>
    <w:p>
      <w:pPr>
        <w:ind w:left="260" w:right="20" w:hanging="154"/>
        <w:spacing w:after="0" w:line="201" w:lineRule="auto"/>
        <w:tabs>
          <w:tab w:leader="none" w:pos="236" w:val="left"/>
        </w:tabs>
        <w:numPr>
          <w:ilvl w:val="0"/>
          <w:numId w:val="130"/>
        </w:numPr>
        <w:rPr>
          <w:rFonts w:ascii="Arial" w:cs="Arial" w:eastAsia="Arial" w:hAnsi="Arial"/>
          <w:sz w:val="16"/>
          <w:szCs w:val="16"/>
          <w:color w:val="003478"/>
        </w:rPr>
      </w:pPr>
      <w:r>
        <w:rPr>
          <w:rFonts w:ascii="Arial" w:cs="Arial" w:eastAsia="Arial" w:hAnsi="Arial"/>
          <w:sz w:val="16"/>
          <w:szCs w:val="16"/>
          <w:color w:val="auto"/>
        </w:rPr>
        <w:t>changes in foreign national priorities and foreign government budgets and planned orders;</w:t>
      </w:r>
    </w:p>
    <w:p>
      <w:pPr>
        <w:ind w:left="260" w:right="280" w:hanging="154"/>
        <w:spacing w:after="0" w:line="196" w:lineRule="auto"/>
        <w:tabs>
          <w:tab w:leader="none" w:pos="236" w:val="left"/>
        </w:tabs>
        <w:numPr>
          <w:ilvl w:val="0"/>
          <w:numId w:val="130"/>
        </w:numPr>
        <w:rPr>
          <w:rFonts w:ascii="Arial" w:cs="Arial" w:eastAsia="Arial" w:hAnsi="Arial"/>
          <w:sz w:val="16"/>
          <w:szCs w:val="16"/>
          <w:color w:val="003478"/>
        </w:rPr>
      </w:pPr>
      <w:r>
        <w:rPr>
          <w:rFonts w:ascii="Arial" w:cs="Arial" w:eastAsia="Arial" w:hAnsi="Arial"/>
          <w:sz w:val="16"/>
          <w:szCs w:val="16"/>
          <w:color w:val="auto"/>
        </w:rPr>
        <w:t>the competitive environment for our products and services, including increased pricing pressures, aggressive pricing in the absence of cost realism evaluation criteria, competition from emerging competitors including startups and non-traditional defense contractors, and bid protests;</w:t>
      </w:r>
    </w:p>
    <w:p>
      <w:pPr>
        <w:spacing w:after="0" w:line="1" w:lineRule="exact"/>
        <w:rPr>
          <w:rFonts w:ascii="Arial" w:cs="Arial" w:eastAsia="Arial" w:hAnsi="Arial"/>
          <w:sz w:val="16"/>
          <w:szCs w:val="16"/>
          <w:color w:val="003478"/>
        </w:rPr>
      </w:pPr>
    </w:p>
    <w:p>
      <w:pPr>
        <w:ind w:left="260" w:right="880" w:hanging="154"/>
        <w:spacing w:after="0" w:line="210" w:lineRule="auto"/>
        <w:tabs>
          <w:tab w:leader="none" w:pos="236" w:val="left"/>
        </w:tabs>
        <w:numPr>
          <w:ilvl w:val="0"/>
          <w:numId w:val="130"/>
        </w:numPr>
        <w:rPr>
          <w:rFonts w:ascii="Arial" w:cs="Arial" w:eastAsia="Arial" w:hAnsi="Arial"/>
          <w:sz w:val="16"/>
          <w:szCs w:val="16"/>
          <w:color w:val="003478"/>
        </w:rPr>
      </w:pPr>
      <w:r>
        <w:rPr>
          <w:rFonts w:ascii="Arial" w:cs="Arial" w:eastAsia="Arial" w:hAnsi="Arial"/>
          <w:sz w:val="16"/>
          <w:szCs w:val="16"/>
          <w:color w:val="auto"/>
        </w:rPr>
        <w:t>the timing and customer acceptance of product deliveries and performance milestones;</w:t>
      </w:r>
    </w:p>
    <w:p>
      <w:pPr>
        <w:ind w:left="260" w:right="80" w:hanging="154"/>
        <w:spacing w:after="0" w:line="222" w:lineRule="auto"/>
        <w:tabs>
          <w:tab w:leader="none" w:pos="236" w:val="left"/>
        </w:tabs>
        <w:numPr>
          <w:ilvl w:val="0"/>
          <w:numId w:val="130"/>
        </w:numPr>
        <w:rPr>
          <w:rFonts w:ascii="Arial" w:cs="Arial" w:eastAsia="Arial" w:hAnsi="Arial"/>
          <w:sz w:val="16"/>
          <w:szCs w:val="16"/>
          <w:color w:val="003478"/>
        </w:rPr>
      </w:pPr>
      <w:r>
        <w:rPr>
          <w:rFonts w:ascii="Arial" w:cs="Arial" w:eastAsia="Arial" w:hAnsi="Arial"/>
          <w:sz w:val="16"/>
          <w:szCs w:val="16"/>
          <w:color w:val="auto"/>
        </w:rPr>
        <w:t>our ability to develop new technologies and products, including emerging digital and network technologies and capabilities;</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left="158" w:right="380" w:hanging="158"/>
        <w:spacing w:after="0" w:line="201" w:lineRule="auto"/>
        <w:tabs>
          <w:tab w:leader="none" w:pos="133" w:val="left"/>
        </w:tabs>
        <w:numPr>
          <w:ilvl w:val="0"/>
          <w:numId w:val="131"/>
        </w:numPr>
        <w:rPr>
          <w:rFonts w:ascii="Arial" w:cs="Arial" w:eastAsia="Arial" w:hAnsi="Arial"/>
          <w:sz w:val="16"/>
          <w:szCs w:val="16"/>
          <w:color w:val="003478"/>
        </w:rPr>
      </w:pPr>
      <w:r>
        <w:rPr>
          <w:rFonts w:ascii="Arial" w:cs="Arial" w:eastAsia="Arial" w:hAnsi="Arial"/>
          <w:sz w:val="16"/>
          <w:szCs w:val="16"/>
          <w:color w:val="auto"/>
        </w:rPr>
        <w:t>our ability to attract and retain a highly skilled workforce; the impact of work stoppages or other labor disruptions;</w:t>
      </w:r>
    </w:p>
    <w:p>
      <w:pPr>
        <w:ind w:left="158" w:right="460" w:hanging="158"/>
        <w:spacing w:after="0" w:line="201" w:lineRule="auto"/>
        <w:tabs>
          <w:tab w:leader="none" w:pos="133" w:val="left"/>
        </w:tabs>
        <w:numPr>
          <w:ilvl w:val="0"/>
          <w:numId w:val="131"/>
        </w:numPr>
        <w:rPr>
          <w:rFonts w:ascii="Arial" w:cs="Arial" w:eastAsia="Arial" w:hAnsi="Arial"/>
          <w:sz w:val="16"/>
          <w:szCs w:val="16"/>
          <w:color w:val="002E6D"/>
        </w:rPr>
      </w:pPr>
      <w:r>
        <w:rPr>
          <w:rFonts w:ascii="Arial" w:cs="Arial" w:eastAsia="Arial" w:hAnsi="Arial"/>
          <w:sz w:val="16"/>
          <w:szCs w:val="16"/>
          <w:color w:val="auto"/>
        </w:rPr>
        <w:t>cyber or other security threats or other disruptions faced by us or our suppliers;</w:t>
      </w:r>
    </w:p>
    <w:p>
      <w:pPr>
        <w:ind w:left="158" w:right="580" w:hanging="158"/>
        <w:spacing w:after="0" w:line="204" w:lineRule="auto"/>
        <w:tabs>
          <w:tab w:leader="none" w:pos="133" w:val="left"/>
        </w:tabs>
        <w:numPr>
          <w:ilvl w:val="0"/>
          <w:numId w:val="131"/>
        </w:numPr>
        <w:rPr>
          <w:rFonts w:ascii="Arial" w:cs="Arial" w:eastAsia="Arial" w:hAnsi="Arial"/>
          <w:sz w:val="16"/>
          <w:szCs w:val="16"/>
          <w:color w:val="002E6D"/>
        </w:rPr>
      </w:pPr>
      <w:r>
        <w:rPr>
          <w:rFonts w:ascii="Arial" w:cs="Arial" w:eastAsia="Arial" w:hAnsi="Arial"/>
          <w:sz w:val="16"/>
          <w:szCs w:val="16"/>
          <w:color w:val="auto"/>
        </w:rPr>
        <w:t>our ability to implement and continue, and the timing and impact of, capitalization changes such as share repurchases and dividend payments;</w:t>
      </w:r>
    </w:p>
    <w:p>
      <w:pPr>
        <w:spacing w:after="0" w:line="1" w:lineRule="exact"/>
        <w:rPr>
          <w:rFonts w:ascii="Arial" w:cs="Arial" w:eastAsia="Arial" w:hAnsi="Arial"/>
          <w:sz w:val="16"/>
          <w:szCs w:val="16"/>
          <w:color w:val="002E6D"/>
        </w:rPr>
      </w:pPr>
    </w:p>
    <w:p>
      <w:pPr>
        <w:ind w:left="158" w:right="240" w:hanging="158"/>
        <w:spacing w:after="0" w:line="198" w:lineRule="auto"/>
        <w:tabs>
          <w:tab w:leader="none" w:pos="133" w:val="left"/>
        </w:tabs>
        <w:numPr>
          <w:ilvl w:val="0"/>
          <w:numId w:val="131"/>
        </w:numPr>
        <w:rPr>
          <w:rFonts w:ascii="Arial" w:cs="Arial" w:eastAsia="Arial" w:hAnsi="Arial"/>
          <w:sz w:val="16"/>
          <w:szCs w:val="16"/>
          <w:color w:val="003478"/>
        </w:rPr>
      </w:pPr>
      <w:r>
        <w:rPr>
          <w:rFonts w:ascii="Arial" w:cs="Arial" w:eastAsia="Arial" w:hAnsi="Arial"/>
          <w:sz w:val="16"/>
          <w:szCs w:val="16"/>
          <w:color w:val="auto"/>
        </w:rPr>
        <w:t>our ability to recover costs under U.S. Government contracts, our mix of fixed-price and cost-reimbursable contracts and the impacts of cost overruns and significant increases in inflation;</w:t>
      </w:r>
    </w:p>
    <w:p>
      <w:pPr>
        <w:spacing w:after="0" w:line="1" w:lineRule="exact"/>
        <w:rPr>
          <w:rFonts w:ascii="Arial" w:cs="Arial" w:eastAsia="Arial" w:hAnsi="Arial"/>
          <w:sz w:val="16"/>
          <w:szCs w:val="16"/>
          <w:color w:val="003478"/>
        </w:rPr>
      </w:pPr>
    </w:p>
    <w:p>
      <w:pPr>
        <w:ind w:left="138" w:hanging="138"/>
        <w:spacing w:after="0" w:line="210" w:lineRule="auto"/>
        <w:tabs>
          <w:tab w:leader="none" w:pos="138" w:val="left"/>
        </w:tabs>
        <w:numPr>
          <w:ilvl w:val="0"/>
          <w:numId w:val="131"/>
        </w:numPr>
        <w:rPr>
          <w:rFonts w:ascii="Arial" w:cs="Arial" w:eastAsia="Arial" w:hAnsi="Arial"/>
          <w:sz w:val="16"/>
          <w:szCs w:val="16"/>
          <w:color w:val="003478"/>
        </w:rPr>
      </w:pPr>
      <w:r>
        <w:rPr>
          <w:rFonts w:ascii="Arial" w:cs="Arial" w:eastAsia="Arial" w:hAnsi="Arial"/>
          <w:sz w:val="16"/>
          <w:szCs w:val="16"/>
          <w:color w:val="auto"/>
        </w:rPr>
        <w:t>the accuracy of our estimates and projections;</w:t>
      </w:r>
    </w:p>
    <w:p>
      <w:pPr>
        <w:ind w:left="158" w:right="180" w:hanging="158"/>
        <w:spacing w:after="0" w:line="198" w:lineRule="auto"/>
        <w:tabs>
          <w:tab w:leader="none" w:pos="133" w:val="left"/>
        </w:tabs>
        <w:numPr>
          <w:ilvl w:val="0"/>
          <w:numId w:val="131"/>
        </w:numPr>
        <w:rPr>
          <w:rFonts w:ascii="Arial" w:cs="Arial" w:eastAsia="Arial" w:hAnsi="Arial"/>
          <w:sz w:val="16"/>
          <w:szCs w:val="16"/>
          <w:color w:val="003478"/>
        </w:rPr>
      </w:pPr>
      <w:r>
        <w:rPr>
          <w:rFonts w:ascii="Arial" w:cs="Arial" w:eastAsia="Arial" w:hAnsi="Arial"/>
          <w:sz w:val="16"/>
          <w:szCs w:val="16"/>
          <w:color w:val="auto"/>
        </w:rPr>
        <w:t>the impact of pension risk transfers, including potential noncash settlement charges; timing and estimates regarding pension funding and movements in interest rates and other changes that may affect pension plan assumptions, stockholders’ equity, the level of the FAS/CAS adjustment; actual returns on pension plan assets and the impact of pension related legislation;</w:t>
      </w:r>
    </w:p>
    <w:p>
      <w:pPr>
        <w:spacing w:after="0" w:line="2" w:lineRule="exact"/>
        <w:rPr>
          <w:rFonts w:ascii="Arial" w:cs="Arial" w:eastAsia="Arial" w:hAnsi="Arial"/>
          <w:sz w:val="16"/>
          <w:szCs w:val="16"/>
          <w:color w:val="003478"/>
        </w:rPr>
      </w:pPr>
    </w:p>
    <w:p>
      <w:pPr>
        <w:ind w:left="138" w:hanging="138"/>
        <w:spacing w:after="0" w:line="210" w:lineRule="auto"/>
        <w:tabs>
          <w:tab w:leader="none" w:pos="138" w:val="left"/>
        </w:tabs>
        <w:numPr>
          <w:ilvl w:val="0"/>
          <w:numId w:val="131"/>
        </w:numPr>
        <w:rPr>
          <w:rFonts w:ascii="Arial" w:cs="Arial" w:eastAsia="Arial" w:hAnsi="Arial"/>
          <w:sz w:val="16"/>
          <w:szCs w:val="16"/>
          <w:color w:val="003478"/>
        </w:rPr>
      </w:pPr>
      <w:r>
        <w:rPr>
          <w:rFonts w:ascii="Arial" w:cs="Arial" w:eastAsia="Arial" w:hAnsi="Arial"/>
          <w:sz w:val="16"/>
          <w:szCs w:val="16"/>
          <w:color w:val="auto"/>
        </w:rPr>
        <w:t>the successful operation of joint ventures that we don't control;</w:t>
      </w:r>
    </w:p>
    <w:p>
      <w:pPr>
        <w:ind w:left="158" w:right="320" w:hanging="158"/>
        <w:spacing w:after="0" w:line="197" w:lineRule="auto"/>
        <w:tabs>
          <w:tab w:leader="none" w:pos="133" w:val="left"/>
        </w:tabs>
        <w:numPr>
          <w:ilvl w:val="0"/>
          <w:numId w:val="131"/>
        </w:numPr>
        <w:rPr>
          <w:rFonts w:ascii="Arial" w:cs="Arial" w:eastAsia="Arial" w:hAnsi="Arial"/>
          <w:sz w:val="16"/>
          <w:szCs w:val="16"/>
          <w:color w:val="003478"/>
        </w:rPr>
      </w:pPr>
      <w:r>
        <w:rPr>
          <w:rFonts w:ascii="Arial" w:cs="Arial" w:eastAsia="Arial" w:hAnsi="Arial"/>
          <w:sz w:val="16"/>
          <w:szCs w:val="16"/>
          <w:color w:val="auto"/>
        </w:rPr>
        <w:t>realizing the anticipated benefits of acquisitions or divestitures, investments, joint ventures, teaming arrangements or internal reorganizations, and market volatility in the fair value of investments in the Lockheed Martin Ventures Fund that are marked to market;</w:t>
      </w:r>
    </w:p>
    <w:p>
      <w:pPr>
        <w:ind w:left="158" w:right="360" w:hanging="158"/>
        <w:spacing w:after="0" w:line="210" w:lineRule="auto"/>
        <w:tabs>
          <w:tab w:leader="none" w:pos="133" w:val="left"/>
        </w:tabs>
        <w:numPr>
          <w:ilvl w:val="0"/>
          <w:numId w:val="131"/>
        </w:numPr>
        <w:rPr>
          <w:rFonts w:ascii="Arial" w:cs="Arial" w:eastAsia="Arial" w:hAnsi="Arial"/>
          <w:sz w:val="16"/>
          <w:szCs w:val="16"/>
          <w:color w:val="003478"/>
        </w:rPr>
      </w:pPr>
      <w:r>
        <w:rPr>
          <w:rFonts w:ascii="Arial" w:cs="Arial" w:eastAsia="Arial" w:hAnsi="Arial"/>
          <w:sz w:val="16"/>
          <w:szCs w:val="16"/>
          <w:color w:val="auto"/>
        </w:rPr>
        <w:t>our efforts to increase the efficiency of our operations and improve the affordability of our products and services;</w:t>
      </w:r>
    </w:p>
    <w:p>
      <w:pPr>
        <w:ind w:left="158" w:right="140" w:hanging="158"/>
        <w:spacing w:after="0" w:line="198" w:lineRule="auto"/>
        <w:tabs>
          <w:tab w:leader="none" w:pos="133" w:val="left"/>
        </w:tabs>
        <w:numPr>
          <w:ilvl w:val="0"/>
          <w:numId w:val="131"/>
        </w:numPr>
        <w:rPr>
          <w:rFonts w:ascii="Arial" w:cs="Arial" w:eastAsia="Arial" w:hAnsi="Arial"/>
          <w:sz w:val="16"/>
          <w:szCs w:val="16"/>
          <w:color w:val="003478"/>
        </w:rPr>
      </w:pPr>
      <w:r>
        <w:rPr>
          <w:rFonts w:ascii="Arial" w:cs="Arial" w:eastAsia="Arial" w:hAnsi="Arial"/>
          <w:sz w:val="16"/>
          <w:szCs w:val="16"/>
          <w:color w:val="auto"/>
        </w:rPr>
        <w:t>the risk of an impairment of our assets, including the potential impairment of goodwill recorded as a result of the acquisition of the Sikorsky business;</w:t>
      </w:r>
    </w:p>
    <w:p>
      <w:pPr>
        <w:spacing w:after="0" w:line="1" w:lineRule="exact"/>
        <w:rPr>
          <w:rFonts w:ascii="Arial" w:cs="Arial" w:eastAsia="Arial" w:hAnsi="Arial"/>
          <w:sz w:val="16"/>
          <w:szCs w:val="16"/>
          <w:color w:val="003478"/>
        </w:rPr>
      </w:pPr>
    </w:p>
    <w:p>
      <w:pPr>
        <w:ind w:left="138" w:hanging="138"/>
        <w:spacing w:after="0" w:line="210" w:lineRule="auto"/>
        <w:tabs>
          <w:tab w:leader="none" w:pos="138" w:val="left"/>
        </w:tabs>
        <w:numPr>
          <w:ilvl w:val="0"/>
          <w:numId w:val="131"/>
        </w:numPr>
        <w:rPr>
          <w:rFonts w:ascii="Arial" w:cs="Arial" w:eastAsia="Arial" w:hAnsi="Arial"/>
          <w:sz w:val="16"/>
          <w:szCs w:val="16"/>
          <w:color w:val="003478"/>
        </w:rPr>
      </w:pPr>
      <w:r>
        <w:rPr>
          <w:rFonts w:ascii="Arial" w:cs="Arial" w:eastAsia="Arial" w:hAnsi="Arial"/>
          <w:sz w:val="16"/>
          <w:szCs w:val="16"/>
          <w:color w:val="auto"/>
        </w:rPr>
        <w:t>the availability and adequacy of our insurance and indemnities;</w:t>
      </w:r>
    </w:p>
    <w:p>
      <w:pPr>
        <w:ind w:left="158" w:right="620" w:hanging="158"/>
        <w:spacing w:after="0" w:line="210" w:lineRule="auto"/>
        <w:tabs>
          <w:tab w:leader="none" w:pos="133" w:val="left"/>
        </w:tabs>
        <w:numPr>
          <w:ilvl w:val="0"/>
          <w:numId w:val="131"/>
        </w:numPr>
        <w:rPr>
          <w:rFonts w:ascii="Arial" w:cs="Arial" w:eastAsia="Arial" w:hAnsi="Arial"/>
          <w:sz w:val="16"/>
          <w:szCs w:val="16"/>
          <w:color w:val="003478"/>
        </w:rPr>
      </w:pPr>
      <w:r>
        <w:rPr>
          <w:rFonts w:ascii="Arial" w:cs="Arial" w:eastAsia="Arial" w:hAnsi="Arial"/>
          <w:sz w:val="16"/>
          <w:szCs w:val="16"/>
          <w:color w:val="auto"/>
        </w:rPr>
        <w:t>our ability to benefit fully from or adequately protect our intellectual property rights;</w:t>
      </w:r>
    </w:p>
    <w:p>
      <w:pPr>
        <w:ind w:left="158" w:right="300" w:hanging="158"/>
        <w:spacing w:after="0" w:line="196" w:lineRule="auto"/>
        <w:tabs>
          <w:tab w:leader="none" w:pos="133" w:val="left"/>
        </w:tabs>
        <w:numPr>
          <w:ilvl w:val="0"/>
          <w:numId w:val="131"/>
        </w:numPr>
        <w:rPr>
          <w:rFonts w:ascii="Arial" w:cs="Arial" w:eastAsia="Arial" w:hAnsi="Arial"/>
          <w:sz w:val="16"/>
          <w:szCs w:val="16"/>
          <w:color w:val="003478"/>
        </w:rPr>
      </w:pPr>
      <w:r>
        <w:rPr>
          <w:rFonts w:ascii="Arial" w:cs="Arial" w:eastAsia="Arial" w:hAnsi="Arial"/>
          <w:sz w:val="16"/>
          <w:szCs w:val="16"/>
          <w:color w:val="auto"/>
        </w:rPr>
        <w:t>procurement and other regulations and policies affecting our industry, export of our products, cost allowability or recovery, preferred contract type, and performance and progress payments policy, including a reversal or modification to the DoD’s increase to the progress payment rate in response to COVID-19;</w:t>
      </w:r>
    </w:p>
    <w:p>
      <w:pPr>
        <w:spacing w:after="0" w:line="1" w:lineRule="exact"/>
        <w:rPr>
          <w:rFonts w:ascii="Arial" w:cs="Arial" w:eastAsia="Arial" w:hAnsi="Arial"/>
          <w:sz w:val="16"/>
          <w:szCs w:val="16"/>
          <w:color w:val="003478"/>
        </w:rPr>
      </w:pPr>
    </w:p>
    <w:p>
      <w:pPr>
        <w:ind w:left="158" w:right="640" w:hanging="158"/>
        <w:spacing w:after="0" w:line="201" w:lineRule="auto"/>
        <w:tabs>
          <w:tab w:leader="none" w:pos="133" w:val="left"/>
        </w:tabs>
        <w:numPr>
          <w:ilvl w:val="0"/>
          <w:numId w:val="131"/>
        </w:numPr>
        <w:rPr>
          <w:rFonts w:ascii="Arial" w:cs="Arial" w:eastAsia="Arial" w:hAnsi="Arial"/>
          <w:sz w:val="16"/>
          <w:szCs w:val="16"/>
          <w:color w:val="003478"/>
        </w:rPr>
      </w:pPr>
      <w:r>
        <w:rPr>
          <w:rFonts w:ascii="Arial" w:cs="Arial" w:eastAsia="Arial" w:hAnsi="Arial"/>
          <w:sz w:val="16"/>
          <w:szCs w:val="16"/>
          <w:color w:val="auto"/>
        </w:rPr>
        <w:t>changes in accounting, U.S. or foreign tax, export or other laws, regulations and policies and their interpretation or application; and</w:t>
      </w:r>
    </w:p>
    <w:p>
      <w:pPr>
        <w:ind w:left="158" w:right="340" w:hanging="158"/>
        <w:spacing w:after="0" w:line="204" w:lineRule="auto"/>
        <w:tabs>
          <w:tab w:leader="none" w:pos="133" w:val="left"/>
        </w:tabs>
        <w:numPr>
          <w:ilvl w:val="0"/>
          <w:numId w:val="131"/>
        </w:numPr>
        <w:rPr>
          <w:rFonts w:ascii="Arial" w:cs="Arial" w:eastAsia="Arial" w:hAnsi="Arial"/>
          <w:sz w:val="16"/>
          <w:szCs w:val="16"/>
          <w:color w:val="003478"/>
        </w:rPr>
      </w:pPr>
      <w:r>
        <w:rPr>
          <w:rFonts w:ascii="Arial" w:cs="Arial" w:eastAsia="Arial" w:hAnsi="Arial"/>
          <w:sz w:val="16"/>
          <w:szCs w:val="16"/>
          <w:color w:val="auto"/>
        </w:rPr>
        <w:t>the outcome of legal proceedings, bid protests, environmental remediation efforts, audits, government investigations or government allegations that we have failed to comply with law, other contingencies and U.S. Government identification of deficiencies in our business systems.</w:t>
      </w:r>
    </w:p>
    <w:p>
      <w:pPr>
        <w:spacing w:after="0" w:line="137" w:lineRule="exact"/>
        <w:rPr>
          <w:sz w:val="20"/>
          <w:szCs w:val="20"/>
          <w:color w:val="auto"/>
        </w:rPr>
      </w:pPr>
    </w:p>
    <w:p>
      <w:pPr>
        <w:sectPr>
          <w:pgSz w:w="11900" w:h="16838" w:orient="portrait"/>
          <w:cols w:equalWidth="0" w:num="2">
            <w:col w:w="5520" w:space="202"/>
            <w:col w:w="5498"/>
          </w:cols>
          <w:pgMar w:left="320" w:top="254" w:right="359" w:bottom="1440" w:gutter="0" w:footer="0" w:header="0"/>
          <w:type w:val="continuous"/>
        </w:sectPr>
      </w:pPr>
    </w:p>
    <w:p>
      <w:pPr>
        <w:ind w:right="40"/>
        <w:spacing w:after="0" w:line="249" w:lineRule="auto"/>
        <w:rPr>
          <w:sz w:val="20"/>
          <w:szCs w:val="20"/>
          <w:color w:val="auto"/>
        </w:rPr>
      </w:pPr>
      <w:r>
        <w:rPr>
          <w:rFonts w:ascii="Arial" w:cs="Arial" w:eastAsia="Arial" w:hAnsi="Arial"/>
          <w:sz w:val="17"/>
          <w:szCs w:val="17"/>
          <w:color w:val="auto"/>
        </w:rPr>
        <w:t xml:space="preserve">These are only some of the factors that may affect the forward-looking statements contained in this Proxy Statement. For a discussion identifying additional important factors that could cause actual results to differ materially from those anticipated in the forward-looking statements, see our filings with the SEC including, but not limited to, “Management’s Discussion and Analysis of Financial Condition and Results of Operations” and “Risk Factors” in our Annual Report on Form 10-K for the year ended Dec. 31, 2021 and subsequent quarterly reports on Form 10-Q. Our filings may be accessed through the Investor Relations page of our website, </w:t>
      </w:r>
      <w:r>
        <w:rPr>
          <w:rFonts w:ascii="Arial" w:cs="Arial" w:eastAsia="Arial" w:hAnsi="Arial"/>
          <w:sz w:val="17"/>
          <w:szCs w:val="17"/>
          <w:i w:val="1"/>
          <w:iCs w:val="1"/>
          <w:color w:val="auto"/>
        </w:rPr>
        <w:t>www.lockheedmartin.com/investor</w:t>
      </w:r>
      <w:r>
        <w:rPr>
          <w:rFonts w:ascii="Arial" w:cs="Arial" w:eastAsia="Arial" w:hAnsi="Arial"/>
          <w:sz w:val="17"/>
          <w:szCs w:val="17"/>
          <w:color w:val="auto"/>
        </w:rPr>
        <w:t xml:space="preserve">, or through the website maintained by the SEC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73" w:lineRule="exact"/>
        <w:rPr>
          <w:sz w:val="20"/>
          <w:szCs w:val="20"/>
          <w:color w:val="auto"/>
        </w:rPr>
      </w:pPr>
    </w:p>
    <w:p>
      <w:pPr>
        <w:ind w:right="60"/>
        <w:spacing w:after="0" w:line="249" w:lineRule="auto"/>
        <w:rPr>
          <w:sz w:val="20"/>
          <w:szCs w:val="20"/>
          <w:color w:val="auto"/>
        </w:rPr>
      </w:pPr>
      <w:r>
        <w:rPr>
          <w:rFonts w:ascii="Arial" w:cs="Arial" w:eastAsia="Arial" w:hAnsi="Arial"/>
          <w:sz w:val="17"/>
          <w:szCs w:val="17"/>
          <w:color w:val="auto"/>
        </w:rPr>
        <w:t>Our actual financial results likely will be different from those projected due to the inherent nature of projections. Given these uncertainties, forward-looking statements should not be relied on in making investment decisions. The forward-looking statements contained in this Proxy Statement speak only as of the date of its filing. Except where required by applicable law, we expressly disclaim a duty to provide updates to forward-looking statements after the date of this Proxy Statement to reflect subsequent events, changed circumstances, changes in expectations, or the estimates and assumptions associated with them. The forward-looking statements in this Proxy Statement are intended to be subject to the safe harbor protection provided by the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246380</wp:posOffset>
            </wp:positionV>
            <wp:extent cx="963930" cy="2216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963930" cy="22161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808080"/>
        </w:rPr>
        <w:t>89</w:t>
      </w:r>
    </w:p>
    <w:p>
      <w:pPr>
        <w:sectPr>
          <w:pgSz w:w="11900" w:h="16838" w:orient="portrait"/>
          <w:cols w:equalWidth="0" w:num="1">
            <w:col w:w="11220"/>
          </w:cols>
          <w:pgMar w:left="320" w:top="254" w:right="359" w:bottom="1440" w:gutter="0" w:footer="0" w:header="0"/>
          <w:type w:val="continuous"/>
        </w:sectPr>
      </w:pPr>
    </w:p>
    <w:bookmarkStart w:id="95" w:name="page96"/>
    <w:bookmarkEnd w:id="9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rFonts w:ascii="Arial" w:cs="Arial" w:eastAsia="Arial" w:hAnsi="Arial"/>
          <w:sz w:val="25"/>
          <w:szCs w:val="25"/>
          <w:color w:val="003478"/>
        </w:rPr>
        <w:t>Sustainability Awards and Recognitions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183515</wp:posOffset>
            </wp:positionV>
            <wp:extent cx="33870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8709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354330</wp:posOffset>
            </wp:positionV>
            <wp:extent cx="1527175" cy="65722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527175" cy="65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1597"/>
        <w:spacing w:after="0" w:line="258" w:lineRule="auto"/>
        <w:rPr>
          <w:sz w:val="20"/>
          <w:szCs w:val="20"/>
          <w:color w:val="auto"/>
        </w:rPr>
      </w:pPr>
      <w:r>
        <w:rPr>
          <w:rFonts w:ascii="Arial" w:cs="Arial" w:eastAsia="Arial" w:hAnsi="Arial"/>
          <w:sz w:val="16"/>
          <w:szCs w:val="16"/>
          <w:color w:val="003478"/>
        </w:rPr>
        <w:t>Dow Jones Sustainability Indices World Index and North American Index Ranking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97155</wp:posOffset>
            </wp:positionV>
            <wp:extent cx="981075" cy="49466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981075" cy="49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003478"/>
        </w:rPr>
        <w:t>ENERGY STAR 2021 Partner of the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003478"/>
        </w:rPr>
        <w:t>Year Sustained Excellence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120650</wp:posOffset>
            </wp:positionV>
            <wp:extent cx="725170" cy="5118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170" cy="511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003478"/>
        </w:rPr>
        <w:t>Gold Brandon Hall</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003478"/>
        </w:rPr>
        <w:t>Human Capital Management Excellence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003478"/>
        </w:rPr>
        <w:t>Award for Excellence in Human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257175</wp:posOffset>
            </wp:positionV>
            <wp:extent cx="1971040" cy="5975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971040" cy="59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97"/>
        <w:spacing w:after="0" w:line="251" w:lineRule="auto"/>
        <w:rPr>
          <w:sz w:val="20"/>
          <w:szCs w:val="20"/>
          <w:color w:val="auto"/>
        </w:rPr>
      </w:pPr>
      <w:r>
        <w:rPr>
          <w:rFonts w:ascii="Arial" w:cs="Arial" w:eastAsia="Arial" w:hAnsi="Arial"/>
          <w:sz w:val="16"/>
          <w:szCs w:val="16"/>
          <w:color w:val="003478"/>
        </w:rPr>
        <w:t>JUST Capital: 1st of Aerospace &amp; Defense companies included in the JUST 100 for third consecutive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101600</wp:posOffset>
            </wp:positionV>
            <wp:extent cx="571500" cy="5715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71500" cy="57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003478"/>
        </w:rPr>
        <w:t>National Organization on Disability</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003478"/>
        </w:rPr>
        <w:t>2021 Leading Disability 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33870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870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003478"/>
        </w:rPr>
        <w:t>Lockheed Martin Corporation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003478"/>
        </w:rPr>
        <w:t>6801 Rockledge Drive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003478"/>
        </w:rPr>
        <w:t>Bethesda, MD 20817</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i w:val="1"/>
          <w:iCs w:val="1"/>
          <w:color w:val="003478"/>
        </w:rPr>
        <w:t>www.lockheedmartin.com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125095</wp:posOffset>
            </wp:positionV>
            <wp:extent cx="33870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870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43" w:hanging="243"/>
        <w:spacing w:after="0" w:line="257" w:lineRule="auto"/>
        <w:tabs>
          <w:tab w:leader="none" w:pos="208" w:val="left"/>
        </w:tabs>
        <w:numPr>
          <w:ilvl w:val="0"/>
          <w:numId w:val="132"/>
        </w:numPr>
        <w:rPr>
          <w:rFonts w:ascii="Arial" w:cs="Arial" w:eastAsia="Arial" w:hAnsi="Arial"/>
          <w:sz w:val="17"/>
          <w:szCs w:val="17"/>
          <w:color w:val="003478"/>
        </w:rPr>
      </w:pPr>
      <w:r>
        <w:rPr>
          <w:rFonts w:ascii="Arial" w:cs="Arial" w:eastAsia="Arial" w:hAnsi="Arial"/>
          <w:sz w:val="17"/>
          <w:szCs w:val="17"/>
          <w:color w:val="auto"/>
        </w:rPr>
        <w:t>Recognized as an industry leader and one of America’s Most JUST Companies by Forbes and JUST Capital</w:t>
      </w:r>
    </w:p>
    <w:p>
      <w:pPr>
        <w:spacing w:after="0" w:line="24" w:lineRule="exact"/>
        <w:rPr>
          <w:rFonts w:ascii="Arial" w:cs="Arial" w:eastAsia="Arial" w:hAnsi="Arial"/>
          <w:sz w:val="17"/>
          <w:szCs w:val="17"/>
          <w:color w:val="003478"/>
        </w:rPr>
      </w:pPr>
    </w:p>
    <w:p>
      <w:pPr>
        <w:ind w:left="203" w:hanging="203"/>
        <w:spacing w:after="0"/>
        <w:tabs>
          <w:tab w:leader="none" w:pos="203" w:val="left"/>
        </w:tabs>
        <w:numPr>
          <w:ilvl w:val="0"/>
          <w:numId w:val="132"/>
        </w:numPr>
        <w:rPr>
          <w:rFonts w:ascii="Arial" w:cs="Arial" w:eastAsia="Arial" w:hAnsi="Arial"/>
          <w:sz w:val="17"/>
          <w:szCs w:val="17"/>
          <w:color w:val="003478"/>
        </w:rPr>
      </w:pPr>
      <w:r>
        <w:rPr>
          <w:rFonts w:ascii="Arial" w:cs="Arial" w:eastAsia="Arial" w:hAnsi="Arial"/>
          <w:sz w:val="17"/>
          <w:szCs w:val="17"/>
          <w:color w:val="auto"/>
        </w:rPr>
        <w:t>Named one of Fortune’s World’s Most Admired Companies</w:t>
      </w:r>
    </w:p>
    <w:p>
      <w:pPr>
        <w:spacing w:after="0" w:line="59" w:lineRule="exact"/>
        <w:rPr>
          <w:rFonts w:ascii="Arial" w:cs="Arial" w:eastAsia="Arial" w:hAnsi="Arial"/>
          <w:sz w:val="17"/>
          <w:szCs w:val="17"/>
          <w:color w:val="003478"/>
        </w:rPr>
      </w:pPr>
    </w:p>
    <w:p>
      <w:pPr>
        <w:ind w:left="243" w:right="80" w:hanging="243"/>
        <w:spacing w:after="0" w:line="275" w:lineRule="auto"/>
        <w:tabs>
          <w:tab w:leader="none" w:pos="208" w:val="left"/>
        </w:tabs>
        <w:numPr>
          <w:ilvl w:val="0"/>
          <w:numId w:val="132"/>
        </w:numPr>
        <w:rPr>
          <w:rFonts w:ascii="Arial" w:cs="Arial" w:eastAsia="Arial" w:hAnsi="Arial"/>
          <w:sz w:val="16"/>
          <w:szCs w:val="16"/>
          <w:color w:val="003478"/>
        </w:rPr>
      </w:pPr>
      <w:r>
        <w:rPr>
          <w:rFonts w:ascii="Arial" w:cs="Arial" w:eastAsia="Arial" w:hAnsi="Arial"/>
          <w:sz w:val="16"/>
          <w:szCs w:val="16"/>
          <w:color w:val="auto"/>
        </w:rPr>
        <w:t>Earned a spot on the Dow Jones Sustainability World Index based on best-in-class sustainability practices for the 8th consecutive year, and our 9th consecutive year on the North American Index</w:t>
      </w:r>
    </w:p>
    <w:p>
      <w:pPr>
        <w:spacing w:after="0" w:line="12" w:lineRule="exact"/>
        <w:rPr>
          <w:rFonts w:ascii="Arial" w:cs="Arial" w:eastAsia="Arial" w:hAnsi="Arial"/>
          <w:sz w:val="16"/>
          <w:szCs w:val="16"/>
          <w:color w:val="003478"/>
        </w:rPr>
      </w:pPr>
    </w:p>
    <w:p>
      <w:pPr>
        <w:ind w:left="203" w:hanging="203"/>
        <w:spacing w:after="0"/>
        <w:tabs>
          <w:tab w:leader="none" w:pos="203" w:val="left"/>
        </w:tabs>
        <w:numPr>
          <w:ilvl w:val="0"/>
          <w:numId w:val="132"/>
        </w:numPr>
        <w:rPr>
          <w:rFonts w:ascii="Arial" w:cs="Arial" w:eastAsia="Arial" w:hAnsi="Arial"/>
          <w:sz w:val="17"/>
          <w:szCs w:val="17"/>
          <w:color w:val="003478"/>
        </w:rPr>
      </w:pPr>
      <w:r>
        <w:rPr>
          <w:rFonts w:ascii="Arial" w:cs="Arial" w:eastAsia="Arial" w:hAnsi="Arial"/>
          <w:sz w:val="17"/>
          <w:szCs w:val="17"/>
          <w:color w:val="auto"/>
        </w:rPr>
        <w:t>ENERGY STAR Partner of the Year</w:t>
      </w:r>
    </w:p>
    <w:p>
      <w:pPr>
        <w:spacing w:after="0" w:line="46" w:lineRule="exact"/>
        <w:rPr>
          <w:rFonts w:ascii="Arial" w:cs="Arial" w:eastAsia="Arial" w:hAnsi="Arial"/>
          <w:sz w:val="17"/>
          <w:szCs w:val="17"/>
          <w:color w:val="003478"/>
        </w:rPr>
      </w:pPr>
    </w:p>
    <w:p>
      <w:pPr>
        <w:ind w:left="203" w:hanging="203"/>
        <w:spacing w:after="0"/>
        <w:tabs>
          <w:tab w:leader="none" w:pos="203" w:val="left"/>
        </w:tabs>
        <w:numPr>
          <w:ilvl w:val="0"/>
          <w:numId w:val="132"/>
        </w:numPr>
        <w:rPr>
          <w:rFonts w:ascii="Arial" w:cs="Arial" w:eastAsia="Arial" w:hAnsi="Arial"/>
          <w:sz w:val="17"/>
          <w:szCs w:val="17"/>
          <w:color w:val="003478"/>
        </w:rPr>
      </w:pPr>
      <w:r>
        <w:rPr>
          <w:rFonts w:ascii="Arial" w:cs="Arial" w:eastAsia="Arial" w:hAnsi="Arial"/>
          <w:sz w:val="17"/>
          <w:szCs w:val="17"/>
          <w:color w:val="auto"/>
        </w:rPr>
        <w:t>U.S. Department of Energy Better Projects Recognition</w:t>
      </w:r>
    </w:p>
    <w:p>
      <w:pPr>
        <w:spacing w:after="0" w:line="59" w:lineRule="exact"/>
        <w:rPr>
          <w:rFonts w:ascii="Arial" w:cs="Arial" w:eastAsia="Arial" w:hAnsi="Arial"/>
          <w:sz w:val="17"/>
          <w:szCs w:val="17"/>
          <w:color w:val="003478"/>
        </w:rPr>
      </w:pPr>
    </w:p>
    <w:p>
      <w:pPr>
        <w:ind w:left="203" w:hanging="203"/>
        <w:spacing w:after="0"/>
        <w:tabs>
          <w:tab w:leader="none" w:pos="203" w:val="left"/>
        </w:tabs>
        <w:numPr>
          <w:ilvl w:val="0"/>
          <w:numId w:val="132"/>
        </w:numPr>
        <w:rPr>
          <w:rFonts w:ascii="Arial" w:cs="Arial" w:eastAsia="Arial" w:hAnsi="Arial"/>
          <w:sz w:val="17"/>
          <w:szCs w:val="17"/>
          <w:color w:val="003478"/>
        </w:rPr>
      </w:pPr>
      <w:r>
        <w:rPr>
          <w:rFonts w:ascii="Arial" w:cs="Arial" w:eastAsia="Arial" w:hAnsi="Arial"/>
          <w:sz w:val="17"/>
          <w:szCs w:val="17"/>
          <w:color w:val="auto"/>
        </w:rPr>
        <w:t>Forbes Best Employers for New Grads</w:t>
      </w:r>
    </w:p>
    <w:p>
      <w:pPr>
        <w:spacing w:after="0" w:line="46" w:lineRule="exact"/>
        <w:rPr>
          <w:rFonts w:ascii="Arial" w:cs="Arial" w:eastAsia="Arial" w:hAnsi="Arial"/>
          <w:sz w:val="17"/>
          <w:szCs w:val="17"/>
          <w:color w:val="003478"/>
        </w:rPr>
      </w:pPr>
    </w:p>
    <w:p>
      <w:pPr>
        <w:ind w:left="203" w:hanging="203"/>
        <w:spacing w:after="0"/>
        <w:tabs>
          <w:tab w:leader="none" w:pos="203" w:val="left"/>
        </w:tabs>
        <w:numPr>
          <w:ilvl w:val="0"/>
          <w:numId w:val="132"/>
        </w:numPr>
        <w:rPr>
          <w:rFonts w:ascii="Arial" w:cs="Arial" w:eastAsia="Arial" w:hAnsi="Arial"/>
          <w:sz w:val="17"/>
          <w:szCs w:val="17"/>
          <w:color w:val="003478"/>
        </w:rPr>
      </w:pPr>
      <w:r>
        <w:rPr>
          <w:rFonts w:ascii="Arial" w:cs="Arial" w:eastAsia="Arial" w:hAnsi="Arial"/>
          <w:sz w:val="17"/>
          <w:szCs w:val="17"/>
          <w:color w:val="auto"/>
        </w:rPr>
        <w:t>Forbes #1 for Workers in Aerospace and Defense</w:t>
      </w:r>
    </w:p>
    <w:p>
      <w:pPr>
        <w:spacing w:after="0" w:line="46" w:lineRule="exact"/>
        <w:rPr>
          <w:rFonts w:ascii="Arial" w:cs="Arial" w:eastAsia="Arial" w:hAnsi="Arial"/>
          <w:sz w:val="17"/>
          <w:szCs w:val="17"/>
          <w:color w:val="003478"/>
        </w:rPr>
      </w:pPr>
    </w:p>
    <w:p>
      <w:pPr>
        <w:ind w:left="203" w:hanging="203"/>
        <w:spacing w:after="0"/>
        <w:tabs>
          <w:tab w:leader="none" w:pos="203" w:val="left"/>
        </w:tabs>
        <w:numPr>
          <w:ilvl w:val="0"/>
          <w:numId w:val="132"/>
        </w:numPr>
        <w:rPr>
          <w:rFonts w:ascii="Arial" w:cs="Arial" w:eastAsia="Arial" w:hAnsi="Arial"/>
          <w:sz w:val="17"/>
          <w:szCs w:val="17"/>
          <w:color w:val="003478"/>
        </w:rPr>
      </w:pPr>
      <w:r>
        <w:rPr>
          <w:rFonts w:ascii="Arial" w:cs="Arial" w:eastAsia="Arial" w:hAnsi="Arial"/>
          <w:sz w:val="17"/>
          <w:szCs w:val="17"/>
          <w:color w:val="auto"/>
        </w:rPr>
        <w:t>Forbes Best Employers for Veterans</w:t>
      </w:r>
    </w:p>
    <w:p>
      <w:pPr>
        <w:spacing w:after="0" w:line="59" w:lineRule="exact"/>
        <w:rPr>
          <w:rFonts w:ascii="Arial" w:cs="Arial" w:eastAsia="Arial" w:hAnsi="Arial"/>
          <w:sz w:val="17"/>
          <w:szCs w:val="17"/>
          <w:color w:val="003478"/>
        </w:rPr>
      </w:pPr>
    </w:p>
    <w:p>
      <w:pPr>
        <w:ind w:left="203" w:hanging="203"/>
        <w:spacing w:after="0"/>
        <w:tabs>
          <w:tab w:leader="none" w:pos="203" w:val="left"/>
        </w:tabs>
        <w:numPr>
          <w:ilvl w:val="0"/>
          <w:numId w:val="132"/>
        </w:numPr>
        <w:rPr>
          <w:rFonts w:ascii="Arial" w:cs="Arial" w:eastAsia="Arial" w:hAnsi="Arial"/>
          <w:sz w:val="17"/>
          <w:szCs w:val="17"/>
          <w:color w:val="003478"/>
        </w:rPr>
      </w:pPr>
      <w:r>
        <w:rPr>
          <w:rFonts w:ascii="Arial" w:cs="Arial" w:eastAsia="Arial" w:hAnsi="Arial"/>
          <w:sz w:val="17"/>
          <w:szCs w:val="17"/>
          <w:color w:val="auto"/>
        </w:rPr>
        <w:t>Forbes World’s Best Employers</w:t>
      </w:r>
    </w:p>
    <w:p>
      <w:pPr>
        <w:spacing w:after="0" w:line="46" w:lineRule="exact"/>
        <w:rPr>
          <w:rFonts w:ascii="Arial" w:cs="Arial" w:eastAsia="Arial" w:hAnsi="Arial"/>
          <w:sz w:val="17"/>
          <w:szCs w:val="17"/>
          <w:color w:val="003478"/>
        </w:rPr>
      </w:pPr>
    </w:p>
    <w:p>
      <w:pPr>
        <w:ind w:left="203" w:hanging="203"/>
        <w:spacing w:after="0"/>
        <w:tabs>
          <w:tab w:leader="none" w:pos="203" w:val="left"/>
        </w:tabs>
        <w:numPr>
          <w:ilvl w:val="0"/>
          <w:numId w:val="132"/>
        </w:numPr>
        <w:rPr>
          <w:rFonts w:ascii="Arial" w:cs="Arial" w:eastAsia="Arial" w:hAnsi="Arial"/>
          <w:sz w:val="17"/>
          <w:szCs w:val="17"/>
          <w:color w:val="003478"/>
        </w:rPr>
      </w:pPr>
      <w:r>
        <w:rPr>
          <w:rFonts w:ascii="Arial" w:cs="Arial" w:eastAsia="Arial" w:hAnsi="Arial"/>
          <w:sz w:val="17"/>
          <w:szCs w:val="17"/>
          <w:color w:val="auto"/>
        </w:rPr>
        <w:t>Forbes America’s Best Employers by State</w:t>
      </w:r>
    </w:p>
    <w:p>
      <w:pPr>
        <w:spacing w:after="0" w:line="59" w:lineRule="exact"/>
        <w:rPr>
          <w:rFonts w:ascii="Arial" w:cs="Arial" w:eastAsia="Arial" w:hAnsi="Arial"/>
          <w:sz w:val="17"/>
          <w:szCs w:val="17"/>
          <w:color w:val="003478"/>
        </w:rPr>
      </w:pPr>
    </w:p>
    <w:p>
      <w:pPr>
        <w:ind w:left="203" w:hanging="203"/>
        <w:spacing w:after="0"/>
        <w:tabs>
          <w:tab w:leader="none" w:pos="203" w:val="left"/>
        </w:tabs>
        <w:numPr>
          <w:ilvl w:val="0"/>
          <w:numId w:val="132"/>
        </w:numPr>
        <w:rPr>
          <w:rFonts w:ascii="Arial" w:cs="Arial" w:eastAsia="Arial" w:hAnsi="Arial"/>
          <w:sz w:val="17"/>
          <w:szCs w:val="17"/>
          <w:color w:val="003478"/>
        </w:rPr>
      </w:pPr>
      <w:r>
        <w:rPr>
          <w:rFonts w:ascii="Arial" w:cs="Arial" w:eastAsia="Arial" w:hAnsi="Arial"/>
          <w:sz w:val="17"/>
          <w:szCs w:val="17"/>
          <w:color w:val="auto"/>
        </w:rPr>
        <w:t>Forbes Best Employers for Women</w:t>
      </w:r>
    </w:p>
    <w:p>
      <w:pPr>
        <w:spacing w:after="0" w:line="73" w:lineRule="exact"/>
        <w:rPr>
          <w:rFonts w:ascii="Arial" w:cs="Arial" w:eastAsia="Arial" w:hAnsi="Arial"/>
          <w:sz w:val="17"/>
          <w:szCs w:val="17"/>
          <w:color w:val="003478"/>
        </w:rPr>
      </w:pPr>
    </w:p>
    <w:p>
      <w:pPr>
        <w:ind w:left="203" w:hanging="203"/>
        <w:spacing w:after="0"/>
        <w:tabs>
          <w:tab w:leader="none" w:pos="203" w:val="left"/>
        </w:tabs>
        <w:numPr>
          <w:ilvl w:val="0"/>
          <w:numId w:val="132"/>
        </w:numPr>
        <w:rPr>
          <w:rFonts w:ascii="Arial" w:cs="Arial" w:eastAsia="Arial" w:hAnsi="Arial"/>
          <w:sz w:val="17"/>
          <w:szCs w:val="17"/>
          <w:color w:val="003478"/>
        </w:rPr>
      </w:pPr>
      <w:r>
        <w:rPr>
          <w:rFonts w:ascii="Arial" w:cs="Arial" w:eastAsia="Arial" w:hAnsi="Arial"/>
          <w:sz w:val="17"/>
          <w:szCs w:val="17"/>
          <w:color w:val="auto"/>
        </w:rPr>
        <w:t>Forbes America’s Best Large Employers</w:t>
      </w:r>
    </w:p>
    <w:p>
      <w:pPr>
        <w:spacing w:after="0" w:line="46" w:lineRule="exact"/>
        <w:rPr>
          <w:rFonts w:ascii="Arial" w:cs="Arial" w:eastAsia="Arial" w:hAnsi="Arial"/>
          <w:sz w:val="17"/>
          <w:szCs w:val="17"/>
          <w:color w:val="003478"/>
        </w:rPr>
      </w:pPr>
    </w:p>
    <w:p>
      <w:pPr>
        <w:ind w:left="203" w:hanging="203"/>
        <w:spacing w:after="0"/>
        <w:tabs>
          <w:tab w:leader="none" w:pos="203" w:val="left"/>
        </w:tabs>
        <w:numPr>
          <w:ilvl w:val="0"/>
          <w:numId w:val="132"/>
        </w:numPr>
        <w:rPr>
          <w:rFonts w:ascii="Arial" w:cs="Arial" w:eastAsia="Arial" w:hAnsi="Arial"/>
          <w:sz w:val="17"/>
          <w:szCs w:val="17"/>
          <w:color w:val="003478"/>
        </w:rPr>
      </w:pPr>
      <w:r>
        <w:rPr>
          <w:rFonts w:ascii="Arial" w:cs="Arial" w:eastAsia="Arial" w:hAnsi="Arial"/>
          <w:sz w:val="17"/>
          <w:szCs w:val="17"/>
          <w:color w:val="auto"/>
        </w:rPr>
        <w:t>Military Friendly 2021 Gold Employer</w:t>
      </w:r>
    </w:p>
    <w:p>
      <w:pPr>
        <w:spacing w:after="0" w:line="46" w:lineRule="exact"/>
        <w:rPr>
          <w:rFonts w:ascii="Arial" w:cs="Arial" w:eastAsia="Arial" w:hAnsi="Arial"/>
          <w:sz w:val="17"/>
          <w:szCs w:val="17"/>
          <w:color w:val="003478"/>
        </w:rPr>
      </w:pPr>
    </w:p>
    <w:p>
      <w:pPr>
        <w:ind w:left="203" w:hanging="203"/>
        <w:spacing w:after="0"/>
        <w:tabs>
          <w:tab w:leader="none" w:pos="203" w:val="left"/>
        </w:tabs>
        <w:numPr>
          <w:ilvl w:val="0"/>
          <w:numId w:val="132"/>
        </w:numPr>
        <w:rPr>
          <w:rFonts w:ascii="Arial" w:cs="Arial" w:eastAsia="Arial" w:hAnsi="Arial"/>
          <w:sz w:val="17"/>
          <w:szCs w:val="17"/>
          <w:color w:val="003478"/>
        </w:rPr>
      </w:pPr>
      <w:r>
        <w:rPr>
          <w:rFonts w:ascii="Arial" w:cs="Arial" w:eastAsia="Arial" w:hAnsi="Arial"/>
          <w:sz w:val="17"/>
          <w:szCs w:val="17"/>
          <w:color w:val="auto"/>
        </w:rPr>
        <w:t>Military Friendly 2021 Spouse Employer</w:t>
      </w:r>
    </w:p>
    <w:p>
      <w:pPr>
        <w:spacing w:after="0" w:line="59" w:lineRule="exact"/>
        <w:rPr>
          <w:rFonts w:ascii="Arial" w:cs="Arial" w:eastAsia="Arial" w:hAnsi="Arial"/>
          <w:sz w:val="17"/>
          <w:szCs w:val="17"/>
          <w:color w:val="003478"/>
        </w:rPr>
      </w:pPr>
    </w:p>
    <w:p>
      <w:pPr>
        <w:ind w:left="203" w:hanging="203"/>
        <w:spacing w:after="0"/>
        <w:tabs>
          <w:tab w:leader="none" w:pos="203" w:val="left"/>
        </w:tabs>
        <w:numPr>
          <w:ilvl w:val="0"/>
          <w:numId w:val="132"/>
        </w:numPr>
        <w:rPr>
          <w:rFonts w:ascii="Arial" w:cs="Arial" w:eastAsia="Arial" w:hAnsi="Arial"/>
          <w:sz w:val="17"/>
          <w:szCs w:val="17"/>
          <w:color w:val="003478"/>
        </w:rPr>
      </w:pPr>
      <w:r>
        <w:rPr>
          <w:rFonts w:ascii="Arial" w:cs="Arial" w:eastAsia="Arial" w:hAnsi="Arial"/>
          <w:sz w:val="17"/>
          <w:szCs w:val="17"/>
          <w:color w:val="auto"/>
        </w:rPr>
        <w:t>Military Friendly 2021 Supplier Diversity Program</w:t>
      </w:r>
    </w:p>
    <w:p>
      <w:pPr>
        <w:spacing w:after="0" w:line="46" w:lineRule="exact"/>
        <w:rPr>
          <w:rFonts w:ascii="Arial" w:cs="Arial" w:eastAsia="Arial" w:hAnsi="Arial"/>
          <w:sz w:val="17"/>
          <w:szCs w:val="17"/>
          <w:color w:val="003478"/>
        </w:rPr>
      </w:pPr>
    </w:p>
    <w:p>
      <w:pPr>
        <w:ind w:left="243" w:right="160" w:hanging="243"/>
        <w:spacing w:after="0" w:line="257" w:lineRule="auto"/>
        <w:tabs>
          <w:tab w:leader="none" w:pos="208" w:val="left"/>
        </w:tabs>
        <w:numPr>
          <w:ilvl w:val="0"/>
          <w:numId w:val="132"/>
        </w:numPr>
        <w:rPr>
          <w:rFonts w:ascii="Arial" w:cs="Arial" w:eastAsia="Arial" w:hAnsi="Arial"/>
          <w:sz w:val="17"/>
          <w:szCs w:val="17"/>
          <w:color w:val="003478"/>
        </w:rPr>
      </w:pPr>
      <w:r>
        <w:rPr>
          <w:rFonts w:ascii="Arial" w:cs="Arial" w:eastAsia="Arial" w:hAnsi="Arial"/>
          <w:sz w:val="17"/>
          <w:szCs w:val="17"/>
          <w:color w:val="auto"/>
        </w:rPr>
        <w:t>Minority Engineer Reader’s Choice Awards Top 50 Employers for Minority Engineers</w:t>
      </w:r>
    </w:p>
    <w:p>
      <w:pPr>
        <w:spacing w:after="0" w:line="24" w:lineRule="exact"/>
        <w:rPr>
          <w:rFonts w:ascii="Arial" w:cs="Arial" w:eastAsia="Arial" w:hAnsi="Arial"/>
          <w:sz w:val="17"/>
          <w:szCs w:val="17"/>
          <w:color w:val="003478"/>
        </w:rPr>
      </w:pPr>
    </w:p>
    <w:p>
      <w:pPr>
        <w:ind w:left="243" w:right="760" w:hanging="243"/>
        <w:spacing w:after="0" w:line="257" w:lineRule="auto"/>
        <w:tabs>
          <w:tab w:leader="none" w:pos="208" w:val="left"/>
        </w:tabs>
        <w:numPr>
          <w:ilvl w:val="0"/>
          <w:numId w:val="132"/>
        </w:numPr>
        <w:rPr>
          <w:rFonts w:ascii="Arial" w:cs="Arial" w:eastAsia="Arial" w:hAnsi="Arial"/>
          <w:sz w:val="17"/>
          <w:szCs w:val="17"/>
          <w:color w:val="003478"/>
        </w:rPr>
      </w:pPr>
      <w:r>
        <w:rPr>
          <w:rFonts w:ascii="Arial" w:cs="Arial" w:eastAsia="Arial" w:hAnsi="Arial"/>
          <w:sz w:val="17"/>
          <w:szCs w:val="17"/>
          <w:color w:val="auto"/>
        </w:rPr>
        <w:t>Environment + Energy Leader Sikorsky Stratford facility’s cogeneration system recognition</w:t>
      </w:r>
    </w:p>
    <w:p>
      <w:pPr>
        <w:spacing w:after="0" w:line="38" w:lineRule="exact"/>
        <w:rPr>
          <w:rFonts w:ascii="Arial" w:cs="Arial" w:eastAsia="Arial" w:hAnsi="Arial"/>
          <w:sz w:val="17"/>
          <w:szCs w:val="17"/>
          <w:color w:val="003478"/>
        </w:rPr>
      </w:pPr>
    </w:p>
    <w:p>
      <w:pPr>
        <w:ind w:left="203" w:hanging="203"/>
        <w:spacing w:after="0"/>
        <w:tabs>
          <w:tab w:leader="none" w:pos="203" w:val="left"/>
        </w:tabs>
        <w:numPr>
          <w:ilvl w:val="0"/>
          <w:numId w:val="132"/>
        </w:numPr>
        <w:rPr>
          <w:rFonts w:ascii="Arial" w:cs="Arial" w:eastAsia="Arial" w:hAnsi="Arial"/>
          <w:sz w:val="17"/>
          <w:szCs w:val="17"/>
          <w:color w:val="003478"/>
        </w:rPr>
      </w:pPr>
      <w:r>
        <w:rPr>
          <w:rFonts w:ascii="Arial" w:cs="Arial" w:eastAsia="Arial" w:hAnsi="Arial"/>
          <w:sz w:val="17"/>
          <w:szCs w:val="17"/>
          <w:color w:val="auto"/>
        </w:rPr>
        <w:t>The Manufacturing Institute STEP Ahead Emerging Leaders Award</w:t>
      </w:r>
    </w:p>
    <w:p>
      <w:pPr>
        <w:spacing w:after="0" w:line="46" w:lineRule="exact"/>
        <w:rPr>
          <w:rFonts w:ascii="Arial" w:cs="Arial" w:eastAsia="Arial" w:hAnsi="Arial"/>
          <w:sz w:val="17"/>
          <w:szCs w:val="17"/>
          <w:color w:val="003478"/>
        </w:rPr>
      </w:pPr>
    </w:p>
    <w:p>
      <w:pPr>
        <w:ind w:left="203" w:hanging="203"/>
        <w:spacing w:after="0"/>
        <w:tabs>
          <w:tab w:leader="none" w:pos="203" w:val="left"/>
        </w:tabs>
        <w:numPr>
          <w:ilvl w:val="0"/>
          <w:numId w:val="132"/>
        </w:numPr>
        <w:rPr>
          <w:rFonts w:ascii="Arial" w:cs="Arial" w:eastAsia="Arial" w:hAnsi="Arial"/>
          <w:sz w:val="17"/>
          <w:szCs w:val="17"/>
          <w:color w:val="003478"/>
        </w:rPr>
      </w:pPr>
      <w:r>
        <w:rPr>
          <w:rFonts w:ascii="Arial" w:cs="Arial" w:eastAsia="Arial" w:hAnsi="Arial"/>
          <w:sz w:val="17"/>
          <w:szCs w:val="17"/>
          <w:color w:val="auto"/>
        </w:rPr>
        <w:t>LinkedIn Top Workplaces to Grow your Career</w:t>
      </w:r>
    </w:p>
    <w:p>
      <w:pPr>
        <w:spacing w:after="0" w:line="46" w:lineRule="exact"/>
        <w:rPr>
          <w:rFonts w:ascii="Arial" w:cs="Arial" w:eastAsia="Arial" w:hAnsi="Arial"/>
          <w:sz w:val="17"/>
          <w:szCs w:val="17"/>
          <w:color w:val="003478"/>
        </w:rPr>
      </w:pPr>
    </w:p>
    <w:p>
      <w:pPr>
        <w:ind w:left="243" w:right="120" w:hanging="243"/>
        <w:spacing w:after="0" w:line="257" w:lineRule="auto"/>
        <w:tabs>
          <w:tab w:leader="none" w:pos="208" w:val="left"/>
        </w:tabs>
        <w:numPr>
          <w:ilvl w:val="0"/>
          <w:numId w:val="132"/>
        </w:numPr>
        <w:rPr>
          <w:rFonts w:ascii="Arial" w:cs="Arial" w:eastAsia="Arial" w:hAnsi="Arial"/>
          <w:sz w:val="17"/>
          <w:szCs w:val="17"/>
          <w:color w:val="003478"/>
        </w:rPr>
      </w:pPr>
      <w:r>
        <w:rPr>
          <w:rFonts w:ascii="Arial" w:cs="Arial" w:eastAsia="Arial" w:hAnsi="Arial"/>
          <w:sz w:val="17"/>
          <w:szCs w:val="17"/>
          <w:color w:val="auto"/>
        </w:rPr>
        <w:t>Equal Opportunity Reader’s Choice Awards Top 50 Employers for Equal Opportunity</w:t>
      </w:r>
    </w:p>
    <w:p>
      <w:pPr>
        <w:spacing w:after="0" w:line="38" w:lineRule="exact"/>
        <w:rPr>
          <w:rFonts w:ascii="Arial" w:cs="Arial" w:eastAsia="Arial" w:hAnsi="Arial"/>
          <w:sz w:val="17"/>
          <w:szCs w:val="17"/>
          <w:color w:val="003478"/>
        </w:rPr>
      </w:pPr>
    </w:p>
    <w:p>
      <w:pPr>
        <w:ind w:left="243" w:right="180" w:hanging="243"/>
        <w:spacing w:after="0" w:line="257" w:lineRule="auto"/>
        <w:tabs>
          <w:tab w:leader="none" w:pos="208" w:val="left"/>
        </w:tabs>
        <w:numPr>
          <w:ilvl w:val="0"/>
          <w:numId w:val="132"/>
        </w:numPr>
        <w:rPr>
          <w:rFonts w:ascii="Arial" w:cs="Arial" w:eastAsia="Arial" w:hAnsi="Arial"/>
          <w:sz w:val="17"/>
          <w:szCs w:val="17"/>
          <w:color w:val="003478"/>
        </w:rPr>
      </w:pPr>
      <w:r>
        <w:rPr>
          <w:rFonts w:ascii="Arial" w:cs="Arial" w:eastAsia="Arial" w:hAnsi="Arial"/>
          <w:sz w:val="17"/>
          <w:szCs w:val="17"/>
          <w:color w:val="auto"/>
        </w:rPr>
        <w:t>Woman Engineer Reader’s Choice Awards Top 50 Employers for Women</w:t>
      </w:r>
    </w:p>
    <w:p>
      <w:pPr>
        <w:spacing w:after="0" w:line="24" w:lineRule="exact"/>
        <w:rPr>
          <w:rFonts w:ascii="Arial" w:cs="Arial" w:eastAsia="Arial" w:hAnsi="Arial"/>
          <w:sz w:val="17"/>
          <w:szCs w:val="17"/>
          <w:color w:val="003478"/>
        </w:rPr>
      </w:pPr>
    </w:p>
    <w:p>
      <w:pPr>
        <w:ind w:left="203" w:hanging="203"/>
        <w:spacing w:after="0"/>
        <w:tabs>
          <w:tab w:leader="none" w:pos="203" w:val="left"/>
        </w:tabs>
        <w:numPr>
          <w:ilvl w:val="0"/>
          <w:numId w:val="132"/>
        </w:numPr>
        <w:rPr>
          <w:rFonts w:ascii="Arial" w:cs="Arial" w:eastAsia="Arial" w:hAnsi="Arial"/>
          <w:sz w:val="17"/>
          <w:szCs w:val="17"/>
          <w:color w:val="003478"/>
        </w:rPr>
      </w:pPr>
      <w:r>
        <w:rPr>
          <w:rFonts w:ascii="Arial" w:cs="Arial" w:eastAsia="Arial" w:hAnsi="Arial"/>
          <w:sz w:val="17"/>
          <w:szCs w:val="17"/>
          <w:color w:val="auto"/>
        </w:rPr>
        <w:t>Human Rights Campaign Best Places to work for LGBTQ Equality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1507490</wp:posOffset>
            </wp:positionH>
            <wp:positionV relativeFrom="paragraph">
              <wp:posOffset>-6390640</wp:posOffset>
            </wp:positionV>
            <wp:extent cx="1885315" cy="4438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885315" cy="44386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340360</wp:posOffset>
            </wp:positionV>
            <wp:extent cx="33870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870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-5315585</wp:posOffset>
            </wp:positionV>
            <wp:extent cx="33870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87090" cy="8255"/>
                    </a:xfrm>
                    <a:prstGeom prst="rect">
                      <a:avLst/>
                    </a:prstGeom>
                    <a:noFill/>
                  </pic:spPr>
                </pic:pic>
              </a:graphicData>
            </a:graphic>
          </wp:anchor>
        </w:drawing>
        <w:drawing>
          <wp:anchor simplePos="0" relativeHeight="251657728" behindDoc="1" locked="0" layoutInCell="0" allowOverlap="1">
            <wp:simplePos x="0" y="0"/>
            <wp:positionH relativeFrom="column">
              <wp:posOffset>2693670</wp:posOffset>
            </wp:positionH>
            <wp:positionV relativeFrom="paragraph">
              <wp:posOffset>1296035</wp:posOffset>
            </wp:positionV>
            <wp:extent cx="554355" cy="83629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54355" cy="836295"/>
                    </a:xfrm>
                    <a:prstGeom prst="rect">
                      <a:avLst/>
                    </a:prstGeom>
                    <a:noFill/>
                  </pic:spPr>
                </pic:pic>
              </a:graphicData>
            </a:graphic>
          </wp:anchor>
        </w:drawing>
      </w:r>
    </w:p>
    <w:p>
      <w:pPr>
        <w:spacing w:after="0" w:line="2474" w:lineRule="exact"/>
        <w:rPr>
          <w:sz w:val="20"/>
          <w:szCs w:val="20"/>
          <w:color w:val="auto"/>
        </w:rPr>
      </w:pPr>
    </w:p>
    <w:p>
      <w:pPr>
        <w:sectPr>
          <w:pgSz w:w="11900" w:h="16838" w:orient="portrait"/>
          <w:cols w:equalWidth="0" w:num="2">
            <w:col w:w="5157" w:space="720"/>
            <w:col w:w="5263"/>
          </w:cols>
          <w:pgMar w:left="340" w:top="1364" w:right="41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1"/>
          <w:szCs w:val="11"/>
          <w:color w:val="475C90"/>
        </w:rPr>
        <w:t>© 2022 Lockheed Martin Corporation</w:t>
      </w:r>
    </w:p>
    <w:p>
      <w:pPr>
        <w:sectPr>
          <w:pgSz w:w="11900" w:h="16838" w:orient="portrait"/>
          <w:cols w:equalWidth="0" w:num="1">
            <w:col w:w="11140"/>
          </w:cols>
          <w:pgMar w:left="340" w:top="1364" w:right="419" w:bottom="1440" w:gutter="0" w:footer="0" w:header="0"/>
          <w:type w:val="continuous"/>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847725</wp:posOffset>
            </wp:positionH>
            <wp:positionV relativeFrom="page">
              <wp:posOffset>839470</wp:posOffset>
            </wp:positionV>
            <wp:extent cx="5853430" cy="75768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clrChange>
                        <a:clrFrom>
                          <a:srgbClr val="FFFFFF"/>
                        </a:clrFrom>
                        <a:clrTo>
                          <a:srgbClr val="FFFFFF">
                            <a:alpha val="0"/>
                          </a:srgbClr>
                        </a:clrTo>
                      </a:clrChange>
                      <a:extLst>
                        <a:ext uri="{28A0092B-C50C-407E-A947-70E740481C1C}"/>
                      </a:extLst>
                    </a:blip>
                    <a:srcRect/>
                    <a:stretch>
                      <a:fillRect/>
                    </a:stretch>
                  </pic:blipFill>
                  <pic:spPr bwMode="auto">
                    <a:xfrm>
                      <a:off x="0" y="0"/>
                      <a:ext cx="5853430" cy="7576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847725</wp:posOffset>
            </wp:positionH>
            <wp:positionV relativeFrom="page">
              <wp:posOffset>839470</wp:posOffset>
            </wp:positionV>
            <wp:extent cx="5853430" cy="75768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clrChange>
                        <a:clrFrom>
                          <a:srgbClr val="FFFFFF"/>
                        </a:clrFrom>
                        <a:clrTo>
                          <a:srgbClr val="FFFFFF">
                            <a:alpha val="0"/>
                          </a:srgbClr>
                        </a:clrTo>
                      </a:clrChange>
                      <a:extLst>
                        <a:ext uri="{28A0092B-C50C-407E-A947-70E740481C1C}"/>
                      </a:extLst>
                    </a:blip>
                    <a:srcRect/>
                    <a:stretch>
                      <a:fillRect/>
                    </a:stretch>
                  </pic:blipFill>
                  <pic:spPr bwMode="auto">
                    <a:xfrm>
                      <a:off x="0" y="0"/>
                      <a:ext cx="5853430" cy="7576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847725</wp:posOffset>
            </wp:positionH>
            <wp:positionV relativeFrom="page">
              <wp:posOffset>839470</wp:posOffset>
            </wp:positionV>
            <wp:extent cx="5853430" cy="75768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clrChange>
                        <a:clrFrom>
                          <a:srgbClr val="FFFFFF"/>
                        </a:clrFrom>
                        <a:clrTo>
                          <a:srgbClr val="FFFFFF">
                            <a:alpha val="0"/>
                          </a:srgbClr>
                        </a:clrTo>
                      </a:clrChange>
                      <a:extLst>
                        <a:ext uri="{28A0092B-C50C-407E-A947-70E740481C1C}"/>
                      </a:extLst>
                    </a:blip>
                    <a:srcRect/>
                    <a:stretch>
                      <a:fillRect/>
                    </a:stretch>
                  </pic:blipFill>
                  <pic:spPr bwMode="auto">
                    <a:xfrm>
                      <a:off x="0" y="0"/>
                      <a:ext cx="5853430" cy="7576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847725</wp:posOffset>
            </wp:positionH>
            <wp:positionV relativeFrom="page">
              <wp:posOffset>839470</wp:posOffset>
            </wp:positionV>
            <wp:extent cx="5853430" cy="75768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clrChange>
                        <a:clrFrom>
                          <a:srgbClr val="FFFFFF"/>
                        </a:clrFrom>
                        <a:clrTo>
                          <a:srgbClr val="FFFFFF">
                            <a:alpha val="0"/>
                          </a:srgbClr>
                        </a:clrTo>
                      </a:clrChange>
                      <a:extLst>
                        <a:ext uri="{28A0092B-C50C-407E-A947-70E740481C1C}"/>
                      </a:extLst>
                    </a:blip>
                    <a:srcRect/>
                    <a:stretch>
                      <a:fillRect/>
                    </a:stretch>
                  </pic:blipFill>
                  <pic:spPr bwMode="auto">
                    <a:xfrm>
                      <a:off x="0" y="0"/>
                      <a:ext cx="5853430" cy="7576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847725</wp:posOffset>
            </wp:positionH>
            <wp:positionV relativeFrom="page">
              <wp:posOffset>839470</wp:posOffset>
            </wp:positionV>
            <wp:extent cx="5853430" cy="75768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clrChange>
                        <a:clrFrom>
                          <a:srgbClr val="FFFFFF"/>
                        </a:clrFrom>
                        <a:clrTo>
                          <a:srgbClr val="FFFFFF">
                            <a:alpha val="0"/>
                          </a:srgbClr>
                        </a:clrTo>
                      </a:clrChange>
                      <a:extLst>
                        <a:ext uri="{28A0092B-C50C-407E-A947-70E740481C1C}"/>
                      </a:extLst>
                    </a:blip>
                    <a:srcRect/>
                    <a:stretch>
                      <a:fillRect/>
                    </a:stretch>
                  </pic:blipFill>
                  <pic:spPr bwMode="auto">
                    <a:xfrm>
                      <a:off x="0" y="0"/>
                      <a:ext cx="5853430" cy="7576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ind w:right="-39"/>
        <w:spacing w:after="0"/>
        <w:rPr>
          <w:sz w:val="20"/>
          <w:szCs w:val="20"/>
          <w:color w:val="auto"/>
        </w:rPr>
      </w:pPr>
      <w:r>
        <w:rPr>
          <w:rFonts w:ascii="Arial" w:cs="Arial" w:eastAsia="Arial" w:hAnsi="Arial"/>
          <w:sz w:val="21"/>
          <w:szCs w:val="21"/>
          <w:b w:val="1"/>
          <w:bCs w:val="1"/>
          <w:color w:val="auto"/>
        </w:rPr>
        <w:t xml:space="preserve">Email to Employee Plan Participants </w:t>
      </w:r>
      <w:r>
        <w:rPr>
          <w:rFonts w:ascii="Arial" w:cs="Arial" w:eastAsia="Arial" w:hAnsi="Arial"/>
          <w:sz w:val="21"/>
          <w:szCs w:val="21"/>
          <w:color w:val="auto"/>
        </w:rPr>
        <w:t>(to be sent 03/15/2022)</w:t>
      </w:r>
    </w:p>
    <w:p>
      <w:pPr>
        <w:spacing w:after="0" w:line="322" w:lineRule="exact"/>
        <w:rPr>
          <w:sz w:val="20"/>
          <w:szCs w:val="20"/>
          <w:color w:val="auto"/>
        </w:rPr>
      </w:pPr>
    </w:p>
    <w:p>
      <w:pPr>
        <w:spacing w:after="0"/>
        <w:rPr>
          <w:sz w:val="20"/>
          <w:szCs w:val="20"/>
          <w:color w:val="auto"/>
        </w:rPr>
      </w:pPr>
      <w:r>
        <w:rPr>
          <w:rFonts w:ascii="Arial" w:cs="Arial" w:eastAsia="Arial" w:hAnsi="Arial"/>
          <w:sz w:val="21"/>
          <w:szCs w:val="21"/>
          <w:color w:val="auto"/>
        </w:rPr>
        <w:t>Email subject will be:</w:t>
      </w:r>
    </w:p>
    <w:p>
      <w:pPr>
        <w:spacing w:after="0" w:line="27" w:lineRule="exact"/>
        <w:rPr>
          <w:sz w:val="20"/>
          <w:szCs w:val="20"/>
          <w:color w:val="auto"/>
        </w:rPr>
      </w:pPr>
    </w:p>
    <w:p>
      <w:pPr>
        <w:ind w:left="480"/>
        <w:spacing w:after="0"/>
        <w:rPr>
          <w:sz w:val="20"/>
          <w:szCs w:val="20"/>
          <w:color w:val="auto"/>
        </w:rPr>
      </w:pPr>
      <w:r>
        <w:rPr>
          <w:rFonts w:ascii="Arial" w:cs="Arial" w:eastAsia="Arial" w:hAnsi="Arial"/>
          <w:sz w:val="21"/>
          <w:szCs w:val="21"/>
          <w:color w:val="auto"/>
        </w:rPr>
        <w:t>Important Notice Regarding Availability of Lockheed Martin</w:t>
      </w:r>
    </w:p>
    <w:p>
      <w:pPr>
        <w:spacing w:after="0" w:line="27" w:lineRule="exact"/>
        <w:rPr>
          <w:sz w:val="20"/>
          <w:szCs w:val="20"/>
          <w:color w:val="auto"/>
        </w:rPr>
      </w:pPr>
    </w:p>
    <w:p>
      <w:pPr>
        <w:ind w:left="1200"/>
        <w:spacing w:after="0"/>
        <w:rPr>
          <w:sz w:val="20"/>
          <w:szCs w:val="20"/>
          <w:color w:val="auto"/>
        </w:rPr>
      </w:pPr>
      <w:r>
        <w:rPr>
          <w:rFonts w:ascii="Arial" w:cs="Arial" w:eastAsia="Arial" w:hAnsi="Arial"/>
          <w:sz w:val="21"/>
          <w:szCs w:val="21"/>
          <w:color w:val="auto"/>
        </w:rPr>
        <w:t>Proxy Materials</w:t>
      </w:r>
    </w:p>
    <w:p>
      <w:pPr>
        <w:spacing w:after="0" w:line="270" w:lineRule="exact"/>
        <w:rPr>
          <w:sz w:val="20"/>
          <w:szCs w:val="20"/>
          <w:color w:val="auto"/>
        </w:rPr>
      </w:pPr>
    </w:p>
    <w:p>
      <w:pPr>
        <w:spacing w:after="0" w:line="309" w:lineRule="auto"/>
        <w:rPr>
          <w:sz w:val="20"/>
          <w:szCs w:val="20"/>
          <w:color w:val="auto"/>
        </w:rPr>
      </w:pPr>
      <w:r>
        <w:rPr>
          <w:rFonts w:ascii="Arial" w:cs="Arial" w:eastAsia="Arial" w:hAnsi="Arial"/>
          <w:sz w:val="21"/>
          <w:szCs w:val="21"/>
          <w:b w:val="1"/>
          <w:bCs w:val="1"/>
          <w:color w:val="auto"/>
        </w:rPr>
        <w:t>Annual Report, Proxy Statement and Voting Instructions for the Lockheed Martin Corporation Annual Meeting of Stockholders on April 21, 2022</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color w:val="auto"/>
        </w:rPr>
        <w:t>Proxy Login Control Number:</w:t>
      </w:r>
    </w:p>
    <w:p>
      <w:pPr>
        <w:spacing w:after="0" w:line="242" w:lineRule="exact"/>
        <w:rPr>
          <w:sz w:val="20"/>
          <w:szCs w:val="20"/>
          <w:color w:val="auto"/>
        </w:rPr>
      </w:pPr>
    </w:p>
    <w:p>
      <w:pPr>
        <w:spacing w:after="0"/>
        <w:tabs>
          <w:tab w:leader="none" w:pos="580" w:val="left"/>
        </w:tabs>
        <w:rPr>
          <w:sz w:val="20"/>
          <w:szCs w:val="20"/>
          <w:color w:val="auto"/>
        </w:rPr>
      </w:pPr>
      <w:r>
        <w:rPr>
          <w:rFonts w:ascii="Arial" w:cs="Arial" w:eastAsia="Arial" w:hAnsi="Arial"/>
          <w:sz w:val="21"/>
          <w:szCs w:val="21"/>
          <w:color w:val="auto"/>
        </w:rPr>
        <w:t>To:</w:t>
        <w:tab/>
        <w:t>Lockheed Martin Corporation Savings Plan Participants</w:t>
      </w:r>
    </w:p>
    <w:p>
      <w:pPr>
        <w:spacing w:after="0" w:line="242" w:lineRule="exact"/>
        <w:rPr>
          <w:sz w:val="20"/>
          <w:szCs w:val="20"/>
          <w:color w:val="auto"/>
        </w:rPr>
      </w:pPr>
    </w:p>
    <w:p>
      <w:pPr>
        <w:spacing w:after="0" w:line="272" w:lineRule="auto"/>
        <w:rPr>
          <w:sz w:val="20"/>
          <w:szCs w:val="20"/>
          <w:color w:val="auto"/>
        </w:rPr>
      </w:pPr>
      <w:r>
        <w:rPr>
          <w:rFonts w:ascii="Arial" w:cs="Arial" w:eastAsia="Arial" w:hAnsi="Arial"/>
          <w:sz w:val="21"/>
          <w:szCs w:val="21"/>
          <w:color w:val="auto"/>
        </w:rPr>
        <w:t xml:space="preserve">You are receiving this email because you are a participant in a Lockheed Martin Corporation savings plan. Instead of receiving your 2021 Annual Report and 2022 Proxy Statement (Proxy Materials) by mail, you can conveniently access your Proxy Materials and vote online at </w:t>
      </w:r>
      <w:r>
        <w:rPr>
          <w:rFonts w:ascii="Arial" w:cs="Arial" w:eastAsia="Arial" w:hAnsi="Arial"/>
          <w:sz w:val="21"/>
          <w:szCs w:val="21"/>
          <w:u w:val="single" w:color="auto"/>
          <w:color w:val="3051F2"/>
        </w:rPr>
        <w:t>www.investorvote.com</w:t>
      </w:r>
      <w:r>
        <w:rPr>
          <w:rFonts w:ascii="Arial" w:cs="Arial" w:eastAsia="Arial" w:hAnsi="Arial"/>
          <w:sz w:val="21"/>
          <w:szCs w:val="21"/>
          <w:color w:val="auto"/>
        </w:rPr>
        <w:t>. To view the Proxy Materials and cast your vote, enter the Proxy Login Control Number above (without any spaces) and follow the on-screen instructions.</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To obtain a hard copy of Proxy Materials (free of charge):</w:t>
      </w:r>
    </w:p>
    <w:p>
      <w:pPr>
        <w:spacing w:after="0" w:line="27" w:lineRule="exact"/>
        <w:rPr>
          <w:sz w:val="20"/>
          <w:szCs w:val="20"/>
          <w:color w:val="auto"/>
        </w:rPr>
      </w:pPr>
    </w:p>
    <w:p>
      <w:pPr>
        <w:ind w:left="620" w:hanging="290"/>
        <w:spacing w:after="0"/>
        <w:tabs>
          <w:tab w:leader="none" w:pos="62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Call 1-877-223-3863 within the U.S.</w:t>
      </w:r>
    </w:p>
    <w:p>
      <w:pPr>
        <w:spacing w:after="0" w:line="27" w:lineRule="exact"/>
        <w:rPr>
          <w:rFonts w:ascii="Arial" w:cs="Arial" w:eastAsia="Arial" w:hAnsi="Arial"/>
          <w:sz w:val="21"/>
          <w:szCs w:val="21"/>
          <w:color w:val="auto"/>
        </w:rPr>
      </w:pPr>
    </w:p>
    <w:p>
      <w:pPr>
        <w:ind w:left="620" w:hanging="290"/>
        <w:spacing w:after="0"/>
        <w:tabs>
          <w:tab w:leader="none" w:pos="62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Call 1-267-468-0767 from outside the U.S.</w:t>
      </w:r>
    </w:p>
    <w:p>
      <w:pPr>
        <w:spacing w:after="0" w:line="27" w:lineRule="exact"/>
        <w:rPr>
          <w:rFonts w:ascii="Arial" w:cs="Arial" w:eastAsia="Arial" w:hAnsi="Arial"/>
          <w:sz w:val="21"/>
          <w:szCs w:val="21"/>
          <w:color w:val="auto"/>
        </w:rPr>
      </w:pPr>
    </w:p>
    <w:p>
      <w:pPr>
        <w:ind w:left="620" w:hanging="290"/>
        <w:spacing w:after="0"/>
        <w:tabs>
          <w:tab w:leader="none" w:pos="62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Requests must be received by 3:00 p.m., Eastern Daylight Time, on April 11, 2022</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Voting deadline:</w:t>
      </w:r>
    </w:p>
    <w:p>
      <w:pPr>
        <w:spacing w:after="0" w:line="27" w:lineRule="exact"/>
        <w:rPr>
          <w:sz w:val="20"/>
          <w:szCs w:val="20"/>
          <w:color w:val="auto"/>
        </w:rPr>
      </w:pPr>
    </w:p>
    <w:p>
      <w:pPr>
        <w:ind w:left="620" w:hanging="290"/>
        <w:spacing w:after="0"/>
        <w:tabs>
          <w:tab w:leader="none" w:pos="620" w:val="left"/>
        </w:tabs>
        <w:numPr>
          <w:ilvl w:val="0"/>
          <w:numId w:val="134"/>
        </w:numPr>
        <w:rPr>
          <w:rFonts w:ascii="Arial" w:cs="Arial" w:eastAsia="Arial" w:hAnsi="Arial"/>
          <w:sz w:val="21"/>
          <w:szCs w:val="21"/>
          <w:color w:val="auto"/>
        </w:rPr>
      </w:pPr>
      <w:r>
        <w:rPr>
          <w:rFonts w:ascii="Arial" w:cs="Arial" w:eastAsia="Arial" w:hAnsi="Arial"/>
          <w:sz w:val="21"/>
          <w:szCs w:val="21"/>
          <w:color w:val="auto"/>
        </w:rPr>
        <w:t>11:59 p.m., Eastern Daylight Time, on Monday, April 18, 2022</w:t>
      </w:r>
    </w:p>
    <w:p>
      <w:pPr>
        <w:spacing w:after="0" w:line="242" w:lineRule="exact"/>
        <w:rPr>
          <w:sz w:val="20"/>
          <w:szCs w:val="20"/>
          <w:color w:val="auto"/>
        </w:rPr>
      </w:pPr>
    </w:p>
    <w:p>
      <w:pPr>
        <w:spacing w:after="0" w:line="272" w:lineRule="auto"/>
        <w:rPr>
          <w:sz w:val="20"/>
          <w:szCs w:val="20"/>
          <w:color w:val="auto"/>
        </w:rPr>
      </w:pPr>
      <w:r>
        <w:rPr>
          <w:rFonts w:ascii="Arial" w:cs="Arial" w:eastAsia="Arial" w:hAnsi="Arial"/>
          <w:sz w:val="21"/>
          <w:szCs w:val="21"/>
          <w:color w:val="auto"/>
        </w:rPr>
        <w:t>Please note that you may receive multiple proxy packages and voting instructions (electronically and/or by mail). These materials may not be duplicates as you may hold shares of Lockheed Martin stock in multiple accounts. Please be sure to vote all of your shares in each of your accounts in accordance with the directions on the proxy card(s) and/or voting instruction form(s) you receive.</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Please cast your vote today!</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Computershare Trust Company, N.A.</w:t>
      </w:r>
    </w:p>
    <w:p>
      <w:pPr>
        <w:spacing w:after="0" w:line="27" w:lineRule="exact"/>
        <w:rPr>
          <w:sz w:val="20"/>
          <w:szCs w:val="20"/>
          <w:color w:val="auto"/>
        </w:rPr>
      </w:pPr>
    </w:p>
    <w:p>
      <w:pPr>
        <w:spacing w:after="0"/>
        <w:rPr>
          <w:sz w:val="20"/>
          <w:szCs w:val="20"/>
          <w:color w:val="auto"/>
        </w:rPr>
      </w:pPr>
      <w:r>
        <w:rPr>
          <w:rFonts w:ascii="Arial" w:cs="Arial" w:eastAsia="Arial" w:hAnsi="Arial"/>
          <w:sz w:val="21"/>
          <w:szCs w:val="21"/>
          <w:color w:val="auto"/>
        </w:rPr>
        <w:t>Independent Registrar and Transfer Agent for Lockheed Martin Corporation</w:t>
      </w:r>
    </w:p>
    <w:p>
      <w:pPr>
        <w:sectPr>
          <w:pgSz w:w="11900" w:h="16838" w:orient="portrait"/>
          <w:cols w:equalWidth="0" w:num="1">
            <w:col w:w="11200"/>
          </w:cols>
          <w:pgMar w:left="320" w:top="1303" w:right="379" w:bottom="1440" w:gutter="0" w:footer="0" w:header="0"/>
        </w:sectPr>
      </w:pPr>
    </w:p>
    <w:bookmarkStart w:id="103" w:name="page104"/>
    <w:bookmarkEnd w:id="103"/>
    <w:p>
      <w:pPr>
        <w:jc w:val="center"/>
        <w:ind w:right="-39"/>
        <w:spacing w:after="0"/>
        <w:rPr>
          <w:sz w:val="20"/>
          <w:szCs w:val="20"/>
          <w:color w:val="auto"/>
        </w:rPr>
      </w:pPr>
      <w:r>
        <w:rPr>
          <w:rFonts w:ascii="Arial" w:cs="Arial" w:eastAsia="Arial" w:hAnsi="Arial"/>
          <w:sz w:val="21"/>
          <w:szCs w:val="21"/>
          <w:b w:val="1"/>
          <w:bCs w:val="1"/>
          <w:color w:val="auto"/>
        </w:rPr>
        <w:t>Email Reminder to Employee Plan Participants</w:t>
      </w:r>
    </w:p>
    <w:p>
      <w:pPr>
        <w:spacing w:after="0" w:line="43"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First Reminder – March 29</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1"/>
          <w:szCs w:val="21"/>
          <w:b w:val="1"/>
          <w:bCs w:val="1"/>
          <w:color w:val="auto"/>
        </w:rPr>
        <w:t>Second Reminder – April 5</w:t>
      </w:r>
    </w:p>
    <w:p>
      <w:pPr>
        <w:spacing w:after="0" w:line="360" w:lineRule="exact"/>
        <w:rPr>
          <w:sz w:val="20"/>
          <w:szCs w:val="20"/>
          <w:color w:val="auto"/>
        </w:rPr>
      </w:pPr>
    </w:p>
    <w:p>
      <w:pPr>
        <w:spacing w:after="0"/>
        <w:rPr>
          <w:sz w:val="20"/>
          <w:szCs w:val="20"/>
          <w:color w:val="auto"/>
        </w:rPr>
      </w:pPr>
      <w:r>
        <w:rPr>
          <w:rFonts w:ascii="Arial" w:cs="Arial" w:eastAsia="Arial" w:hAnsi="Arial"/>
          <w:sz w:val="21"/>
          <w:szCs w:val="21"/>
          <w:color w:val="auto"/>
        </w:rPr>
        <w:t>Email will have date when sent</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Email subject will be:</w:t>
      </w:r>
    </w:p>
    <w:p>
      <w:pPr>
        <w:spacing w:after="0" w:line="27" w:lineRule="exact"/>
        <w:rPr>
          <w:sz w:val="20"/>
          <w:szCs w:val="20"/>
          <w:color w:val="auto"/>
        </w:rPr>
      </w:pPr>
    </w:p>
    <w:p>
      <w:pPr>
        <w:ind w:left="480"/>
        <w:spacing w:after="0"/>
        <w:rPr>
          <w:sz w:val="20"/>
          <w:szCs w:val="20"/>
          <w:color w:val="auto"/>
        </w:rPr>
      </w:pPr>
      <w:r>
        <w:rPr>
          <w:rFonts w:ascii="Arial" w:cs="Arial" w:eastAsia="Arial" w:hAnsi="Arial"/>
          <w:sz w:val="21"/>
          <w:szCs w:val="21"/>
          <w:color w:val="auto"/>
        </w:rPr>
        <w:t>Reminder Notice - Important Notice Regarding Availability of Lockheed Martin</w:t>
      </w:r>
    </w:p>
    <w:p>
      <w:pPr>
        <w:spacing w:after="0" w:line="27" w:lineRule="exact"/>
        <w:rPr>
          <w:sz w:val="20"/>
          <w:szCs w:val="20"/>
          <w:color w:val="auto"/>
        </w:rPr>
      </w:pPr>
    </w:p>
    <w:p>
      <w:pPr>
        <w:ind w:left="1200"/>
        <w:spacing w:after="0"/>
        <w:rPr>
          <w:sz w:val="20"/>
          <w:szCs w:val="20"/>
          <w:color w:val="auto"/>
        </w:rPr>
      </w:pPr>
      <w:r>
        <w:rPr>
          <w:rFonts w:ascii="Arial" w:cs="Arial" w:eastAsia="Arial" w:hAnsi="Arial"/>
          <w:sz w:val="21"/>
          <w:szCs w:val="21"/>
          <w:color w:val="auto"/>
        </w:rPr>
        <w:t>Proxy Materials</w:t>
      </w:r>
    </w:p>
    <w:p>
      <w:pPr>
        <w:spacing w:after="0" w:line="216" w:lineRule="exact"/>
        <w:rPr>
          <w:sz w:val="20"/>
          <w:szCs w:val="20"/>
          <w:color w:val="auto"/>
        </w:rPr>
      </w:pPr>
    </w:p>
    <w:p>
      <w:pPr>
        <w:spacing w:after="0" w:line="309" w:lineRule="auto"/>
        <w:rPr>
          <w:sz w:val="20"/>
          <w:szCs w:val="20"/>
          <w:color w:val="auto"/>
        </w:rPr>
      </w:pPr>
      <w:r>
        <w:rPr>
          <w:rFonts w:ascii="Arial" w:cs="Arial" w:eastAsia="Arial" w:hAnsi="Arial"/>
          <w:sz w:val="21"/>
          <w:szCs w:val="21"/>
          <w:b w:val="1"/>
          <w:bCs w:val="1"/>
          <w:color w:val="auto"/>
        </w:rPr>
        <w:t>Annual Report, Proxy Statement and Voting Instructions for the Lockheed Martin Corporation Annual Meeting of Stockholders on April 21, 2022</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color w:val="auto"/>
        </w:rPr>
        <w:t>Proxy Login Control Number:</w:t>
      </w:r>
    </w:p>
    <w:p>
      <w:pPr>
        <w:spacing w:after="0" w:line="242" w:lineRule="exact"/>
        <w:rPr>
          <w:sz w:val="20"/>
          <w:szCs w:val="20"/>
          <w:color w:val="auto"/>
        </w:rPr>
      </w:pPr>
    </w:p>
    <w:p>
      <w:pPr>
        <w:spacing w:after="0"/>
        <w:tabs>
          <w:tab w:leader="none" w:pos="580" w:val="left"/>
        </w:tabs>
        <w:rPr>
          <w:sz w:val="20"/>
          <w:szCs w:val="20"/>
          <w:color w:val="auto"/>
        </w:rPr>
      </w:pPr>
      <w:r>
        <w:rPr>
          <w:rFonts w:ascii="Arial" w:cs="Arial" w:eastAsia="Arial" w:hAnsi="Arial"/>
          <w:sz w:val="21"/>
          <w:szCs w:val="21"/>
          <w:color w:val="auto"/>
        </w:rPr>
        <w:t>To:</w:t>
        <w:tab/>
        <w:t>Lockheed Martin Corporation Savings Plan Participants</w:t>
      </w:r>
    </w:p>
    <w:p>
      <w:pPr>
        <w:spacing w:after="0" w:line="242" w:lineRule="exact"/>
        <w:rPr>
          <w:sz w:val="20"/>
          <w:szCs w:val="20"/>
          <w:color w:val="auto"/>
        </w:rPr>
      </w:pPr>
    </w:p>
    <w:p>
      <w:pPr>
        <w:spacing w:after="0" w:line="272" w:lineRule="auto"/>
        <w:rPr>
          <w:sz w:val="20"/>
          <w:szCs w:val="20"/>
          <w:color w:val="auto"/>
        </w:rPr>
      </w:pPr>
      <w:r>
        <w:rPr>
          <w:rFonts w:ascii="Arial" w:cs="Arial" w:eastAsia="Arial" w:hAnsi="Arial"/>
          <w:sz w:val="21"/>
          <w:szCs w:val="21"/>
          <w:color w:val="auto"/>
        </w:rPr>
        <w:t xml:space="preserve">You are receiving this email because you are a participant in a Lockheed Martin Corporation savings plan. Instead of receiving your 2021 Annual Report and 2022 Proxy Statement (Proxy Materials) by mail, you can conveniently access your Proxy Materials and vote online at </w:t>
      </w:r>
      <w:r>
        <w:rPr>
          <w:rFonts w:ascii="Arial" w:cs="Arial" w:eastAsia="Arial" w:hAnsi="Arial"/>
          <w:sz w:val="21"/>
          <w:szCs w:val="21"/>
          <w:u w:val="single" w:color="auto"/>
          <w:color w:val="3051F2"/>
        </w:rPr>
        <w:t>www.investorvote.com</w:t>
      </w:r>
      <w:r>
        <w:rPr>
          <w:rFonts w:ascii="Arial" w:cs="Arial" w:eastAsia="Arial" w:hAnsi="Arial"/>
          <w:sz w:val="21"/>
          <w:szCs w:val="21"/>
          <w:color w:val="auto"/>
        </w:rPr>
        <w:t>. To view the Proxy Materials and cast your vote, enter the Proxy Login Control Number above (without any spaces) and follow the on-screen instructions.</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To obtain a hard copy of Proxy Materials (free of charge):</w:t>
      </w:r>
    </w:p>
    <w:p>
      <w:pPr>
        <w:spacing w:after="0" w:line="27" w:lineRule="exact"/>
        <w:rPr>
          <w:sz w:val="20"/>
          <w:szCs w:val="20"/>
          <w:color w:val="auto"/>
        </w:rPr>
      </w:pPr>
    </w:p>
    <w:p>
      <w:pPr>
        <w:ind w:left="620" w:hanging="290"/>
        <w:spacing w:after="0"/>
        <w:tabs>
          <w:tab w:leader="none" w:pos="62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Call 1-877-223-3863 within the U.S.</w:t>
      </w:r>
    </w:p>
    <w:p>
      <w:pPr>
        <w:spacing w:after="0" w:line="27" w:lineRule="exact"/>
        <w:rPr>
          <w:rFonts w:ascii="Arial" w:cs="Arial" w:eastAsia="Arial" w:hAnsi="Arial"/>
          <w:sz w:val="21"/>
          <w:szCs w:val="21"/>
          <w:color w:val="auto"/>
        </w:rPr>
      </w:pPr>
    </w:p>
    <w:p>
      <w:pPr>
        <w:ind w:left="620" w:hanging="290"/>
        <w:spacing w:after="0"/>
        <w:tabs>
          <w:tab w:leader="none" w:pos="62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Call 1-267-468-0767 from outside the U.S.</w:t>
      </w:r>
    </w:p>
    <w:p>
      <w:pPr>
        <w:spacing w:after="0" w:line="27" w:lineRule="exact"/>
        <w:rPr>
          <w:rFonts w:ascii="Arial" w:cs="Arial" w:eastAsia="Arial" w:hAnsi="Arial"/>
          <w:sz w:val="21"/>
          <w:szCs w:val="21"/>
          <w:color w:val="auto"/>
        </w:rPr>
      </w:pPr>
    </w:p>
    <w:p>
      <w:pPr>
        <w:ind w:left="620" w:hanging="290"/>
        <w:spacing w:after="0"/>
        <w:tabs>
          <w:tab w:leader="none" w:pos="62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Requests must be received by 3:00 p.m., Eastern Daylight Time, on April 11, 2022</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Voting deadline:</w:t>
      </w:r>
    </w:p>
    <w:p>
      <w:pPr>
        <w:spacing w:after="0" w:line="27" w:lineRule="exact"/>
        <w:rPr>
          <w:sz w:val="20"/>
          <w:szCs w:val="20"/>
          <w:color w:val="auto"/>
        </w:rPr>
      </w:pPr>
    </w:p>
    <w:p>
      <w:pPr>
        <w:ind w:left="620" w:hanging="290"/>
        <w:spacing w:after="0"/>
        <w:tabs>
          <w:tab w:leader="none" w:pos="620" w:val="left"/>
        </w:tabs>
        <w:numPr>
          <w:ilvl w:val="0"/>
          <w:numId w:val="136"/>
        </w:numPr>
        <w:rPr>
          <w:rFonts w:ascii="Arial" w:cs="Arial" w:eastAsia="Arial" w:hAnsi="Arial"/>
          <w:sz w:val="21"/>
          <w:szCs w:val="21"/>
          <w:color w:val="auto"/>
        </w:rPr>
      </w:pPr>
      <w:r>
        <w:rPr>
          <w:rFonts w:ascii="Arial" w:cs="Arial" w:eastAsia="Arial" w:hAnsi="Arial"/>
          <w:sz w:val="21"/>
          <w:szCs w:val="21"/>
          <w:color w:val="auto"/>
        </w:rPr>
        <w:t>11:59 p.m., Eastern Daylight Time, on Monday, April 18, 2022</w:t>
      </w:r>
    </w:p>
    <w:p>
      <w:pPr>
        <w:spacing w:after="0" w:line="242" w:lineRule="exact"/>
        <w:rPr>
          <w:sz w:val="20"/>
          <w:szCs w:val="20"/>
          <w:color w:val="auto"/>
        </w:rPr>
      </w:pPr>
    </w:p>
    <w:p>
      <w:pPr>
        <w:spacing w:after="0" w:line="272" w:lineRule="auto"/>
        <w:rPr>
          <w:sz w:val="20"/>
          <w:szCs w:val="20"/>
          <w:color w:val="auto"/>
        </w:rPr>
      </w:pPr>
      <w:r>
        <w:rPr>
          <w:rFonts w:ascii="Arial" w:cs="Arial" w:eastAsia="Arial" w:hAnsi="Arial"/>
          <w:sz w:val="21"/>
          <w:szCs w:val="21"/>
          <w:color w:val="auto"/>
        </w:rPr>
        <w:t>Please note that you may receive multiple proxy packages and voting instructions (electronically and/or by mail). These materials may not be duplicates as you may hold shares of Lockheed Martin stock in multiple accounts. Please be sure to vote all of your shares in each of your accounts in accordance with the directions on the proxy card(s) and/or voting instruction form(s) you receive.</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Please cast your vote today!</w:t>
      </w:r>
    </w:p>
    <w:p>
      <w:pPr>
        <w:spacing w:after="0" w:line="242" w:lineRule="exact"/>
        <w:rPr>
          <w:sz w:val="20"/>
          <w:szCs w:val="20"/>
          <w:color w:val="auto"/>
        </w:rPr>
      </w:pPr>
    </w:p>
    <w:p>
      <w:pPr>
        <w:spacing w:after="0"/>
        <w:rPr>
          <w:sz w:val="20"/>
          <w:szCs w:val="20"/>
          <w:color w:val="auto"/>
        </w:rPr>
      </w:pPr>
      <w:r>
        <w:rPr>
          <w:rFonts w:ascii="Arial" w:cs="Arial" w:eastAsia="Arial" w:hAnsi="Arial"/>
          <w:sz w:val="21"/>
          <w:szCs w:val="21"/>
          <w:color w:val="auto"/>
        </w:rPr>
        <w:t>Computershare Trust Company, N.A.</w:t>
      </w:r>
    </w:p>
    <w:p>
      <w:pPr>
        <w:spacing w:after="0" w:line="27" w:lineRule="exact"/>
        <w:rPr>
          <w:sz w:val="20"/>
          <w:szCs w:val="20"/>
          <w:color w:val="auto"/>
        </w:rPr>
      </w:pPr>
    </w:p>
    <w:p>
      <w:pPr>
        <w:spacing w:after="0"/>
        <w:rPr>
          <w:sz w:val="20"/>
          <w:szCs w:val="20"/>
          <w:color w:val="auto"/>
        </w:rPr>
      </w:pPr>
      <w:r>
        <w:rPr>
          <w:rFonts w:ascii="Arial" w:cs="Arial" w:eastAsia="Arial" w:hAnsi="Arial"/>
          <w:sz w:val="21"/>
          <w:szCs w:val="21"/>
          <w:color w:val="auto"/>
        </w:rPr>
        <w:t>Independent Registrar and Transfer Agent for Lockheed Martin Corporation</w:t>
      </w:r>
    </w:p>
    <w:p>
      <w:pPr>
        <w:sectPr>
          <w:pgSz w:w="11900" w:h="16838" w:orient="portrait"/>
          <w:cols w:equalWidth="0" w:num="1">
            <w:col w:w="11200"/>
          </w:cols>
          <w:pgMar w:left="320" w:top="1303" w:right="379" w:bottom="1440"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847725</wp:posOffset>
            </wp:positionH>
            <wp:positionV relativeFrom="page">
              <wp:posOffset>839470</wp:posOffset>
            </wp:positionV>
            <wp:extent cx="5853430" cy="75768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clrChange>
                        <a:clrFrom>
                          <a:srgbClr val="FFFFFF"/>
                        </a:clrFrom>
                        <a:clrTo>
                          <a:srgbClr val="FFFFFF">
                            <a:alpha val="0"/>
                          </a:srgbClr>
                        </a:clrTo>
                      </a:clrChange>
                      <a:extLst>
                        <a:ext uri="{28A0092B-C50C-407E-A947-70E740481C1C}"/>
                      </a:extLst>
                    </a:blip>
                    <a:srcRect/>
                    <a:stretch>
                      <a:fillRect/>
                    </a:stretch>
                  </pic:blipFill>
                  <pic:spPr bwMode="auto">
                    <a:xfrm>
                      <a:off x="0" y="0"/>
                      <a:ext cx="5853430" cy="75768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847725</wp:posOffset>
            </wp:positionH>
            <wp:positionV relativeFrom="page">
              <wp:posOffset>839470</wp:posOffset>
            </wp:positionV>
            <wp:extent cx="5853430" cy="75768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clrChange>
                        <a:clrFrom>
                          <a:srgbClr val="FFFFFF"/>
                        </a:clrFrom>
                        <a:clrTo>
                          <a:srgbClr val="FFFFFF">
                            <a:alpha val="0"/>
                          </a:srgbClr>
                        </a:clrTo>
                      </a:clrChange>
                      <a:extLst>
                        <a:ext uri="{28A0092B-C50C-407E-A947-70E740481C1C}"/>
                      </a:extLst>
                    </a:blip>
                    <a:srcRect/>
                    <a:stretch>
                      <a:fillRect/>
                    </a:stretch>
                  </pic:blipFill>
                  <pic:spPr bwMode="auto">
                    <a:xfrm>
                      <a:off x="0" y="0"/>
                      <a:ext cx="5853430" cy="75768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abstractNum>
  <w:abstractNum w:abstractNumId="3">
    <w:nsid w:val="5F5E7FD0"/>
    <w:multiLevelType w:val="hybridMultilevel"/>
    <w:lvl w:ilvl="0">
      <w:lvlJc w:val="left"/>
      <w:lvlText w:val="☑"/>
      <w:numFmt w:val="bullet"/>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
      <w:numFmt w:val="bullet"/>
      <w:start w:val="1"/>
    </w:lvl>
  </w:abstractNum>
  <w:abstractNum w:abstractNumId="9">
    <w:nsid w:val="1EBA5D23"/>
    <w:multiLevelType w:val="hybridMultilevel"/>
    <w:lvl w:ilvl="0">
      <w:lvlJc w:val="left"/>
      <w:lvlText w:val="*"/>
      <w:numFmt w:val="bullet"/>
      <w:start w:val="1"/>
    </w:lvl>
  </w:abstractNum>
  <w:abstractNum w:abstractNumId="10">
    <w:nsid w:val="661E3F1E"/>
    <w:multiLevelType w:val="hybridMultilevel"/>
    <w:lvl w:ilvl="0">
      <w:lvlJc w:val="left"/>
      <w:lvlText w:val="•"/>
      <w:numFmt w:val="bullet"/>
      <w:start w:val="1"/>
    </w:lvl>
  </w:abstractNum>
  <w:abstractNum w:abstractNumId="11">
    <w:nsid w:val="5DC79EA8"/>
    <w:multiLevelType w:val="hybridMultilevel"/>
    <w:lvl w:ilvl="0">
      <w:lvlJc w:val="left"/>
      <w:lvlText w:val="•"/>
      <w:numFmt w:val="bullet"/>
      <w:start w:val="1"/>
    </w:lvl>
  </w:abstractNum>
  <w:abstractNum w:abstractNumId="12">
    <w:nsid w:val="540A471C"/>
    <w:multiLevelType w:val="hybridMultilevel"/>
    <w:lvl w:ilvl="0">
      <w:lvlJc w:val="left"/>
      <w:lvlText w:val="•"/>
      <w:numFmt w:val="bullet"/>
      <w:start w:val="1"/>
    </w:lvl>
  </w:abstractNum>
  <w:abstractNum w:abstractNumId="13">
    <w:nsid w:val="7BD3EE7B"/>
    <w:multiLevelType w:val="hybridMultilevel"/>
    <w:lvl w:ilvl="0">
      <w:lvlJc w:val="left"/>
      <w:lvlText w:val="•"/>
      <w:numFmt w:val="bullet"/>
      <w:start w:val="1"/>
    </w:lvl>
  </w:abstractNum>
  <w:abstractNum w:abstractNumId="14">
    <w:nsid w:val="51D9C564"/>
    <w:multiLevelType w:val="hybridMultilevel"/>
    <w:lvl w:ilvl="0">
      <w:lvlJc w:val="left"/>
      <w:lvlText w:val="*"/>
      <w:numFmt w:val="bullet"/>
      <w:start w:val="1"/>
    </w:lvl>
  </w:abstractNum>
  <w:abstractNum w:abstractNumId="15">
    <w:nsid w:val="613EFDC5"/>
    <w:multiLevelType w:val="hybridMultilevel"/>
    <w:lvl w:ilvl="0">
      <w:lvlJc w:val="left"/>
      <w:lvlText w:val="•"/>
      <w:numFmt w:val="bullet"/>
      <w:start w:val="1"/>
    </w:lvl>
  </w:abstractNum>
  <w:abstractNum w:abstractNumId="16">
    <w:nsid w:val="BF72B14"/>
    <w:multiLevelType w:val="hybridMultilevel"/>
    <w:lvl w:ilvl="0">
      <w:lvlJc w:val="left"/>
      <w:lvlText w:val="•"/>
      <w:numFmt w:val="bullet"/>
      <w:start w:val="1"/>
    </w:lvl>
  </w:abstractNum>
  <w:abstractNum w:abstractNumId="17">
    <w:nsid w:val="11447B73"/>
    <w:multiLevelType w:val="hybridMultilevel"/>
    <w:lvl w:ilvl="0">
      <w:lvlJc w:val="left"/>
      <w:lvlText w:val="*"/>
      <w:numFmt w:val="bullet"/>
      <w:start w:val="1"/>
    </w:lvl>
  </w:abstractNum>
  <w:abstractNum w:abstractNumId="18">
    <w:nsid w:val="42963E5A"/>
    <w:multiLevelType w:val="hybridMultilevel"/>
    <w:lvl w:ilvl="0">
      <w:lvlJc w:val="left"/>
      <w:lvlText w:val="•"/>
      <w:numFmt w:val="bullet"/>
      <w:start w:val="1"/>
    </w:lvl>
  </w:abstractNum>
  <w:abstractNum w:abstractNumId="19">
    <w:nsid w:val="A0382C5"/>
    <w:multiLevelType w:val="hybridMultilevel"/>
    <w:lvl w:ilvl="0">
      <w:lvlJc w:val="left"/>
      <w:lvlText w:val="•"/>
      <w:numFmt w:val="bullet"/>
      <w:start w:val="1"/>
    </w:lvl>
  </w:abstractNum>
  <w:abstractNum w:abstractNumId="20">
    <w:nsid w:val="8F2B15E"/>
    <w:multiLevelType w:val="hybridMultilevel"/>
    <w:lvl w:ilvl="0">
      <w:lvlJc w:val="left"/>
      <w:lvlText w:val="*"/>
      <w:numFmt w:val="bullet"/>
      <w:start w:val="1"/>
    </w:lvl>
  </w:abstractNum>
  <w:abstractNum w:abstractNumId="21">
    <w:nsid w:val="1A32234B"/>
    <w:multiLevelType w:val="hybridMultilevel"/>
    <w:lvl w:ilvl="0">
      <w:lvlJc w:val="left"/>
      <w:lvlText w:val="•"/>
      <w:numFmt w:val="bullet"/>
      <w:start w:val="1"/>
    </w:lvl>
  </w:abstractNum>
  <w:abstractNum w:abstractNumId="22">
    <w:nsid w:val="3B0FD379"/>
    <w:multiLevelType w:val="hybridMultilevel"/>
    <w:lvl w:ilvl="0">
      <w:lvlJc w:val="left"/>
      <w:lvlText w:val="•"/>
      <w:numFmt w:val="bullet"/>
      <w:start w:val="1"/>
    </w:lvl>
  </w:abstractNum>
  <w:abstractNum w:abstractNumId="23">
    <w:nsid w:val="68EB2F63"/>
    <w:multiLevelType w:val="hybridMultilevel"/>
    <w:lvl w:ilvl="0">
      <w:lvlJc w:val="left"/>
      <w:lvlText w:val="*"/>
      <w:numFmt w:val="bullet"/>
      <w:start w:val="1"/>
    </w:lvl>
  </w:abstractNum>
  <w:abstractNum w:abstractNumId="24">
    <w:nsid w:val="4962813B"/>
    <w:multiLevelType w:val="hybridMultilevel"/>
    <w:lvl w:ilvl="0">
      <w:lvlJc w:val="left"/>
      <w:lvlText w:val="•"/>
      <w:numFmt w:val="bullet"/>
      <w:start w:val="1"/>
    </w:lvl>
  </w:abstractNum>
  <w:abstractNum w:abstractNumId="25">
    <w:nsid w:val="60B6DF70"/>
    <w:multiLevelType w:val="hybridMultilevel"/>
    <w:lvl w:ilvl="0">
      <w:lvlJc w:val="left"/>
      <w:lvlText w:val="•"/>
      <w:numFmt w:val="bullet"/>
      <w:start w:val="1"/>
    </w:lvl>
  </w:abstractNum>
  <w:abstractNum w:abstractNumId="26">
    <w:nsid w:val="6A5EE64"/>
    <w:multiLevelType w:val="hybridMultilevel"/>
    <w:lvl w:ilvl="0">
      <w:lvlJc w:val="left"/>
      <w:lvlText w:val="*"/>
      <w:numFmt w:val="bullet"/>
      <w:start w:val="1"/>
    </w:lvl>
  </w:abstractNum>
  <w:abstractNum w:abstractNumId="27">
    <w:nsid w:val="14330624"/>
    <w:multiLevelType w:val="hybridMultilevel"/>
    <w:lvl w:ilvl="0">
      <w:lvlJc w:val="left"/>
      <w:lvlText w:val="•"/>
      <w:numFmt w:val="bullet"/>
      <w:start w:val="1"/>
    </w:lvl>
  </w:abstractNum>
  <w:abstractNum w:abstractNumId="28">
    <w:nsid w:val="7FFFCA11"/>
    <w:multiLevelType w:val="hybridMultilevel"/>
    <w:lvl w:ilvl="0">
      <w:lvlJc w:val="left"/>
      <w:lvlText w:val="•"/>
      <w:numFmt w:val="bullet"/>
      <w:start w:val="1"/>
    </w:lvl>
  </w:abstractNum>
  <w:abstractNum w:abstractNumId="29">
    <w:nsid w:val="1A27709E"/>
    <w:multiLevelType w:val="hybridMultilevel"/>
    <w:lvl w:ilvl="0">
      <w:lvlJc w:val="left"/>
      <w:lvlText w:val="*"/>
      <w:numFmt w:val="bullet"/>
      <w:start w:val="1"/>
    </w:lvl>
  </w:abstractNum>
  <w:abstractNum w:abstractNumId="30">
    <w:nsid w:val="71EA1109"/>
    <w:multiLevelType w:val="hybridMultilevel"/>
    <w:lvl w:ilvl="0">
      <w:lvlJc w:val="left"/>
      <w:lvlText w:val="•"/>
      <w:numFmt w:val="bullet"/>
      <w:start w:val="1"/>
    </w:lvl>
  </w:abstractNum>
  <w:abstractNum w:abstractNumId="31">
    <w:nsid w:val="100F59DC"/>
    <w:multiLevelType w:val="hybridMultilevel"/>
    <w:lvl w:ilvl="0">
      <w:lvlJc w:val="left"/>
      <w:lvlText w:val="•"/>
      <w:numFmt w:val="bullet"/>
      <w:start w:val="1"/>
    </w:lvl>
  </w:abstractNum>
  <w:abstractNum w:abstractNumId="32">
    <w:nsid w:val="7FB7E0AA"/>
    <w:multiLevelType w:val="hybridMultilevel"/>
    <w:lvl w:ilvl="0">
      <w:lvlJc w:val="left"/>
      <w:lvlText w:val="•"/>
      <w:numFmt w:val="bullet"/>
      <w:start w:val="1"/>
    </w:lvl>
  </w:abstractNum>
  <w:abstractNum w:abstractNumId="33">
    <w:nsid w:val="6EB5BD4"/>
    <w:multiLevelType w:val="hybridMultilevel"/>
    <w:lvl w:ilvl="0">
      <w:lvlJc w:val="left"/>
      <w:lvlText w:val="•"/>
      <w:numFmt w:val="bullet"/>
      <w:start w:val="1"/>
    </w:lvl>
  </w:abstractNum>
  <w:abstractNum w:abstractNumId="34">
    <w:nsid w:val="6F6DD9AC"/>
    <w:multiLevelType w:val="hybridMultilevel"/>
    <w:lvl w:ilvl="0">
      <w:lvlJc w:val="left"/>
      <w:lvlText w:val="1"/>
      <w:numFmt w:val="bullet"/>
      <w:start w:val="1"/>
    </w:lvl>
  </w:abstractNum>
  <w:abstractNum w:abstractNumId="35">
    <w:nsid w:val="94211F2"/>
    <w:multiLevelType w:val="hybridMultilevel"/>
    <w:lvl w:ilvl="0">
      <w:lvlJc w:val="left"/>
      <w:lvlText w:val="•"/>
      <w:numFmt w:val="bullet"/>
      <w:start w:val="1"/>
    </w:lvl>
  </w:abstractNum>
  <w:abstractNum w:abstractNumId="36">
    <w:nsid w:val="885E1B"/>
    <w:multiLevelType w:val="hybridMultilevel"/>
    <w:lvl w:ilvl="0">
      <w:lvlJc w:val="left"/>
      <w:lvlText w:val="1"/>
      <w:numFmt w:val="bullet"/>
      <w:start w:val="1"/>
    </w:lvl>
  </w:abstractNum>
  <w:abstractNum w:abstractNumId="37">
    <w:nsid w:val="76272110"/>
    <w:multiLevelType w:val="hybridMultilevel"/>
    <w:lvl w:ilvl="0">
      <w:lvlJc w:val="left"/>
      <w:lvlText w:val="1"/>
      <w:numFmt w:val="bullet"/>
      <w:start w:val="1"/>
    </w:lvl>
  </w:abstractNum>
  <w:abstractNum w:abstractNumId="38">
    <w:nsid w:val="4C04A8AF"/>
    <w:multiLevelType w:val="hybridMultilevel"/>
    <w:lvl w:ilvl="0">
      <w:lvlJc w:val="left"/>
      <w:lvlText w:val="•"/>
      <w:numFmt w:val="bullet"/>
      <w:start w:val="1"/>
    </w:lvl>
  </w:abstractNum>
  <w:abstractNum w:abstractNumId="39">
    <w:nsid w:val="1716703B"/>
    <w:multiLevelType w:val="hybridMultilevel"/>
    <w:lvl w:ilvl="0">
      <w:lvlJc w:val="left"/>
      <w:lvlText w:val="•"/>
      <w:numFmt w:val="bullet"/>
      <w:start w:val="1"/>
    </w:lvl>
  </w:abstractNum>
  <w:abstractNum w:abstractNumId="40">
    <w:nsid w:val="14E17E33"/>
    <w:multiLevelType w:val="hybridMultilevel"/>
    <w:lvl w:ilvl="0">
      <w:lvlJc w:val="left"/>
      <w:lvlText w:val="•"/>
      <w:numFmt w:val="bullet"/>
      <w:start w:val="1"/>
    </w:lvl>
  </w:abstractNum>
  <w:abstractNum w:abstractNumId="41">
    <w:nsid w:val="3222E7CD"/>
    <w:multiLevelType w:val="hybridMultilevel"/>
    <w:lvl w:ilvl="0">
      <w:lvlJc w:val="left"/>
      <w:lvlText w:val="•"/>
      <w:numFmt w:val="bullet"/>
      <w:start w:val="1"/>
    </w:lvl>
  </w:abstractNum>
  <w:abstractNum w:abstractNumId="42">
    <w:nsid w:val="74DE0EE3"/>
    <w:multiLevelType w:val="hybridMultilevel"/>
    <w:lvl w:ilvl="0">
      <w:lvlJc w:val="left"/>
      <w:lvlText w:val="•"/>
      <w:numFmt w:val="bullet"/>
      <w:start w:val="1"/>
    </w:lvl>
  </w:abstractNum>
  <w:abstractNum w:abstractNumId="43">
    <w:nsid w:val="68EBC550"/>
    <w:multiLevelType w:val="hybridMultilevel"/>
    <w:lvl w:ilvl="0">
      <w:lvlJc w:val="left"/>
      <w:lvlText w:val="•"/>
      <w:numFmt w:val="bullet"/>
      <w:start w:val="1"/>
    </w:lvl>
  </w:abstractNum>
  <w:abstractNum w:abstractNumId="44">
    <w:nsid w:val="2DF6D648"/>
    <w:multiLevelType w:val="hybridMultilevel"/>
    <w:lvl w:ilvl="0">
      <w:lvlJc w:val="left"/>
      <w:lvlText w:val="•"/>
      <w:numFmt w:val="bullet"/>
      <w:start w:val="1"/>
    </w:lvl>
  </w:abstractNum>
  <w:abstractNum w:abstractNumId="45">
    <w:nsid w:val="46B7D447"/>
    <w:multiLevelType w:val="hybridMultilevel"/>
    <w:lvl w:ilvl="0">
      <w:lvlJc w:val="left"/>
      <w:lvlText w:val="•"/>
      <w:numFmt w:val="bullet"/>
      <w:start w:val="1"/>
    </w:lvl>
  </w:abstractNum>
  <w:abstractNum w:abstractNumId="46">
    <w:nsid w:val="4A2AC315"/>
    <w:multiLevelType w:val="hybridMultilevel"/>
    <w:lvl w:ilvl="0">
      <w:lvlJc w:val="left"/>
      <w:lvlText w:val="•"/>
      <w:numFmt w:val="bullet"/>
      <w:start w:val="1"/>
    </w:lvl>
  </w:abstractNum>
  <w:abstractNum w:abstractNumId="47">
    <w:nsid w:val="39EE015C"/>
    <w:multiLevelType w:val="hybridMultilevel"/>
    <w:lvl w:ilvl="0">
      <w:lvlJc w:val="left"/>
      <w:lvlText w:val="(%1)"/>
      <w:numFmt w:val="lowerLetter"/>
      <w:start w:val="1"/>
    </w:lvl>
  </w:abstractNum>
  <w:abstractNum w:abstractNumId="48">
    <w:nsid w:val="57FC4FBB"/>
    <w:multiLevelType w:val="hybridMultilevel"/>
    <w:lvl w:ilvl="0">
      <w:lvlJc w:val="left"/>
      <w:lvlText w:val="•"/>
      <w:numFmt w:val="bullet"/>
      <w:start w:val="1"/>
    </w:lvl>
  </w:abstractNum>
  <w:abstractNum w:abstractNumId="49">
    <w:nsid w:val="CC1016F"/>
    <w:multiLevelType w:val="hybridMultilevel"/>
    <w:lvl w:ilvl="0">
      <w:lvlJc w:val="left"/>
      <w:lvlText w:val="•"/>
      <w:numFmt w:val="bullet"/>
      <w:start w:val="1"/>
    </w:lvl>
  </w:abstractNum>
  <w:abstractNum w:abstractNumId="50">
    <w:nsid w:val="43F18422"/>
    <w:multiLevelType w:val="hybridMultilevel"/>
    <w:lvl w:ilvl="0">
      <w:lvlJc w:val="left"/>
      <w:lvlText w:val="•"/>
      <w:numFmt w:val="bullet"/>
      <w:start w:val="1"/>
    </w:lvl>
  </w:abstractNum>
  <w:abstractNum w:abstractNumId="51">
    <w:nsid w:val="60EF0119"/>
    <w:multiLevelType w:val="hybridMultilevel"/>
    <w:lvl w:ilvl="0">
      <w:lvlJc w:val="left"/>
      <w:lvlText w:val="•"/>
      <w:numFmt w:val="bullet"/>
      <w:start w:val="1"/>
    </w:lvl>
  </w:abstractNum>
  <w:abstractNum w:abstractNumId="52">
    <w:nsid w:val="26F324BA"/>
    <w:multiLevelType w:val="hybridMultilevel"/>
    <w:lvl w:ilvl="0">
      <w:lvlJc w:val="left"/>
      <w:lvlText w:val="•"/>
      <w:numFmt w:val="bullet"/>
      <w:start w:val="1"/>
    </w:lvl>
  </w:abstractNum>
  <w:abstractNum w:abstractNumId="53">
    <w:nsid w:val="7F01579B"/>
    <w:multiLevelType w:val="hybridMultilevel"/>
    <w:lvl w:ilvl="0">
      <w:lvlJc w:val="left"/>
      <w:lvlText w:val="•"/>
      <w:numFmt w:val="bullet"/>
      <w:start w:val="1"/>
    </w:lvl>
  </w:abstractNum>
  <w:abstractNum w:abstractNumId="54">
    <w:nsid w:val="49DA307D"/>
    <w:multiLevelType w:val="hybridMultilevel"/>
    <w:lvl w:ilvl="0">
      <w:lvlJc w:val="left"/>
      <w:lvlText w:val="•"/>
      <w:numFmt w:val="bullet"/>
      <w:start w:val="1"/>
    </w:lvl>
  </w:abstractNum>
  <w:abstractNum w:abstractNumId="55">
    <w:nsid w:val="7055A5F5"/>
    <w:multiLevelType w:val="hybridMultilevel"/>
    <w:lvl w:ilvl="0">
      <w:lvlJc w:val="left"/>
      <w:lvlText w:val="•"/>
      <w:numFmt w:val="bullet"/>
      <w:start w:val="1"/>
    </w:lvl>
  </w:abstractNum>
  <w:abstractNum w:abstractNumId="56">
    <w:nsid w:val="5FB8370B"/>
    <w:multiLevelType w:val="hybridMultilevel"/>
    <w:lvl w:ilvl="0">
      <w:lvlJc w:val="left"/>
      <w:lvlText w:val="•"/>
      <w:numFmt w:val="bullet"/>
      <w:start w:val="1"/>
    </w:lvl>
  </w:abstractNum>
  <w:abstractNum w:abstractNumId="57">
    <w:nsid w:val="50801EE1"/>
    <w:multiLevelType w:val="hybridMultilevel"/>
    <w:lvl w:ilvl="0">
      <w:lvlJc w:val="left"/>
      <w:lvlText w:val="•"/>
      <w:numFmt w:val="bullet"/>
      <w:start w:val="1"/>
    </w:lvl>
  </w:abstractNum>
  <w:abstractNum w:abstractNumId="58">
    <w:nsid w:val="488AC1A"/>
    <w:multiLevelType w:val="hybridMultilevel"/>
    <w:lvl w:ilvl="0">
      <w:lvlJc w:val="left"/>
      <w:lvlText w:val="•"/>
      <w:numFmt w:val="bullet"/>
      <w:start w:val="1"/>
    </w:lvl>
  </w:abstractNum>
  <w:abstractNum w:abstractNumId="59">
    <w:nsid w:val="5FB8011C"/>
    <w:multiLevelType w:val="hybridMultilevel"/>
    <w:lvl w:ilvl="0">
      <w:lvlJc w:val="left"/>
      <w:lvlText w:val="•"/>
      <w:numFmt w:val="bullet"/>
      <w:start w:val="1"/>
    </w:lvl>
  </w:abstractNum>
  <w:abstractNum w:abstractNumId="60">
    <w:nsid w:val="6AA78F7F"/>
    <w:multiLevelType w:val="hybridMultilevel"/>
    <w:lvl w:ilvl="0">
      <w:lvlJc w:val="left"/>
      <w:lvlText w:val="•"/>
      <w:numFmt w:val="bullet"/>
      <w:start w:val="1"/>
    </w:lvl>
  </w:abstractNum>
  <w:abstractNum w:abstractNumId="61">
    <w:nsid w:val="7672BD23"/>
    <w:multiLevelType w:val="hybridMultilevel"/>
    <w:lvl w:ilvl="0">
      <w:lvlJc w:val="left"/>
      <w:lvlText w:val="(%1)"/>
      <w:numFmt w:val="lowerLetter"/>
      <w:start w:val="1"/>
    </w:lvl>
  </w:abstractNum>
  <w:abstractNum w:abstractNumId="62">
    <w:nsid w:val="6FC75AF8"/>
    <w:multiLevelType w:val="hybridMultilevel"/>
    <w:lvl w:ilvl="0">
      <w:lvlJc w:val="left"/>
      <w:lvlText w:val="•"/>
      <w:numFmt w:val="bullet"/>
      <w:start w:val="1"/>
    </w:lvl>
  </w:abstractNum>
  <w:abstractNum w:abstractNumId="63">
    <w:nsid w:val="6A5F7029"/>
    <w:multiLevelType w:val="hybridMultilevel"/>
    <w:lvl w:ilvl="0">
      <w:lvlJc w:val="left"/>
      <w:lvlText w:val="%1"/>
      <w:numFmt w:val="decimal"/>
      <w:start w:val="38"/>
    </w:lvl>
  </w:abstractNum>
  <w:abstractNum w:abstractNumId="64">
    <w:nsid w:val="7D5E18F8"/>
    <w:multiLevelType w:val="hybridMultilevel"/>
    <w:lvl w:ilvl="0">
      <w:lvlJc w:val="left"/>
      <w:lvlText w:val="%1"/>
      <w:numFmt w:val="decimal"/>
      <w:start w:val="41"/>
    </w:lvl>
  </w:abstractNum>
  <w:abstractNum w:abstractNumId="65">
    <w:nsid w:val="5F3534A4"/>
    <w:multiLevelType w:val="hybridMultilevel"/>
    <w:lvl w:ilvl="0">
      <w:lvlJc w:val="left"/>
      <w:lvlText w:val="%1"/>
      <w:numFmt w:val="decimal"/>
      <w:start w:val="43"/>
    </w:lvl>
  </w:abstractNum>
  <w:abstractNum w:abstractNumId="66">
    <w:nsid w:val="73A1821B"/>
    <w:multiLevelType w:val="hybridMultilevel"/>
    <w:lvl w:ilvl="0">
      <w:lvlJc w:val="left"/>
      <w:lvlText w:val="%1"/>
      <w:numFmt w:val="decimal"/>
      <w:start w:val="50"/>
    </w:lvl>
  </w:abstractNum>
  <w:abstractNum w:abstractNumId="67">
    <w:nsid w:val="7DE67713"/>
    <w:multiLevelType w:val="hybridMultilevel"/>
    <w:lvl w:ilvl="0">
      <w:lvlJc w:val="left"/>
      <w:lvlText w:val="*"/>
      <w:numFmt w:val="bullet"/>
      <w:start w:val="1"/>
    </w:lvl>
  </w:abstractNum>
  <w:abstractNum w:abstractNumId="68">
    <w:nsid w:val="555C55B5"/>
    <w:multiLevelType w:val="hybridMultilevel"/>
    <w:lvl w:ilvl="0">
      <w:lvlJc w:val="left"/>
      <w:lvlText w:val="•"/>
      <w:numFmt w:val="bullet"/>
      <w:start w:val="1"/>
    </w:lvl>
  </w:abstractNum>
  <w:abstractNum w:abstractNumId="69">
    <w:nsid w:val="3FA62ACA"/>
    <w:multiLevelType w:val="hybridMultilevel"/>
    <w:lvl w:ilvl="0">
      <w:lvlJc w:val="left"/>
      <w:lvlText w:val="*"/>
      <w:numFmt w:val="bullet"/>
      <w:start w:val="1"/>
    </w:lvl>
  </w:abstractNum>
  <w:abstractNum w:abstractNumId="70">
    <w:nsid w:val="14FCE74E"/>
    <w:multiLevelType w:val="hybridMultilevel"/>
    <w:lvl w:ilvl="0">
      <w:lvlJc w:val="left"/>
      <w:lvlText w:val="†"/>
      <w:numFmt w:val="bullet"/>
      <w:start w:val="1"/>
    </w:lvl>
  </w:abstractNum>
  <w:abstractNum w:abstractNumId="71">
    <w:nsid w:val="6A3DD3E8"/>
    <w:multiLevelType w:val="hybridMultilevel"/>
    <w:lvl w:ilvl="0">
      <w:lvlJc w:val="left"/>
      <w:lvlText w:val="*"/>
      <w:numFmt w:val="bullet"/>
      <w:start w:val="1"/>
    </w:lvl>
  </w:abstractNum>
  <w:abstractNum w:abstractNumId="72">
    <w:nsid w:val="71C91298"/>
    <w:multiLevelType w:val="hybridMultilevel"/>
    <w:lvl w:ilvl="0">
      <w:lvlJc w:val="left"/>
      <w:lvlText w:val="**"/>
      <w:numFmt w:val="bullet"/>
      <w:start w:val="1"/>
    </w:lvl>
  </w:abstractNum>
  <w:abstractNum w:abstractNumId="73">
    <w:nsid w:val="9DAF632"/>
    <w:multiLevelType w:val="hybridMultilevel"/>
    <w:lvl w:ilvl="0">
      <w:lvlJc w:val="left"/>
      <w:lvlText w:val="*"/>
      <w:numFmt w:val="bullet"/>
      <w:start w:val="1"/>
    </w:lvl>
  </w:abstractNum>
  <w:abstractNum w:abstractNumId="74">
    <w:nsid w:val="53299938"/>
    <w:multiLevelType w:val="hybridMultilevel"/>
    <w:lvl w:ilvl="0">
      <w:lvlJc w:val="left"/>
      <w:lvlText w:val="**"/>
      <w:numFmt w:val="bullet"/>
      <w:start w:val="1"/>
    </w:lvl>
  </w:abstractNum>
  <w:abstractNum w:abstractNumId="75">
    <w:nsid w:val="1FBFE8E0"/>
    <w:multiLevelType w:val="hybridMultilevel"/>
    <w:lvl w:ilvl="0">
      <w:lvlJc w:val="left"/>
      <w:lvlText w:val="*"/>
      <w:numFmt w:val="bullet"/>
      <w:start w:val="1"/>
    </w:lvl>
  </w:abstractNum>
  <w:abstractNum w:abstractNumId="76">
    <w:nsid w:val="5092CA79"/>
    <w:multiLevelType w:val="hybridMultilevel"/>
    <w:lvl w:ilvl="0">
      <w:lvlJc w:val="left"/>
      <w:lvlText w:val="**"/>
      <w:numFmt w:val="bullet"/>
      <w:start w:val="1"/>
    </w:lvl>
  </w:abstractNum>
  <w:abstractNum w:abstractNumId="77">
    <w:nsid w:val="1D545C4D"/>
    <w:multiLevelType w:val="hybridMultilevel"/>
    <w:lvl w:ilvl="0">
      <w:lvlJc w:val="left"/>
      <w:lvlText w:val="•"/>
      <w:numFmt w:val="bullet"/>
      <w:start w:val="1"/>
    </w:lvl>
  </w:abstractNum>
  <w:abstractNum w:abstractNumId="78">
    <w:nsid w:val="59ADEA3D"/>
    <w:multiLevelType w:val="hybridMultilevel"/>
    <w:lvl w:ilvl="0">
      <w:lvlJc w:val="left"/>
      <w:lvlText w:val="•"/>
      <w:numFmt w:val="bullet"/>
      <w:start w:val="1"/>
    </w:lvl>
  </w:abstractNum>
  <w:abstractNum w:abstractNumId="79">
    <w:nsid w:val="288F1A34"/>
    <w:multiLevelType w:val="hybridMultilevel"/>
    <w:lvl w:ilvl="0">
      <w:lvlJc w:val="left"/>
      <w:lvlText w:val="*"/>
      <w:numFmt w:val="bullet"/>
      <w:start w:val="1"/>
    </w:lvl>
  </w:abstractNum>
  <w:abstractNum w:abstractNumId="80">
    <w:nsid w:val="2A155DBC"/>
    <w:multiLevelType w:val="hybridMultilevel"/>
    <w:lvl w:ilvl="0">
      <w:lvlJc w:val="left"/>
      <w:lvlText w:val="**"/>
      <w:numFmt w:val="bullet"/>
      <w:start w:val="1"/>
    </w:lvl>
  </w:abstractNum>
  <w:abstractNum w:abstractNumId="81">
    <w:nsid w:val="1D9F6E5F"/>
    <w:multiLevelType w:val="hybridMultilevel"/>
    <w:lvl w:ilvl="0">
      <w:lvlJc w:val="left"/>
      <w:lvlText w:val="***"/>
      <w:numFmt w:val="bullet"/>
      <w:start w:val="1"/>
    </w:lvl>
  </w:abstractNum>
  <w:abstractNum w:abstractNumId="82">
    <w:nsid w:val="97E1B4E"/>
    <w:multiLevelType w:val="hybridMultilevel"/>
    <w:lvl w:ilvl="0">
      <w:lvlJc w:val="left"/>
      <w:lvlText w:val="•"/>
      <w:numFmt w:val="bullet"/>
      <w:start w:val="1"/>
    </w:lvl>
  </w:abstractNum>
  <w:abstractNum w:abstractNumId="83">
    <w:nsid w:val="51088277"/>
    <w:multiLevelType w:val="hybridMultilevel"/>
    <w:lvl w:ilvl="0">
      <w:lvlJc w:val="left"/>
      <w:lvlText w:val="•"/>
      <w:numFmt w:val="bullet"/>
      <w:start w:val="1"/>
    </w:lvl>
  </w:abstractNum>
  <w:abstractNum w:abstractNumId="84">
    <w:nsid w:val="1CA0C5FA"/>
    <w:multiLevelType w:val="hybridMultilevel"/>
    <w:lvl w:ilvl="0">
      <w:lvlJc w:val="left"/>
      <w:lvlText w:val="•"/>
      <w:numFmt w:val="bullet"/>
      <w:start w:val="1"/>
    </w:lvl>
  </w:abstractNum>
  <w:abstractNum w:abstractNumId="85">
    <w:nsid w:val="53584BCB"/>
    <w:multiLevelType w:val="hybridMultilevel"/>
    <w:lvl w:ilvl="0">
      <w:lvlJc w:val="left"/>
      <w:lvlText w:val="*"/>
      <w:numFmt w:val="bullet"/>
      <w:start w:val="1"/>
    </w:lvl>
  </w:abstractNum>
  <w:abstractNum w:abstractNumId="86">
    <w:nsid w:val="415E286C"/>
    <w:multiLevelType w:val="hybridMultilevel"/>
    <w:lvl w:ilvl="0">
      <w:lvlJc w:val="left"/>
      <w:lvlText w:val="*"/>
      <w:numFmt w:val="bullet"/>
      <w:start w:val="1"/>
    </w:lvl>
  </w:abstractNum>
  <w:abstractNum w:abstractNumId="87">
    <w:nsid w:val="7C58FD05"/>
    <w:multiLevelType w:val="hybridMultilevel"/>
    <w:lvl w:ilvl="0">
      <w:lvlJc w:val="left"/>
      <w:lvlText w:val="*"/>
      <w:numFmt w:val="bullet"/>
      <w:start w:val="1"/>
    </w:lvl>
  </w:abstractNum>
  <w:abstractNum w:abstractNumId="88">
    <w:nsid w:val="23D86AAC"/>
    <w:multiLevelType w:val="hybridMultilevel"/>
    <w:lvl w:ilvl="0">
      <w:lvlJc w:val="left"/>
      <w:lvlText w:val="**"/>
      <w:numFmt w:val="bullet"/>
      <w:start w:val="1"/>
    </w:lvl>
  </w:abstractNum>
  <w:abstractNum w:abstractNumId="89">
    <w:nsid w:val="45E6D486"/>
    <w:multiLevelType w:val="hybridMultilevel"/>
    <w:lvl w:ilvl="0">
      <w:lvlJc w:val="left"/>
      <w:lvlText w:val="***"/>
      <w:numFmt w:val="bullet"/>
      <w:start w:val="1"/>
    </w:lvl>
  </w:abstractNum>
  <w:abstractNum w:abstractNumId="90">
    <w:nsid w:val="5C10FE21"/>
    <w:multiLevelType w:val="hybridMultilevel"/>
    <w:lvl w:ilvl="0">
      <w:lvlJc w:val="left"/>
      <w:lvlText w:val="%1"/>
      <w:numFmt w:val="decimal"/>
      <w:start w:val="345"/>
    </w:lvl>
  </w:abstractNum>
  <w:abstractNum w:abstractNumId="91">
    <w:nsid w:val="E7FFA2B"/>
    <w:multiLevelType w:val="hybridMultilevel"/>
    <w:lvl w:ilvl="0">
      <w:lvlJc w:val="left"/>
      <w:lvlText w:val="•"/>
      <w:numFmt w:val="bullet"/>
      <w:start w:val="1"/>
    </w:lvl>
  </w:abstractNum>
  <w:abstractNum w:abstractNumId="92">
    <w:nsid w:val="3C5991AA"/>
    <w:multiLevelType w:val="hybridMultilevel"/>
    <w:lvl w:ilvl="0">
      <w:lvlJc w:val="left"/>
      <w:lvlText w:val="•"/>
      <w:numFmt w:val="bullet"/>
      <w:start w:val="1"/>
    </w:lvl>
  </w:abstractNum>
  <w:abstractNum w:abstractNumId="93">
    <w:nsid w:val="4BD8591A"/>
    <w:multiLevelType w:val="hybridMultilevel"/>
    <w:lvl w:ilvl="0">
      <w:lvlJc w:val="left"/>
      <w:lvlText w:val="(%1)"/>
      <w:numFmt w:val="decimal"/>
      <w:start w:val="1"/>
    </w:lvl>
  </w:abstractNum>
  <w:abstractNum w:abstractNumId="94">
    <w:nsid w:val="78DF6A55"/>
    <w:multiLevelType w:val="hybridMultilevel"/>
    <w:lvl w:ilvl="0">
      <w:lvlJc w:val="left"/>
      <w:lvlText w:val="(%1)"/>
      <w:numFmt w:val="decimal"/>
      <w:start w:val="5"/>
    </w:lvl>
  </w:abstractNum>
  <w:abstractNum w:abstractNumId="95">
    <w:nsid w:val="39B7AAA2"/>
    <w:multiLevelType w:val="hybridMultilevel"/>
    <w:lvl w:ilvl="0">
      <w:lvlJc w:val="left"/>
      <w:lvlText w:val="*"/>
      <w:numFmt w:val="bullet"/>
      <w:start w:val="1"/>
    </w:lvl>
  </w:abstractNum>
  <w:abstractNum w:abstractNumId="96">
    <w:nsid w:val="2B0D8DBE"/>
    <w:multiLevelType w:val="hybridMultilevel"/>
    <w:lvl w:ilvl="0">
      <w:lvlJc w:val="left"/>
      <w:lvlText w:val="(%1)"/>
      <w:numFmt w:val="decimal"/>
      <w:start w:val="6"/>
    </w:lvl>
  </w:abstractNum>
  <w:abstractNum w:abstractNumId="97">
    <w:nsid w:val="6C80EC70"/>
    <w:multiLevelType w:val="hybridMultilevel"/>
    <w:lvl w:ilvl="0">
      <w:lvlJc w:val="left"/>
      <w:lvlText w:val="*"/>
      <w:numFmt w:val="bullet"/>
      <w:start w:val="1"/>
    </w:lvl>
  </w:abstractNum>
  <w:abstractNum w:abstractNumId="98">
    <w:nsid w:val="379E21B5"/>
    <w:multiLevelType w:val="hybridMultilevel"/>
    <w:lvl w:ilvl="0">
      <w:lvlJc w:val="left"/>
      <w:lvlText w:val="(%1)"/>
      <w:numFmt w:val="decimal"/>
      <w:start w:val="1"/>
    </w:lvl>
  </w:abstractNum>
  <w:abstractNum w:abstractNumId="99">
    <w:nsid w:val="69E373"/>
    <w:multiLevelType w:val="hybridMultilevel"/>
    <w:lvl w:ilvl="0">
      <w:lvlJc w:val="left"/>
      <w:lvlText w:val="(%1)"/>
      <w:numFmt w:val="decimal"/>
      <w:start w:val="2"/>
    </w:lvl>
  </w:abstractNum>
  <w:abstractNum w:abstractNumId="100">
    <w:nsid w:val="2C27173B"/>
    <w:multiLevelType w:val="hybridMultilevel"/>
    <w:lvl w:ilvl="0">
      <w:lvlJc w:val="left"/>
      <w:lvlText w:val="(%1)"/>
      <w:numFmt w:val="decimal"/>
      <w:start w:val="3"/>
    </w:lvl>
  </w:abstractNum>
  <w:abstractNum w:abstractNumId="101">
    <w:nsid w:val="4C9B0904"/>
    <w:multiLevelType w:val="hybridMultilevel"/>
    <w:lvl w:ilvl="0">
      <w:lvlJc w:val="left"/>
      <w:lvlText w:val="(%1)"/>
      <w:numFmt w:val="decimal"/>
      <w:start w:val="4"/>
    </w:lvl>
  </w:abstractNum>
  <w:abstractNum w:abstractNumId="102">
    <w:nsid w:val="6AA7B75C"/>
    <w:multiLevelType w:val="hybridMultilevel"/>
    <w:lvl w:ilvl="0">
      <w:lvlJc w:val="left"/>
      <w:lvlText w:val="(%1)"/>
      <w:numFmt w:val="decimal"/>
      <w:start w:val="1"/>
    </w:lvl>
  </w:abstractNum>
  <w:abstractNum w:abstractNumId="103">
    <w:nsid w:val="1DF029D3"/>
    <w:multiLevelType w:val="hybridMultilevel"/>
    <w:lvl w:ilvl="0">
      <w:lvlJc w:val="left"/>
      <w:lvlText w:val="(%1)"/>
      <w:numFmt w:val="decimal"/>
      <w:start w:val="5"/>
    </w:lvl>
  </w:abstractNum>
  <w:abstractNum w:abstractNumId="104">
    <w:nsid w:val="5675FF36"/>
    <w:multiLevelType w:val="hybridMultilevel"/>
    <w:lvl w:ilvl="0">
      <w:lvlJc w:val="left"/>
      <w:lvlText w:val="(%1)"/>
      <w:numFmt w:val="decimal"/>
      <w:start w:val="1"/>
    </w:lvl>
  </w:abstractNum>
  <w:abstractNum w:abstractNumId="105">
    <w:nsid w:val="3DD15094"/>
    <w:multiLevelType w:val="hybridMultilevel"/>
    <w:lvl w:ilvl="0">
      <w:lvlJc w:val="left"/>
      <w:lvlText w:val="(%1)"/>
      <w:numFmt w:val="decimal"/>
      <w:start w:val="1"/>
    </w:lvl>
  </w:abstractNum>
  <w:abstractNum w:abstractNumId="106">
    <w:nsid w:val="3DB012B3"/>
    <w:multiLevelType w:val="hybridMultilevel"/>
    <w:lvl w:ilvl="0">
      <w:lvlJc w:val="left"/>
      <w:lvlText w:val="(%1)"/>
      <w:numFmt w:val="decimal"/>
      <w:start w:val="1"/>
    </w:lvl>
  </w:abstractNum>
  <w:abstractNum w:abstractNumId="107">
    <w:nsid w:val="2708C9AF"/>
    <w:multiLevelType w:val="hybridMultilevel"/>
    <w:lvl w:ilvl="0">
      <w:lvlJc w:val="left"/>
      <w:lvlText w:val="(%1)"/>
      <w:numFmt w:val="decimal"/>
      <w:start w:val="1"/>
    </w:lvl>
  </w:abstractNum>
  <w:abstractNum w:abstractNumId="108">
    <w:nsid w:val="5B25ACE2"/>
    <w:multiLevelType w:val="hybridMultilevel"/>
    <w:lvl w:ilvl="0">
      <w:lvlJc w:val="left"/>
      <w:lvlText w:val="(%1)"/>
      <w:numFmt w:val="decimal"/>
      <w:start w:val="1"/>
    </w:lvl>
  </w:abstractNum>
  <w:abstractNum w:abstractNumId="109">
    <w:nsid w:val="175DFCF0"/>
    <w:multiLevelType w:val="hybridMultilevel"/>
    <w:lvl w:ilvl="0">
      <w:lvlJc w:val="left"/>
      <w:lvlText w:val="(%1)"/>
      <w:numFmt w:val="decimal"/>
      <w:start w:val="2"/>
    </w:lvl>
  </w:abstractNum>
  <w:abstractNum w:abstractNumId="110">
    <w:nsid w:val="4F97E3E4"/>
    <w:multiLevelType w:val="hybridMultilevel"/>
    <w:lvl w:ilvl="0">
      <w:lvlJc w:val="left"/>
      <w:lvlText w:val="1"/>
      <w:numFmt w:val="bullet"/>
      <w:start w:val="1"/>
    </w:lvl>
  </w:abstractNum>
  <w:abstractNum w:abstractNumId="111">
    <w:nsid w:val="53B0A9E"/>
    <w:multiLevelType w:val="hybridMultilevel"/>
    <w:lvl w:ilvl="0">
      <w:lvlJc w:val="left"/>
      <w:lvlText w:val="*"/>
      <w:numFmt w:val="bullet"/>
      <w:start w:val="1"/>
    </w:lvl>
  </w:abstractNum>
  <w:abstractNum w:abstractNumId="112">
    <w:nsid w:val="34FD6B4F"/>
    <w:multiLevelType w:val="hybridMultilevel"/>
    <w:lvl w:ilvl="0">
      <w:lvlJc w:val="left"/>
      <w:lvlText w:val="(%1)"/>
      <w:numFmt w:val="decimal"/>
      <w:start w:val="1"/>
    </w:lvl>
  </w:abstractNum>
  <w:abstractNum w:abstractNumId="113">
    <w:nsid w:val="5915FF32"/>
    <w:multiLevelType w:val="hybridMultilevel"/>
    <w:lvl w:ilvl="0">
      <w:lvlJc w:val="left"/>
      <w:lvlText w:val="(%1)"/>
      <w:numFmt w:val="decimal"/>
      <w:start w:val="1"/>
    </w:lvl>
  </w:abstractNum>
  <w:abstractNum w:abstractNumId="114">
    <w:nsid w:val="56438D15"/>
    <w:multiLevelType w:val="hybridMultilevel"/>
    <w:lvl w:ilvl="0">
      <w:lvlJc w:val="left"/>
      <w:lvlText w:val="(%1)"/>
      <w:numFmt w:val="decimal"/>
      <w:start w:val="8"/>
    </w:lvl>
  </w:abstractNum>
  <w:abstractNum w:abstractNumId="115">
    <w:nsid w:val="519E3149"/>
    <w:multiLevelType w:val="hybridMultilevel"/>
    <w:lvl w:ilvl="0">
      <w:lvlJc w:val="left"/>
      <w:lvlText w:val="(%1)"/>
      <w:numFmt w:val="decimal"/>
      <w:start w:val="1"/>
    </w:lvl>
  </w:abstractNum>
  <w:abstractNum w:abstractNumId="116">
    <w:nsid w:val="2C6E4AFD"/>
    <w:multiLevelType w:val="hybridMultilevel"/>
    <w:lvl w:ilvl="0">
      <w:lvlJc w:val="left"/>
      <w:lvlText w:val="•"/>
      <w:numFmt w:val="bullet"/>
      <w:start w:val="1"/>
    </w:lvl>
  </w:abstractNum>
  <w:abstractNum w:abstractNumId="117">
    <w:nsid w:val="17A1B582"/>
    <w:multiLevelType w:val="hybridMultilevel"/>
    <w:lvl w:ilvl="0">
      <w:lvlJc w:val="left"/>
      <w:lvlText w:val="•"/>
      <w:numFmt w:val="bullet"/>
      <w:start w:val="1"/>
    </w:lvl>
  </w:abstractNum>
  <w:abstractNum w:abstractNumId="118">
    <w:nsid w:val="4DF72E4E"/>
    <w:multiLevelType w:val="hybridMultilevel"/>
    <w:lvl w:ilvl="0">
      <w:lvlJc w:val="left"/>
      <w:lvlText w:val="5"/>
      <w:numFmt w:val="bullet"/>
      <w:start w:val="1"/>
    </w:lvl>
  </w:abstractNum>
  <w:abstractNum w:abstractNumId="119">
    <w:nsid w:val="5046B5A9"/>
    <w:multiLevelType w:val="hybridMultilevel"/>
    <w:lvl w:ilvl="0">
      <w:lvlJc w:val="left"/>
      <w:lvlText w:val="•"/>
      <w:numFmt w:val="bullet"/>
      <w:start w:val="1"/>
    </w:lvl>
  </w:abstractNum>
  <w:abstractNum w:abstractNumId="120">
    <w:nsid w:val="5D888A08"/>
    <w:multiLevelType w:val="hybridMultilevel"/>
    <w:lvl w:ilvl="0">
      <w:lvlJc w:val="left"/>
      <w:lvlText w:val="•"/>
      <w:numFmt w:val="bullet"/>
      <w:start w:val="1"/>
    </w:lvl>
  </w:abstractNum>
  <w:abstractNum w:abstractNumId="121">
    <w:nsid w:val="2A082C70"/>
    <w:multiLevelType w:val="hybridMultilevel"/>
    <w:lvl w:ilvl="0">
      <w:lvlJc w:val="left"/>
      <w:lvlText w:val="•"/>
      <w:numFmt w:val="bullet"/>
      <w:start w:val="1"/>
    </w:lvl>
  </w:abstractNum>
  <w:abstractNum w:abstractNumId="122">
    <w:nsid w:val="5EC6AFD4"/>
    <w:multiLevelType w:val="hybridMultilevel"/>
    <w:lvl w:ilvl="0">
      <w:lvlJc w:val="left"/>
      <w:lvlText w:val="•"/>
      <w:numFmt w:val="bullet"/>
      <w:start w:val="1"/>
    </w:lvl>
  </w:abstractNum>
  <w:abstractNum w:abstractNumId="123">
    <w:nsid w:val="19E21BB2"/>
    <w:multiLevelType w:val="hybridMultilevel"/>
    <w:lvl w:ilvl="0">
      <w:lvlJc w:val="left"/>
      <w:lvlText w:val="(%1)"/>
      <w:numFmt w:val="decimal"/>
      <w:start w:val="1"/>
    </w:lvl>
  </w:abstractNum>
  <w:abstractNum w:abstractNumId="124">
    <w:nsid w:val="75E0858A"/>
    <w:multiLevelType w:val="hybridMultilevel"/>
    <w:lvl w:ilvl="0">
      <w:lvlJc w:val="left"/>
      <w:lvlText w:val="•"/>
      <w:numFmt w:val="bullet"/>
      <w:start w:val="1"/>
    </w:lvl>
  </w:abstractNum>
  <w:abstractNum w:abstractNumId="125">
    <w:nsid w:val="57A61A29"/>
    <w:multiLevelType w:val="hybridMultilevel"/>
    <w:lvl w:ilvl="0">
      <w:lvlJc w:val="left"/>
      <w:lvlText w:val="•"/>
      <w:numFmt w:val="bullet"/>
      <w:start w:val="1"/>
    </w:lvl>
  </w:abstractNum>
  <w:abstractNum w:abstractNumId="126">
    <w:nsid w:val="5399C654"/>
    <w:multiLevelType w:val="hybridMultilevel"/>
    <w:lvl w:ilvl="0">
      <w:lvlJc w:val="left"/>
      <w:lvlText w:val="•"/>
      <w:numFmt w:val="bullet"/>
      <w:start w:val="1"/>
    </w:lvl>
  </w:abstractNum>
  <w:abstractNum w:abstractNumId="127">
    <w:nsid w:val="20EE1348"/>
    <w:multiLevelType w:val="hybridMultilevel"/>
    <w:lvl w:ilvl="0">
      <w:lvlJc w:val="left"/>
      <w:lvlText w:val="$"/>
      <w:numFmt w:val="bullet"/>
      <w:start w:val="1"/>
    </w:lvl>
  </w:abstractNum>
  <w:abstractNum w:abstractNumId="128">
    <w:nsid w:val="4427069A"/>
    <w:multiLevelType w:val="hybridMultilevel"/>
    <w:lvl w:ilvl="0">
      <w:lvlJc w:val="left"/>
      <w:lvlText w:val="(%1)"/>
      <w:numFmt w:val="lowerLetter"/>
      <w:start w:val="1"/>
    </w:lvl>
  </w:abstractNum>
  <w:abstractNum w:abstractNumId="129">
    <w:nsid w:val="B37E80A"/>
    <w:multiLevelType w:val="hybridMultilevel"/>
    <w:lvl w:ilvl="0">
      <w:lvlJc w:val="left"/>
      <w:lvlText w:val="•"/>
      <w:numFmt w:val="bullet"/>
      <w:start w:val="1"/>
    </w:lvl>
  </w:abstractNum>
  <w:abstractNum w:abstractNumId="130">
    <w:nsid w:val="2157F6BC"/>
    <w:multiLevelType w:val="hybridMultilevel"/>
    <w:lvl w:ilvl="0">
      <w:lvlJc w:val="left"/>
      <w:lvlText w:val="•"/>
      <w:numFmt w:val="bullet"/>
      <w:start w:val="1"/>
    </w:lvl>
  </w:abstractNum>
  <w:abstractNum w:abstractNumId="131">
    <w:nsid w:val="704E1DD5"/>
    <w:multiLevelType w:val="hybridMultilevel"/>
    <w:lvl w:ilvl="0">
      <w:lvlJc w:val="left"/>
      <w:lvlText w:val="•"/>
      <w:numFmt w:val="bullet"/>
      <w:start w:val="1"/>
    </w:lvl>
  </w:abstractNum>
  <w:abstractNum w:abstractNumId="132">
    <w:nsid w:val="57D2F10E"/>
    <w:multiLevelType w:val="hybridMultilevel"/>
    <w:lvl w:ilvl="0">
      <w:lvlJc w:val="left"/>
      <w:lvlText w:val="•"/>
      <w:numFmt w:val="bullet"/>
      <w:start w:val="1"/>
    </w:lvl>
  </w:abstractNum>
  <w:abstractNum w:abstractNumId="133">
    <w:nsid w:val="BFFAE18"/>
    <w:multiLevelType w:val="hybridMultilevel"/>
    <w:lvl w:ilvl="0">
      <w:lvlJc w:val="left"/>
      <w:lvlText w:val="•"/>
      <w:numFmt w:val="bullet"/>
      <w:start w:val="1"/>
    </w:lvl>
  </w:abstractNum>
  <w:abstractNum w:abstractNumId="134">
    <w:nsid w:val="E3E47A8"/>
    <w:multiLevelType w:val="hybridMultilevel"/>
    <w:lvl w:ilvl="0">
      <w:lvlJc w:val="left"/>
      <w:lvlText w:val="•"/>
      <w:numFmt w:val="bullet"/>
      <w:start w:val="1"/>
    </w:lvl>
  </w:abstractNum>
  <w:abstractNum w:abstractNumId="135">
    <w:nsid w:val="2E48F04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2022-03-11T07:18:08Z</dcterms:created>
  <dcterms:modified xsi:type="dcterms:W3CDTF">2022-03-11T07:18:08Z</dcterms:modified>
</cp:coreProperties>
</file>